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36" w:rsidRPr="001D7A19" w:rsidRDefault="00242636" w:rsidP="000A6DEF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A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242636" w:rsidRPr="001D7A19" w:rsidRDefault="00242636" w:rsidP="000A6DEF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="0041608D">
        <w:rPr>
          <w:rFonts w:ascii="Arial CE" w:hAnsi="Arial CE" w:cs="Arial"/>
          <w:b/>
          <w:sz w:val="22"/>
          <w:szCs w:val="22"/>
        </w:rPr>
        <w:t>dodavatele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242636" w:rsidRPr="001D7A19" w:rsidRDefault="00242636" w:rsidP="000A6DEF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 w:rsidR="000A6310">
        <w:rPr>
          <w:rFonts w:ascii="Arial CE" w:hAnsi="Arial CE" w:cs="Arial"/>
          <w:b/>
          <w:sz w:val="22"/>
          <w:szCs w:val="22"/>
        </w:rPr>
        <w:t xml:space="preserve"> 50</w:t>
      </w:r>
      <w:r w:rsidR="0041608D">
        <w:rPr>
          <w:rFonts w:ascii="Arial CE" w:hAnsi="Arial CE" w:cs="Arial"/>
          <w:b/>
          <w:sz w:val="22"/>
          <w:szCs w:val="22"/>
        </w:rPr>
        <w:t>/2017</w:t>
      </w:r>
    </w:p>
    <w:p w:rsidR="00242636" w:rsidRPr="001D7A19" w:rsidRDefault="00242636" w:rsidP="000A6DEF">
      <w:pPr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242636" w:rsidRPr="001D7A19" w:rsidRDefault="00242636" w:rsidP="000A6DEF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242636" w:rsidRPr="001D7A19" w:rsidRDefault="007D2224" w:rsidP="000A6DEF">
      <w:pPr>
        <w:jc w:val="center"/>
        <w:rPr>
          <w:rFonts w:ascii="Arial CE" w:hAnsi="Arial CE" w:cs="Arial"/>
          <w:b/>
          <w:sz w:val="28"/>
          <w:szCs w:val="28"/>
        </w:rPr>
      </w:pPr>
      <w:r w:rsidRPr="00E052A4">
        <w:rPr>
          <w:rFonts w:ascii="Arial CE" w:hAnsi="Arial CE" w:cs="Arial"/>
          <w:b/>
          <w:sz w:val="28"/>
          <w:szCs w:val="28"/>
        </w:rPr>
        <w:t>„</w:t>
      </w:r>
      <w:r w:rsidR="004C78BD" w:rsidRPr="004C78BD">
        <w:rPr>
          <w:rFonts w:ascii="Arial CE" w:hAnsi="Arial CE" w:cs="Arial"/>
          <w:b/>
          <w:sz w:val="28"/>
          <w:szCs w:val="28"/>
        </w:rPr>
        <w:t xml:space="preserve">Revitalizace </w:t>
      </w:r>
      <w:proofErr w:type="spellStart"/>
      <w:r w:rsidR="004C78BD" w:rsidRPr="004C78BD">
        <w:rPr>
          <w:rFonts w:ascii="Arial CE" w:hAnsi="Arial CE" w:cs="Arial"/>
          <w:b/>
          <w:sz w:val="28"/>
          <w:szCs w:val="28"/>
        </w:rPr>
        <w:t>Dvorečského</w:t>
      </w:r>
      <w:proofErr w:type="spellEnd"/>
      <w:r w:rsidR="004C78BD" w:rsidRPr="004C78BD">
        <w:rPr>
          <w:rFonts w:ascii="Arial CE" w:hAnsi="Arial CE" w:cs="Arial"/>
          <w:b/>
          <w:sz w:val="28"/>
          <w:szCs w:val="28"/>
        </w:rPr>
        <w:t xml:space="preserve"> p. a LBP </w:t>
      </w:r>
      <w:proofErr w:type="spellStart"/>
      <w:r w:rsidR="004C78BD" w:rsidRPr="004C78BD">
        <w:rPr>
          <w:rFonts w:ascii="Arial CE" w:hAnsi="Arial CE" w:cs="Arial"/>
          <w:b/>
          <w:sz w:val="28"/>
          <w:szCs w:val="28"/>
        </w:rPr>
        <w:t>Dvorečského</w:t>
      </w:r>
      <w:proofErr w:type="spellEnd"/>
      <w:r w:rsidR="004C78BD" w:rsidRPr="004C78BD">
        <w:rPr>
          <w:rFonts w:ascii="Arial CE" w:hAnsi="Arial CE" w:cs="Arial"/>
          <w:b/>
          <w:sz w:val="28"/>
          <w:szCs w:val="28"/>
        </w:rPr>
        <w:t xml:space="preserve"> potoka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242636" w:rsidRPr="001D7A19" w:rsidRDefault="0024263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242636" w:rsidRPr="001D7A19" w:rsidRDefault="0024263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242636" w:rsidRPr="001D7A19" w:rsidRDefault="0024263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242636" w:rsidRPr="001D7A19" w:rsidRDefault="00242636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242636" w:rsidRPr="001D7A19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9A13DC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="001D7A19" w:rsidRPr="001D7A19">
        <w:rPr>
          <w:rFonts w:ascii="Arial CE" w:hAnsi="Arial CE" w:cs="Arial"/>
          <w:sz w:val="22"/>
          <w:szCs w:val="22"/>
        </w:rPr>
        <w:t xml:space="preserve">Ing. Petra  </w:t>
      </w:r>
      <w:proofErr w:type="spellStart"/>
      <w:r w:rsidR="001D7A19" w:rsidRPr="001D7A19">
        <w:rPr>
          <w:rFonts w:ascii="Arial CE" w:hAnsi="Arial CE" w:cs="Arial"/>
          <w:sz w:val="22"/>
          <w:szCs w:val="22"/>
        </w:rPr>
        <w:t>Fošumpaurová</w:t>
      </w:r>
      <w:proofErr w:type="spellEnd"/>
      <w:r w:rsidR="001D7A19" w:rsidRPr="001D7A19">
        <w:rPr>
          <w:rFonts w:ascii="Arial CE" w:hAnsi="Arial CE" w:cs="Arial"/>
          <w:sz w:val="22"/>
          <w:szCs w:val="22"/>
        </w:rPr>
        <w:t>, ved</w:t>
      </w:r>
      <w:r w:rsidR="005E1501">
        <w:rPr>
          <w:rFonts w:ascii="Arial CE" w:hAnsi="Arial CE" w:cs="Arial"/>
          <w:sz w:val="22"/>
          <w:szCs w:val="22"/>
        </w:rPr>
        <w:t>oucí</w:t>
      </w:r>
      <w:r w:rsidR="001D7A19" w:rsidRPr="001D7A19">
        <w:rPr>
          <w:rFonts w:ascii="Arial CE" w:hAnsi="Arial CE" w:cs="Arial"/>
          <w:sz w:val="22"/>
          <w:szCs w:val="22"/>
        </w:rPr>
        <w:t xml:space="preserve"> odboru </w:t>
      </w:r>
    </w:p>
    <w:p w:rsidR="00214720" w:rsidRPr="001D7A19" w:rsidRDefault="009A13DC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plánování projektů a zakázek</w:t>
      </w:r>
    </w:p>
    <w:p w:rsidR="00242636" w:rsidRPr="001D7A19" w:rsidRDefault="0021472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C78BD" w:rsidRPr="00F24B22" w:rsidRDefault="008C471F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i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 w:rsidR="0041608D">
        <w:rPr>
          <w:rFonts w:ascii="Arial CE" w:hAnsi="Arial CE" w:cs="Arial"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color w:val="000000"/>
          <w:sz w:val="22"/>
          <w:szCs w:val="22"/>
        </w:rPr>
        <w:t>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</w:r>
      <w:r w:rsidR="004C78BD"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="004C78BD" w:rsidRPr="000A37B0">
        <w:rPr>
          <w:rFonts w:ascii="Arial" w:hAnsi="Arial" w:cs="Arial"/>
          <w:color w:val="000000"/>
          <w:sz w:val="22"/>
          <w:szCs w:val="22"/>
        </w:rPr>
        <w:tab/>
      </w:r>
      <w:r w:rsidR="004C78BD">
        <w:rPr>
          <w:rFonts w:ascii="Arial" w:hAnsi="Arial" w:cs="Arial"/>
          <w:color w:val="000000"/>
          <w:sz w:val="22"/>
          <w:szCs w:val="22"/>
        </w:rPr>
        <w:t>Jitka Pavlasová,</w:t>
      </w:r>
      <w:r w:rsidR="004C78BD" w:rsidRPr="00F24B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78BD" w:rsidRDefault="004C78BD" w:rsidP="004C78BD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manažer projektů (dále jen MPR)</w:t>
      </w:r>
    </w:p>
    <w:p w:rsidR="004C78BD" w:rsidRDefault="004C78BD" w:rsidP="004C78BD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el.:</w:t>
      </w:r>
      <w:r>
        <w:rPr>
          <w:rFonts w:ascii="Arial" w:hAnsi="Arial" w:cs="Arial"/>
          <w:color w:val="000000"/>
          <w:sz w:val="22"/>
          <w:szCs w:val="22"/>
        </w:rPr>
        <w:tab/>
        <w:t>+ 420 353 436 757</w:t>
      </w:r>
    </w:p>
    <w:p w:rsidR="004C78BD" w:rsidRDefault="004C78BD" w:rsidP="004C78BD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mobil:</w:t>
      </w:r>
      <w:r w:rsidRPr="000A37B0">
        <w:rPr>
          <w:rFonts w:ascii="Arial" w:hAnsi="Arial" w:cs="Arial"/>
          <w:color w:val="000000"/>
          <w:sz w:val="22"/>
          <w:szCs w:val="22"/>
        </w:rPr>
        <w:tab/>
        <w:t>+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37B0">
        <w:rPr>
          <w:rFonts w:ascii="Arial" w:hAnsi="Arial" w:cs="Arial"/>
          <w:color w:val="000000"/>
          <w:sz w:val="22"/>
          <w:szCs w:val="22"/>
        </w:rPr>
        <w:t>420</w:t>
      </w:r>
      <w:r>
        <w:rPr>
          <w:rFonts w:ascii="Arial" w:hAnsi="Arial" w:cs="Arial"/>
          <w:color w:val="000000"/>
          <w:sz w:val="22"/>
          <w:szCs w:val="22"/>
        </w:rPr>
        <w:t> 602 203 200</w:t>
      </w:r>
    </w:p>
    <w:p w:rsidR="004C78BD" w:rsidRPr="00F24B22" w:rsidRDefault="004C78BD" w:rsidP="004C78BD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pavlasova</w:t>
      </w:r>
      <w:r w:rsidRPr="009C77A1">
        <w:rPr>
          <w:rFonts w:ascii="Arial" w:hAnsi="Arial" w:cs="Arial"/>
          <w:sz w:val="22"/>
          <w:szCs w:val="22"/>
        </w:rPr>
        <w:t>@poh.cz</w:t>
      </w:r>
    </w:p>
    <w:p w:rsidR="004C78BD" w:rsidRPr="000A37B0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Zástupce pro výkon </w:t>
      </w:r>
      <w:r>
        <w:rPr>
          <w:rFonts w:ascii="Arial" w:hAnsi="Arial" w:cs="Arial"/>
          <w:color w:val="000000"/>
          <w:sz w:val="22"/>
          <w:szCs w:val="22"/>
        </w:rPr>
        <w:t xml:space="preserve">technického  </w:t>
      </w:r>
      <w:r w:rsidRPr="000A37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78BD" w:rsidRPr="000A37B0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Miroslav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Rojt</w:t>
      </w:r>
      <w:proofErr w:type="spellEnd"/>
      <w:r w:rsidRPr="000A37B0">
        <w:rPr>
          <w:rFonts w:ascii="Arial" w:hAnsi="Arial" w:cs="Arial"/>
          <w:color w:val="000000"/>
          <w:sz w:val="22"/>
          <w:szCs w:val="22"/>
        </w:rPr>
        <w:t>,</w:t>
      </w:r>
    </w:p>
    <w:p w:rsidR="004C78BD" w:rsidRPr="000A37B0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ab/>
      </w:r>
      <w:r w:rsidRPr="000A37B0">
        <w:rPr>
          <w:rFonts w:ascii="Arial" w:hAnsi="Arial" w:cs="Arial"/>
          <w:bCs/>
          <w:color w:val="000000"/>
          <w:sz w:val="22"/>
          <w:szCs w:val="22"/>
        </w:rPr>
        <w:t>technický dozor staveb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(dále jen TDS)</w:t>
      </w:r>
    </w:p>
    <w:p w:rsidR="004C78BD" w:rsidRPr="000A37B0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bCs/>
          <w:color w:val="000000"/>
          <w:sz w:val="22"/>
          <w:szCs w:val="22"/>
        </w:rPr>
        <w:tab/>
        <w:t>tel.:</w:t>
      </w:r>
      <w:r w:rsidRPr="000A37B0">
        <w:rPr>
          <w:rFonts w:ascii="Arial" w:hAnsi="Arial" w:cs="Arial"/>
          <w:bCs/>
          <w:color w:val="000000"/>
          <w:sz w:val="22"/>
          <w:szCs w:val="22"/>
        </w:rPr>
        <w:tab/>
        <w:t>+ 420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7039B7">
        <w:rPr>
          <w:rFonts w:ascii="Arial" w:hAnsi="Arial" w:cs="Arial"/>
          <w:bCs/>
          <w:color w:val="000000"/>
          <w:sz w:val="22"/>
          <w:szCs w:val="22"/>
        </w:rPr>
        <w:t>353 436 7</w:t>
      </w:r>
      <w:r>
        <w:rPr>
          <w:rFonts w:ascii="Arial" w:hAnsi="Arial" w:cs="Arial"/>
          <w:bCs/>
          <w:color w:val="000000"/>
          <w:sz w:val="22"/>
          <w:szCs w:val="22"/>
        </w:rPr>
        <w:t>09</w:t>
      </w:r>
    </w:p>
    <w:p w:rsidR="004C78BD" w:rsidRPr="000A37B0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37B0">
        <w:rPr>
          <w:rFonts w:ascii="Arial" w:hAnsi="Arial" w:cs="Arial"/>
          <w:color w:val="000000"/>
          <w:sz w:val="22"/>
          <w:szCs w:val="22"/>
        </w:rPr>
        <w:tab/>
        <w:t>mobil:</w:t>
      </w:r>
      <w:r w:rsidRPr="000A37B0">
        <w:rPr>
          <w:rFonts w:ascii="Arial" w:hAnsi="Arial" w:cs="Arial"/>
          <w:color w:val="000000"/>
          <w:sz w:val="22"/>
          <w:szCs w:val="22"/>
        </w:rPr>
        <w:tab/>
        <w:t>+ 420 </w:t>
      </w:r>
      <w:r w:rsidRPr="007039B7">
        <w:rPr>
          <w:rFonts w:ascii="Arial" w:hAnsi="Arial" w:cs="Arial"/>
          <w:color w:val="000000"/>
          <w:sz w:val="22"/>
          <w:szCs w:val="22"/>
        </w:rPr>
        <w:t>606 752 201</w:t>
      </w:r>
    </w:p>
    <w:p w:rsidR="004C78BD" w:rsidRDefault="004C78BD" w:rsidP="004C78BD">
      <w:pPr>
        <w:tabs>
          <w:tab w:val="left" w:pos="1701"/>
          <w:tab w:val="left" w:pos="4253"/>
        </w:tabs>
        <w:spacing w:line="300" w:lineRule="atLeast"/>
        <w:ind w:left="3960"/>
        <w:rPr>
          <w:rStyle w:val="Hypertextovodkaz"/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e-mail:  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DB1E33">
        <w:rPr>
          <w:rFonts w:ascii="Arial" w:hAnsi="Arial" w:cs="Arial"/>
          <w:sz w:val="22"/>
          <w:szCs w:val="22"/>
        </w:rPr>
        <w:t>rojt</w:t>
      </w:r>
      <w:proofErr w:type="spellEnd"/>
      <w:r w:rsidRPr="00DB1E33">
        <w:rPr>
          <w:rFonts w:ascii="Arial" w:hAnsi="Arial" w:cs="Arial"/>
          <w:sz w:val="22"/>
          <w:szCs w:val="22"/>
          <w:lang w:val="en-US"/>
        </w:rPr>
        <w:t>@</w:t>
      </w:r>
      <w:r w:rsidRPr="00DB1E33">
        <w:rPr>
          <w:rFonts w:ascii="Arial" w:hAnsi="Arial" w:cs="Arial"/>
          <w:sz w:val="22"/>
          <w:szCs w:val="22"/>
        </w:rPr>
        <w:t>poh.cz</w:t>
      </w:r>
    </w:p>
    <w:p w:rsidR="008C471F" w:rsidRPr="001D7A19" w:rsidRDefault="008C471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Komerční banka, a.s., pobočka Chomutov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9137441/0100</w:t>
      </w:r>
      <w:r w:rsidRPr="001D7A19">
        <w:rPr>
          <w:rFonts w:ascii="Arial CE" w:hAnsi="Arial CE" w:cs="Arial"/>
          <w:b/>
          <w:sz w:val="22"/>
          <w:szCs w:val="22"/>
        </w:rPr>
        <w:t xml:space="preserve"> 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 w:rsidR="005E1501">
        <w:rPr>
          <w:rFonts w:ascii="Arial CE" w:hAnsi="Arial CE" w:cs="Arial"/>
          <w:sz w:val="22"/>
          <w:szCs w:val="22"/>
        </w:rPr>
        <w:t>bem v oddílu A, vložce č. 13052.</w:t>
      </w:r>
    </w:p>
    <w:p w:rsidR="004C78BD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4C78BD" w:rsidRDefault="004C78BD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br w:type="page"/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4C78BD" w:rsidRPr="00E0004A" w:rsidRDefault="0041608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dodavatel</w:t>
      </w:r>
      <w:r w:rsidR="004C78BD" w:rsidRPr="00D372C0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4C78BD">
        <w:rPr>
          <w:rFonts w:ascii="Arial" w:hAnsi="Arial" w:cs="Arial"/>
          <w:b/>
          <w:bCs/>
          <w:color w:val="000000"/>
          <w:sz w:val="22"/>
          <w:szCs w:val="22"/>
        </w:rPr>
        <w:tab/>
        <w:t>KV+MV AQUA, spol. s r. o.</w:t>
      </w:r>
    </w:p>
    <w:p w:rsidR="004C78BD" w:rsidRPr="00E0004A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0004A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Dominova 2463/15, 158 00, Praha 5</w:t>
      </w:r>
    </w:p>
    <w:p w:rsidR="004C78BD" w:rsidRPr="00065603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IČ:</w:t>
      </w:r>
      <w:r w:rsidRPr="000656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65603">
        <w:rPr>
          <w:rFonts w:ascii="Arial" w:hAnsi="Arial" w:cs="Arial"/>
          <w:sz w:val="22"/>
          <w:szCs w:val="22"/>
        </w:rPr>
        <w:t>256 84 566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4C78BD" w:rsidRPr="00065603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DIČ: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>CZ 256 84 566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4C78BD" w:rsidRPr="004F5686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zastoupený: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 xml:space="preserve">Ing. Michaelou </w:t>
      </w:r>
      <w:proofErr w:type="spellStart"/>
      <w:r w:rsidRPr="004F5686">
        <w:rPr>
          <w:rFonts w:ascii="Arial" w:hAnsi="Arial" w:cs="Arial"/>
          <w:sz w:val="22"/>
          <w:szCs w:val="22"/>
        </w:rPr>
        <w:t>Vejvalkovou</w:t>
      </w:r>
      <w:proofErr w:type="spellEnd"/>
      <w:r w:rsidRPr="004F5686">
        <w:rPr>
          <w:rFonts w:ascii="Arial" w:hAnsi="Arial" w:cs="Arial"/>
          <w:sz w:val="22"/>
          <w:szCs w:val="22"/>
        </w:rPr>
        <w:t xml:space="preserve">., jednatelem </w:t>
      </w:r>
    </w:p>
    <w:p w:rsidR="004C78BD" w:rsidRPr="004F5686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mobil: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777 840 988</w:t>
      </w:r>
      <w:r w:rsidRPr="004F5686">
        <w:rPr>
          <w:rFonts w:ascii="Arial" w:hAnsi="Arial" w:cs="Arial"/>
          <w:sz w:val="22"/>
          <w:szCs w:val="22"/>
        </w:rPr>
        <w:tab/>
      </w:r>
    </w:p>
    <w:p w:rsidR="004C78BD" w:rsidRPr="004F5686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e-mail: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vejvalkova@kvmvaqua.cz</w:t>
      </w:r>
      <w:r w:rsidRPr="004F5686">
        <w:rPr>
          <w:rFonts w:ascii="Arial" w:hAnsi="Arial" w:cs="Arial"/>
          <w:sz w:val="22"/>
          <w:szCs w:val="22"/>
        </w:rPr>
        <w:tab/>
      </w:r>
    </w:p>
    <w:p w:rsidR="004C78BD" w:rsidRPr="004F5686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C78BD" w:rsidRPr="004F5686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Bankovní spojení: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GE Money bank, a.s. Praha 6</w:t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</w:p>
    <w:p w:rsidR="004C78BD" w:rsidRPr="00065603" w:rsidRDefault="004C78BD" w:rsidP="004C78B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číslo účtu: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sz w:val="22"/>
          <w:szCs w:val="22"/>
        </w:rPr>
        <w:t>164200797/0600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4C78BD" w:rsidRDefault="004C78BD" w:rsidP="004C78BD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</w:p>
    <w:p w:rsidR="004C78BD" w:rsidRPr="00065603" w:rsidRDefault="004C78BD" w:rsidP="004C78BD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065603">
        <w:rPr>
          <w:rFonts w:ascii="Arial" w:hAnsi="Arial" w:cs="Arial"/>
          <w:sz w:val="22"/>
          <w:szCs w:val="22"/>
        </w:rPr>
        <w:t xml:space="preserve">Firma je zapsána u Městského soudu v Praze, oddíl C, vložka 60982 </w:t>
      </w:r>
    </w:p>
    <w:p w:rsidR="004C78BD" w:rsidRPr="001D7A19" w:rsidRDefault="004C78BD" w:rsidP="004C78BD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 (dále jen „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8C471F" w:rsidRPr="005E1501" w:rsidRDefault="00072293" w:rsidP="005E1501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41608D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1D7A19" w:rsidRDefault="00F92B39" w:rsidP="009F4283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sz w:val="22"/>
          <w:szCs w:val="22"/>
          <w:highlight w:val="yellow"/>
        </w:rPr>
      </w:pPr>
    </w:p>
    <w:p w:rsidR="00F92B39" w:rsidRPr="002955D5" w:rsidRDefault="00F92B39" w:rsidP="001E110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="Arial CE" w:hAnsi="Arial CE" w:cs="Arial"/>
          <w:b/>
          <w:sz w:val="22"/>
          <w:szCs w:val="22"/>
        </w:rPr>
      </w:pPr>
      <w:r w:rsidRPr="002955D5">
        <w:rPr>
          <w:rFonts w:ascii="Arial CE" w:hAnsi="Arial CE" w:cs="Arial"/>
          <w:b/>
          <w:sz w:val="22"/>
          <w:szCs w:val="22"/>
        </w:rPr>
        <w:t>Dokumentaci pro vydání rozhodnutí o umístění stavby (dále jen DUR)</w:t>
      </w:r>
    </w:p>
    <w:p w:rsidR="00C60059" w:rsidRPr="002955D5" w:rsidRDefault="00C60059" w:rsidP="00C60059">
      <w:pPr>
        <w:pStyle w:val="Odstavecseseznamem"/>
        <w:autoSpaceDE w:val="0"/>
        <w:autoSpaceDN w:val="0"/>
        <w:adjustRightInd w:val="0"/>
        <w:ind w:left="426"/>
        <w:rPr>
          <w:rFonts w:ascii="Arial CE" w:hAnsi="Arial CE" w:cs="Arial"/>
          <w:b/>
          <w:sz w:val="22"/>
          <w:szCs w:val="22"/>
        </w:rPr>
      </w:pPr>
    </w:p>
    <w:p w:rsidR="00C60059" w:rsidRPr="003F793B" w:rsidRDefault="00C60059" w:rsidP="00C600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3F793B">
        <w:rPr>
          <w:rFonts w:ascii="Arial CE" w:hAnsi="Arial CE" w:cs="Arial"/>
          <w:sz w:val="22"/>
          <w:szCs w:val="22"/>
        </w:rPr>
        <w:t>Geodetické zaměření</w:t>
      </w:r>
    </w:p>
    <w:p w:rsidR="00C60059" w:rsidRPr="003F793B" w:rsidRDefault="00C60059" w:rsidP="00C60059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</w:p>
    <w:p w:rsidR="00C60059" w:rsidRPr="003F793B" w:rsidRDefault="00C60059" w:rsidP="00C600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3F793B">
        <w:rPr>
          <w:rFonts w:ascii="Arial CE" w:hAnsi="Arial CE" w:cs="Arial"/>
          <w:sz w:val="22"/>
          <w:szCs w:val="22"/>
        </w:rPr>
        <w:t>Průzkumné práce</w:t>
      </w:r>
    </w:p>
    <w:p w:rsidR="00F92B39" w:rsidRPr="003F793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F92B39" w:rsidRPr="003F793B" w:rsidRDefault="00F92B39" w:rsidP="00C600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F793B">
        <w:rPr>
          <w:rFonts w:ascii="Arial CE" w:hAnsi="Arial CE" w:cs="Arial"/>
          <w:sz w:val="22"/>
          <w:szCs w:val="22"/>
        </w:rPr>
        <w:t xml:space="preserve">Ověřený geometrický plán </w:t>
      </w:r>
      <w:r w:rsidR="00420D0D" w:rsidRPr="003F793B">
        <w:rPr>
          <w:rFonts w:ascii="Arial CE" w:hAnsi="Arial CE" w:cs="Arial"/>
          <w:sz w:val="22"/>
          <w:szCs w:val="22"/>
        </w:rPr>
        <w:t>(dále jen OGP)</w:t>
      </w:r>
    </w:p>
    <w:p w:rsidR="00F92B39" w:rsidRPr="004C78BD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524A45" w:rsidRDefault="006102B9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  <w:r w:rsidR="0041608D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se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38627B" w:rsidRDefault="002F2C2C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3A246A" w:rsidRPr="004C78BD" w:rsidRDefault="003A246A" w:rsidP="004C78BD">
      <w:pPr>
        <w:pStyle w:val="Odstavecseseznamem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 CE" w:hAnsi="Arial CE" w:cs="Arial"/>
          <w:b/>
          <w:sz w:val="22"/>
          <w:szCs w:val="22"/>
        </w:rPr>
      </w:pPr>
      <w:r w:rsidRPr="004C78BD">
        <w:rPr>
          <w:rFonts w:ascii="Arial CE" w:hAnsi="Arial CE" w:cs="Arial"/>
          <w:b/>
          <w:sz w:val="22"/>
          <w:szCs w:val="22"/>
        </w:rPr>
        <w:t>Dokumentace pro vydání rozhodnutí o umístění stavby (dále jen DUR)</w:t>
      </w:r>
    </w:p>
    <w:p w:rsidR="003A246A" w:rsidRPr="0038627B" w:rsidRDefault="003A246A" w:rsidP="0025566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bCs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Projektová dokumentace bude zpracována v souladu s vyhláškou </w:t>
      </w:r>
      <w:r w:rsidR="00255667" w:rsidRPr="0038627B">
        <w:rPr>
          <w:rFonts w:ascii="Arial CE" w:hAnsi="Arial CE" w:cs="Arial"/>
          <w:sz w:val="22"/>
          <w:szCs w:val="22"/>
        </w:rPr>
        <w:t>č. 6</w:t>
      </w:r>
      <w:r w:rsidR="00E91F68" w:rsidRPr="0038627B">
        <w:rPr>
          <w:rFonts w:ascii="Arial CE" w:hAnsi="Arial CE" w:cs="Arial"/>
          <w:sz w:val="22"/>
          <w:szCs w:val="22"/>
        </w:rPr>
        <w:t>2</w:t>
      </w:r>
      <w:r w:rsidR="00D0367E" w:rsidRPr="0038627B">
        <w:rPr>
          <w:rFonts w:ascii="Arial CE" w:hAnsi="Arial CE" w:cs="Arial"/>
          <w:sz w:val="22"/>
          <w:szCs w:val="22"/>
        </w:rPr>
        <w:t>/2013 Sb.</w:t>
      </w:r>
      <w:r w:rsidR="00AC1472" w:rsidRPr="0038627B">
        <w:rPr>
          <w:rFonts w:ascii="Arial CE" w:hAnsi="Arial CE" w:cs="Arial"/>
          <w:sz w:val="22"/>
          <w:szCs w:val="22"/>
        </w:rPr>
        <w:t>,</w:t>
      </w:r>
      <w:r w:rsidR="00151C22" w:rsidRPr="0038627B">
        <w:rPr>
          <w:rFonts w:ascii="Arial CE" w:hAnsi="Arial CE" w:cs="Arial"/>
          <w:bCs/>
          <w:sz w:val="22"/>
          <w:szCs w:val="22"/>
        </w:rPr>
        <w:t xml:space="preserve"> kterou se mění vyhláška č. </w:t>
      </w:r>
      <w:r w:rsidR="00E91F68" w:rsidRPr="0038627B">
        <w:rPr>
          <w:rFonts w:ascii="Arial CE" w:hAnsi="Arial CE" w:cs="Arial"/>
          <w:bCs/>
          <w:sz w:val="22"/>
          <w:szCs w:val="22"/>
        </w:rPr>
        <w:t>499</w:t>
      </w:r>
      <w:r w:rsidR="00255667" w:rsidRPr="0038627B">
        <w:rPr>
          <w:rFonts w:ascii="Arial CE" w:hAnsi="Arial CE" w:cs="Arial"/>
          <w:bCs/>
          <w:sz w:val="22"/>
          <w:szCs w:val="22"/>
        </w:rPr>
        <w:t>/2006</w:t>
      </w:r>
      <w:r w:rsidR="00151C22" w:rsidRPr="0038627B">
        <w:rPr>
          <w:rFonts w:ascii="Arial CE" w:hAnsi="Arial CE" w:cs="Arial"/>
          <w:bCs/>
          <w:sz w:val="22"/>
          <w:szCs w:val="22"/>
        </w:rPr>
        <w:t xml:space="preserve"> </w:t>
      </w:r>
      <w:r w:rsidR="00255667" w:rsidRPr="0038627B">
        <w:rPr>
          <w:rFonts w:ascii="Arial CE" w:hAnsi="Arial CE" w:cs="Arial"/>
          <w:bCs/>
          <w:sz w:val="22"/>
          <w:szCs w:val="22"/>
        </w:rPr>
        <w:t xml:space="preserve">Sb., </w:t>
      </w:r>
      <w:r w:rsidR="00E91F68" w:rsidRPr="0038627B">
        <w:rPr>
          <w:rFonts w:ascii="Arial CE" w:hAnsi="Arial CE" w:cs="Arial"/>
          <w:bCs/>
          <w:sz w:val="22"/>
          <w:szCs w:val="22"/>
        </w:rPr>
        <w:t xml:space="preserve">o dokumentaci staveb v platném znění. </w:t>
      </w:r>
      <w:r w:rsidR="00255667" w:rsidRPr="0038627B">
        <w:rPr>
          <w:rFonts w:ascii="Arial CE" w:hAnsi="Arial CE" w:cs="Arial"/>
          <w:sz w:val="22"/>
          <w:szCs w:val="22"/>
        </w:rPr>
        <w:t>O</w:t>
      </w:r>
      <w:r w:rsidRPr="0038627B">
        <w:rPr>
          <w:rFonts w:ascii="Arial CE" w:hAnsi="Arial CE" w:cs="Arial"/>
          <w:sz w:val="22"/>
          <w:szCs w:val="22"/>
        </w:rPr>
        <w:t>bsah a roz</w:t>
      </w:r>
      <w:r w:rsidR="00D0367E" w:rsidRPr="0038627B">
        <w:rPr>
          <w:rFonts w:ascii="Arial CE" w:hAnsi="Arial CE" w:cs="Arial"/>
          <w:sz w:val="22"/>
          <w:szCs w:val="22"/>
        </w:rPr>
        <w:t>sah dokumentace bude odpovídat p</w:t>
      </w:r>
      <w:r w:rsidRPr="0038627B">
        <w:rPr>
          <w:rFonts w:ascii="Arial CE" w:hAnsi="Arial CE" w:cs="Arial"/>
          <w:sz w:val="22"/>
          <w:szCs w:val="22"/>
        </w:rPr>
        <w:t xml:space="preserve">říloze č. 1 této </w:t>
      </w:r>
      <w:r w:rsidR="006B31DF" w:rsidRPr="0038627B">
        <w:rPr>
          <w:rFonts w:ascii="Arial CE" w:hAnsi="Arial CE" w:cs="Arial"/>
          <w:sz w:val="22"/>
          <w:szCs w:val="22"/>
        </w:rPr>
        <w:t xml:space="preserve">vyhlášky včetně propočtu nákladů stavby v členění </w:t>
      </w:r>
      <w:r w:rsidR="0006325A" w:rsidRPr="0038627B">
        <w:rPr>
          <w:rFonts w:ascii="Arial CE" w:hAnsi="Arial CE" w:cs="Arial"/>
          <w:sz w:val="22"/>
          <w:szCs w:val="22"/>
        </w:rPr>
        <w:t xml:space="preserve">na stavební část, technologickou část a ostatní náklady </w:t>
      </w:r>
      <w:r w:rsidR="006B31DF" w:rsidRPr="0038627B">
        <w:rPr>
          <w:rFonts w:ascii="Arial CE" w:hAnsi="Arial CE" w:cs="Arial"/>
          <w:sz w:val="22"/>
          <w:szCs w:val="22"/>
        </w:rPr>
        <w:t>dle požadavku objednatele.</w:t>
      </w:r>
    </w:p>
    <w:p w:rsidR="008B52C8" w:rsidRPr="0038627B" w:rsidRDefault="008B52C8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60059" w:rsidRPr="003F793B" w:rsidRDefault="008B52C8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F793B">
        <w:rPr>
          <w:rFonts w:ascii="Arial CE" w:hAnsi="Arial CE" w:cs="Arial"/>
          <w:sz w:val="22"/>
          <w:szCs w:val="22"/>
        </w:rPr>
        <w:t xml:space="preserve">Dokumentace bude předána MPR v počtu </w:t>
      </w:r>
      <w:r w:rsidR="00537B13" w:rsidRPr="003F793B">
        <w:rPr>
          <w:rFonts w:ascii="Arial CE" w:hAnsi="Arial CE" w:cs="Arial"/>
          <w:sz w:val="22"/>
          <w:szCs w:val="22"/>
        </w:rPr>
        <w:t>4</w:t>
      </w:r>
      <w:r w:rsidRPr="003F793B">
        <w:rPr>
          <w:rFonts w:ascii="Arial CE" w:hAnsi="Arial CE" w:cs="Arial"/>
          <w:sz w:val="22"/>
          <w:szCs w:val="22"/>
        </w:rPr>
        <w:t xml:space="preserve">x </w:t>
      </w:r>
      <w:proofErr w:type="spellStart"/>
      <w:r w:rsidRPr="003F793B">
        <w:rPr>
          <w:rFonts w:ascii="Arial CE" w:hAnsi="Arial CE" w:cs="Arial"/>
          <w:sz w:val="22"/>
          <w:szCs w:val="22"/>
        </w:rPr>
        <w:t>paré</w:t>
      </w:r>
      <w:proofErr w:type="spellEnd"/>
      <w:r w:rsidRPr="003F793B">
        <w:rPr>
          <w:rFonts w:ascii="Arial CE" w:hAnsi="Arial CE" w:cs="Arial"/>
          <w:sz w:val="22"/>
          <w:szCs w:val="22"/>
        </w:rPr>
        <w:t xml:space="preserve"> tištěné + 1x na elektronickém nosiči dat.</w:t>
      </w:r>
      <w:r w:rsidR="00B0166A" w:rsidRPr="003F793B">
        <w:rPr>
          <w:rFonts w:ascii="Arial CE" w:hAnsi="Arial CE" w:cs="Arial"/>
          <w:sz w:val="22"/>
          <w:szCs w:val="22"/>
        </w:rPr>
        <w:t xml:space="preserve"> 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/>
          <w:sz w:val="22"/>
          <w:szCs w:val="22"/>
          <w:highlight w:val="yellow"/>
        </w:rPr>
      </w:pPr>
    </w:p>
    <w:p w:rsidR="00C60059" w:rsidRPr="003F793B" w:rsidRDefault="0038627B" w:rsidP="00C6005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3F793B">
        <w:rPr>
          <w:rFonts w:ascii="Arial CE" w:hAnsi="Arial CE" w:cs="Arial"/>
          <w:sz w:val="22"/>
          <w:szCs w:val="22"/>
          <w:u w:val="single"/>
        </w:rPr>
        <w:lastRenderedPageBreak/>
        <w:t>Geodetické zaměření</w:t>
      </w:r>
    </w:p>
    <w:p w:rsidR="00C60059" w:rsidRPr="002955D5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955D5">
        <w:rPr>
          <w:rFonts w:ascii="Arial CE" w:hAnsi="Arial CE" w:cs="Arial"/>
          <w:sz w:val="22"/>
          <w:szCs w:val="22"/>
        </w:rPr>
        <w:t xml:space="preserve">Geodetické zaměření lokality pro následné zpracování projektové dokumentace na podkladu platné katastrální mapy dle </w:t>
      </w:r>
      <w:r w:rsidRPr="002955D5">
        <w:rPr>
          <w:rFonts w:ascii="Arial CE" w:hAnsi="Arial CE" w:cs="Helv"/>
          <w:sz w:val="22"/>
          <w:szCs w:val="22"/>
        </w:rPr>
        <w:t xml:space="preserve">zákona č. 200/1994 sb., o zeměměřictví v platném znění a vyhlášce č. 357/2013 Sb., o katastru nemovitostí v platném znění. </w:t>
      </w:r>
      <w:r w:rsidRPr="002955D5">
        <w:rPr>
          <w:rFonts w:ascii="Arial CE" w:hAnsi="Arial CE" w:cs="Arial"/>
          <w:sz w:val="22"/>
          <w:szCs w:val="22"/>
        </w:rPr>
        <w:t>Geodetické zaměření zájmové lokality bude provedeno v souřadnicovém systému Jednotné trigonometrické sítě katastrální (S-JTSK) a výškovém systému baltském - po vyrovnání (</w:t>
      </w:r>
      <w:proofErr w:type="spellStart"/>
      <w:r w:rsidRPr="002955D5">
        <w:rPr>
          <w:rFonts w:ascii="Arial CE" w:hAnsi="Arial CE" w:cs="Arial"/>
          <w:sz w:val="22"/>
          <w:szCs w:val="22"/>
        </w:rPr>
        <w:t>Bpv</w:t>
      </w:r>
      <w:proofErr w:type="spellEnd"/>
      <w:r w:rsidRPr="002955D5">
        <w:rPr>
          <w:rFonts w:ascii="Arial CE" w:hAnsi="Arial CE" w:cs="Arial"/>
          <w:sz w:val="22"/>
          <w:szCs w:val="22"/>
        </w:rPr>
        <w:t xml:space="preserve">). Součástí geodetického zaměření budou geodetické podklady včetně geodetických údajů o PBPP. </w:t>
      </w:r>
    </w:p>
    <w:p w:rsidR="00C60059" w:rsidRPr="002955D5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60059" w:rsidRPr="002955D5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955D5">
        <w:rPr>
          <w:rFonts w:ascii="Arial CE" w:hAnsi="Arial CE" w:cs="Arial"/>
          <w:sz w:val="22"/>
          <w:szCs w:val="22"/>
        </w:rPr>
        <w:t>Geodetické zaměření</w:t>
      </w:r>
      <w:r w:rsidRPr="002955D5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2955D5">
        <w:rPr>
          <w:rFonts w:ascii="Arial CE" w:hAnsi="Arial CE" w:cs="Arial"/>
          <w:sz w:val="22"/>
          <w:szCs w:val="22"/>
        </w:rPr>
        <w:t xml:space="preserve">a bude předáno MPR v počtu 1x </w:t>
      </w:r>
      <w:proofErr w:type="spellStart"/>
      <w:r w:rsidRPr="002955D5">
        <w:rPr>
          <w:rFonts w:ascii="Arial CE" w:hAnsi="Arial CE" w:cs="Arial"/>
          <w:sz w:val="22"/>
          <w:szCs w:val="22"/>
        </w:rPr>
        <w:t>paré</w:t>
      </w:r>
      <w:proofErr w:type="spellEnd"/>
      <w:r w:rsidRPr="002955D5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C60059" w:rsidRPr="002955D5" w:rsidRDefault="00C60059" w:rsidP="00C60059">
      <w:pPr>
        <w:autoSpaceDE w:val="0"/>
        <w:autoSpaceDN w:val="0"/>
        <w:adjustRightInd w:val="0"/>
        <w:ind w:left="720" w:hanging="72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60059" w:rsidRPr="003F793B" w:rsidRDefault="00C60059" w:rsidP="00C6005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color w:val="FF0000"/>
          <w:sz w:val="22"/>
          <w:szCs w:val="22"/>
          <w:u w:val="single"/>
        </w:rPr>
      </w:pPr>
      <w:r w:rsidRPr="003F793B">
        <w:rPr>
          <w:rFonts w:ascii="Arial CE" w:hAnsi="Arial CE" w:cs="Arial"/>
          <w:sz w:val="22"/>
          <w:szCs w:val="22"/>
          <w:u w:val="single"/>
        </w:rPr>
        <w:t>Průzkumné práce</w:t>
      </w:r>
    </w:p>
    <w:p w:rsidR="004C78BD" w:rsidRDefault="0041608D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C60059" w:rsidRPr="002955D5">
        <w:rPr>
          <w:rFonts w:ascii="Arial CE" w:hAnsi="Arial CE" w:cs="Arial"/>
          <w:sz w:val="22"/>
          <w:szCs w:val="22"/>
        </w:rPr>
        <w:t xml:space="preserve"> zajistí provedení veškerých průzkumných prací včetně průzkumu trasy vedení </w:t>
      </w:r>
      <w:proofErr w:type="spellStart"/>
      <w:r w:rsidR="00C60059" w:rsidRPr="002955D5">
        <w:rPr>
          <w:rFonts w:ascii="Arial CE" w:hAnsi="Arial CE" w:cs="Arial"/>
          <w:sz w:val="22"/>
          <w:szCs w:val="22"/>
        </w:rPr>
        <w:t>inž</w:t>
      </w:r>
      <w:proofErr w:type="spellEnd"/>
      <w:r w:rsidR="00C60059" w:rsidRPr="002955D5">
        <w:rPr>
          <w:rFonts w:ascii="Arial CE" w:hAnsi="Arial CE" w:cs="Arial"/>
          <w:sz w:val="22"/>
          <w:szCs w:val="22"/>
        </w:rPr>
        <w:t xml:space="preserve">. sítí (IS), kde je předpoklad kolize IS se stavbou a zároveň prohlašuje, že jím nadefinovaný rozsah průzkumných prací je dostačující jako podklad pro zhotovení kvalitní projektové dokumentace. </w:t>
      </w:r>
      <w:r w:rsidR="003F793B">
        <w:rPr>
          <w:rFonts w:ascii="Arial CE" w:hAnsi="Arial CE" w:cs="Arial"/>
          <w:sz w:val="22"/>
          <w:szCs w:val="22"/>
        </w:rPr>
        <w:t>K provádění průzkumných prací na místě bude prostřednictvím MPR přizván TDS.</w:t>
      </w:r>
    </w:p>
    <w:p w:rsidR="002A6EA6" w:rsidRDefault="002A6EA6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F793B" w:rsidRPr="002955D5" w:rsidRDefault="003F793B" w:rsidP="003F793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Výsledn</w:t>
      </w:r>
      <w:r w:rsidR="002A6EA6">
        <w:rPr>
          <w:rFonts w:ascii="Arial CE" w:hAnsi="Arial CE" w:cs="Arial"/>
          <w:sz w:val="22"/>
          <w:szCs w:val="22"/>
        </w:rPr>
        <w:t>á</w:t>
      </w:r>
      <w:r>
        <w:rPr>
          <w:rFonts w:ascii="Arial CE" w:hAnsi="Arial CE" w:cs="Arial"/>
          <w:sz w:val="22"/>
          <w:szCs w:val="22"/>
        </w:rPr>
        <w:t xml:space="preserve"> zpráv</w:t>
      </w:r>
      <w:r w:rsidR="002A6EA6">
        <w:rPr>
          <w:rFonts w:ascii="Arial CE" w:hAnsi="Arial CE" w:cs="Arial"/>
          <w:sz w:val="22"/>
          <w:szCs w:val="22"/>
        </w:rPr>
        <w:t>a</w:t>
      </w:r>
      <w:r w:rsidRPr="002955D5">
        <w:rPr>
          <w:rFonts w:ascii="Arial CE" w:hAnsi="Arial CE" w:cs="Arial"/>
          <w:sz w:val="22"/>
          <w:szCs w:val="22"/>
        </w:rPr>
        <w:t xml:space="preserve"> bud</w:t>
      </w:r>
      <w:r w:rsidR="002A6EA6">
        <w:rPr>
          <w:rFonts w:ascii="Arial CE" w:hAnsi="Arial CE" w:cs="Arial"/>
          <w:sz w:val="22"/>
          <w:szCs w:val="22"/>
        </w:rPr>
        <w:t>e</w:t>
      </w:r>
      <w:r w:rsidRPr="002955D5">
        <w:rPr>
          <w:rFonts w:ascii="Arial CE" w:hAnsi="Arial CE" w:cs="Arial"/>
          <w:sz w:val="22"/>
          <w:szCs w:val="22"/>
        </w:rPr>
        <w:t xml:space="preserve"> předán</w:t>
      </w:r>
      <w:r w:rsidR="002A6EA6">
        <w:rPr>
          <w:rFonts w:ascii="Arial CE" w:hAnsi="Arial CE" w:cs="Arial"/>
          <w:sz w:val="22"/>
          <w:szCs w:val="22"/>
        </w:rPr>
        <w:t>a</w:t>
      </w:r>
      <w:r w:rsidRPr="002955D5">
        <w:rPr>
          <w:rFonts w:ascii="Arial CE" w:hAnsi="Arial CE" w:cs="Arial"/>
          <w:sz w:val="22"/>
          <w:szCs w:val="22"/>
        </w:rPr>
        <w:t xml:space="preserve"> MPR v počtu 1x </w:t>
      </w:r>
      <w:proofErr w:type="spellStart"/>
      <w:r w:rsidRPr="002955D5">
        <w:rPr>
          <w:rFonts w:ascii="Arial CE" w:hAnsi="Arial CE" w:cs="Arial"/>
          <w:sz w:val="22"/>
          <w:szCs w:val="22"/>
        </w:rPr>
        <w:t>paré</w:t>
      </w:r>
      <w:proofErr w:type="spellEnd"/>
      <w:r w:rsidRPr="002955D5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2F2C2C" w:rsidRPr="002955D5" w:rsidRDefault="002F2C2C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A246A" w:rsidRPr="003F793B" w:rsidRDefault="003A246A" w:rsidP="00C6005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3F793B">
        <w:rPr>
          <w:rFonts w:ascii="Arial CE" w:hAnsi="Arial CE" w:cs="Arial"/>
          <w:sz w:val="22"/>
          <w:szCs w:val="22"/>
          <w:u w:val="single"/>
        </w:rPr>
        <w:t xml:space="preserve">Ověřený geometrický plán </w:t>
      </w:r>
      <w:r w:rsidR="00420D0D" w:rsidRPr="003F793B">
        <w:rPr>
          <w:rFonts w:ascii="Arial CE" w:hAnsi="Arial CE" w:cs="Arial"/>
          <w:sz w:val="22"/>
          <w:szCs w:val="22"/>
          <w:u w:val="single"/>
        </w:rPr>
        <w:t>(dále jen OGP)</w:t>
      </w:r>
    </w:p>
    <w:p w:rsidR="00410541" w:rsidRPr="0038627B" w:rsidRDefault="00FA6FDE" w:rsidP="00E00412">
      <w:pPr>
        <w:jc w:val="both"/>
        <w:rPr>
          <w:rFonts w:ascii="Arial CE" w:hAnsi="Arial CE" w:cs="Helv"/>
          <w:sz w:val="22"/>
          <w:szCs w:val="22"/>
        </w:rPr>
      </w:pPr>
      <w:r w:rsidRPr="002955D5">
        <w:rPr>
          <w:rFonts w:ascii="Arial CE" w:hAnsi="Arial CE" w:cs="Helv"/>
          <w:sz w:val="22"/>
          <w:szCs w:val="22"/>
        </w:rPr>
        <w:t>Zhotovení geometrického plánu, který svými náležitostmi a přesností bude odpovídat zákonu č. 200/1994 sb., o zeměměřictví v platném znění a vyhlášce č. 357/2013 Sb. o katastru nemovitostí v platném znění. Geometrický plán bude zpracován odbornou osobou, s očíslováním parcel pro zápis vlastnických a dalších věcných práv do katastru nemovitostí, ověřen úředně oprávněným zeměměřickým inženýrem a opatřen souhlasem příslušným katastrálním úřadem.</w:t>
      </w:r>
    </w:p>
    <w:p w:rsidR="0038627B" w:rsidRDefault="0038627B" w:rsidP="00E00412">
      <w:pPr>
        <w:jc w:val="both"/>
        <w:rPr>
          <w:rFonts w:ascii="Arial CE" w:hAnsi="Arial CE" w:cs="Arial"/>
          <w:sz w:val="22"/>
          <w:szCs w:val="22"/>
        </w:rPr>
      </w:pPr>
    </w:p>
    <w:p w:rsidR="00492961" w:rsidRPr="0038627B" w:rsidRDefault="00AD6658" w:rsidP="00E00412">
      <w:pPr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Doporučený p</w:t>
      </w:r>
      <w:r w:rsidR="00D0367E" w:rsidRPr="0038627B">
        <w:rPr>
          <w:rFonts w:ascii="Arial CE" w:hAnsi="Arial CE" w:cs="Arial"/>
          <w:sz w:val="22"/>
          <w:szCs w:val="22"/>
        </w:rPr>
        <w:t>ostup prací:</w:t>
      </w:r>
      <w:r w:rsidR="00D0367E" w:rsidRPr="0038627B">
        <w:rPr>
          <w:rFonts w:ascii="Arial CE" w:hAnsi="Arial CE" w:cs="Arial"/>
          <w:sz w:val="22"/>
          <w:szCs w:val="22"/>
        </w:rPr>
        <w:tab/>
      </w:r>
    </w:p>
    <w:p w:rsidR="00F460E1" w:rsidRPr="0038627B" w:rsidRDefault="0041608D" w:rsidP="0031002B">
      <w:pPr>
        <w:pStyle w:val="Odstavecseseznamem"/>
        <w:numPr>
          <w:ilvl w:val="0"/>
          <w:numId w:val="25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2856B5" w:rsidRPr="0038627B">
        <w:rPr>
          <w:rFonts w:ascii="Arial CE" w:hAnsi="Arial CE" w:cs="Arial"/>
          <w:sz w:val="22"/>
          <w:szCs w:val="22"/>
        </w:rPr>
        <w:t xml:space="preserve"> </w:t>
      </w:r>
      <w:r w:rsidR="001E524E" w:rsidRPr="0038627B">
        <w:rPr>
          <w:rFonts w:ascii="Arial CE" w:hAnsi="Arial CE" w:cs="Arial"/>
          <w:sz w:val="22"/>
          <w:szCs w:val="22"/>
        </w:rPr>
        <w:t xml:space="preserve">v případě potřeby </w:t>
      </w:r>
      <w:r w:rsidR="00410541" w:rsidRPr="0038627B">
        <w:rPr>
          <w:rFonts w:ascii="Arial CE" w:hAnsi="Arial CE" w:cs="Arial"/>
          <w:sz w:val="22"/>
          <w:szCs w:val="22"/>
        </w:rPr>
        <w:t>svolá místní</w:t>
      </w:r>
      <w:r w:rsidR="00F460E1" w:rsidRPr="0038627B">
        <w:rPr>
          <w:rFonts w:ascii="Arial CE" w:hAnsi="Arial CE" w:cs="Arial"/>
          <w:sz w:val="22"/>
          <w:szCs w:val="22"/>
        </w:rPr>
        <w:t xml:space="preserve"> šetření se zástupci objednatele </w:t>
      </w:r>
      <w:r w:rsidR="0031002B" w:rsidRPr="0038627B">
        <w:rPr>
          <w:rFonts w:ascii="Arial CE" w:hAnsi="Arial CE" w:cs="Arial"/>
          <w:sz w:val="22"/>
          <w:szCs w:val="22"/>
        </w:rPr>
        <w:t>a</w:t>
      </w:r>
      <w:r w:rsidR="002856B5" w:rsidRPr="0038627B">
        <w:rPr>
          <w:rFonts w:ascii="Arial CE" w:hAnsi="Arial CE" w:cs="Arial"/>
          <w:sz w:val="22"/>
          <w:szCs w:val="22"/>
        </w:rPr>
        <w:t xml:space="preserve"> s geodetem nad návrhem geometrického plánu</w:t>
      </w:r>
    </w:p>
    <w:p w:rsidR="00F460E1" w:rsidRPr="0038627B" w:rsidRDefault="00F460E1" w:rsidP="00F460E1">
      <w:pPr>
        <w:suppressAutoHyphens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­</w:t>
      </w:r>
      <w:r w:rsidRPr="0038627B">
        <w:rPr>
          <w:rFonts w:ascii="Arial CE" w:hAnsi="Arial CE" w:cs="Arial"/>
          <w:sz w:val="22"/>
          <w:szCs w:val="22"/>
        </w:rPr>
        <w:tab/>
      </w:r>
      <w:r w:rsidR="0041608D">
        <w:rPr>
          <w:rFonts w:ascii="Arial CE" w:hAnsi="Arial CE" w:cs="Arial"/>
          <w:sz w:val="22"/>
          <w:szCs w:val="22"/>
        </w:rPr>
        <w:t>dodavatel</w:t>
      </w:r>
      <w:r w:rsidR="00E05897" w:rsidRPr="0038627B">
        <w:rPr>
          <w:rFonts w:ascii="Arial CE" w:hAnsi="Arial CE" w:cs="Arial"/>
          <w:sz w:val="22"/>
          <w:szCs w:val="22"/>
        </w:rPr>
        <w:t xml:space="preserve"> předloží </w:t>
      </w:r>
      <w:r w:rsidR="0031002B" w:rsidRPr="0038627B">
        <w:rPr>
          <w:rFonts w:ascii="Arial CE" w:hAnsi="Arial CE" w:cs="Arial"/>
          <w:sz w:val="22"/>
          <w:szCs w:val="22"/>
        </w:rPr>
        <w:t xml:space="preserve">schválené technické řešení na podkladu </w:t>
      </w:r>
      <w:r w:rsidR="00E05897" w:rsidRPr="0038627B">
        <w:rPr>
          <w:rFonts w:ascii="Arial CE" w:hAnsi="Arial CE" w:cs="Arial"/>
          <w:sz w:val="22"/>
          <w:szCs w:val="22"/>
        </w:rPr>
        <w:t>rozpracov</w:t>
      </w:r>
      <w:r w:rsidR="0031002B" w:rsidRPr="0038627B">
        <w:rPr>
          <w:rFonts w:ascii="Arial CE" w:hAnsi="Arial CE" w:cs="Arial"/>
          <w:sz w:val="22"/>
          <w:szCs w:val="22"/>
        </w:rPr>
        <w:t>aného</w:t>
      </w:r>
      <w:r w:rsidR="00E05897" w:rsidRPr="0038627B">
        <w:rPr>
          <w:rFonts w:ascii="Arial CE" w:hAnsi="Arial CE" w:cs="Arial"/>
          <w:sz w:val="22"/>
          <w:szCs w:val="22"/>
        </w:rPr>
        <w:t xml:space="preserve"> geometrick</w:t>
      </w:r>
      <w:r w:rsidR="0031002B" w:rsidRPr="0038627B">
        <w:rPr>
          <w:rFonts w:ascii="Arial CE" w:hAnsi="Arial CE" w:cs="Arial"/>
          <w:sz w:val="22"/>
          <w:szCs w:val="22"/>
        </w:rPr>
        <w:t>ého</w:t>
      </w:r>
      <w:r w:rsidR="00E05897" w:rsidRPr="0038627B">
        <w:rPr>
          <w:rFonts w:ascii="Arial CE" w:hAnsi="Arial CE" w:cs="Arial"/>
          <w:sz w:val="22"/>
          <w:szCs w:val="22"/>
        </w:rPr>
        <w:t xml:space="preserve"> plán</w:t>
      </w:r>
      <w:r w:rsidR="0031002B" w:rsidRPr="0038627B">
        <w:rPr>
          <w:rFonts w:ascii="Arial CE" w:hAnsi="Arial CE" w:cs="Arial"/>
          <w:sz w:val="22"/>
          <w:szCs w:val="22"/>
        </w:rPr>
        <w:t>u</w:t>
      </w:r>
    </w:p>
    <w:p w:rsidR="00F460E1" w:rsidRPr="0038627B" w:rsidRDefault="00F460E1" w:rsidP="00F460E1">
      <w:pPr>
        <w:suppressAutoHyphens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­</w:t>
      </w:r>
      <w:r w:rsidRPr="0038627B">
        <w:rPr>
          <w:rFonts w:ascii="Arial CE" w:hAnsi="Arial CE" w:cs="Arial"/>
          <w:sz w:val="22"/>
          <w:szCs w:val="22"/>
        </w:rPr>
        <w:tab/>
        <w:t>rozpracovaný geometrický plán bude předán objednateli k odsouhlasení jeho formální a věcné úplnosti nejpozději před schválení</w:t>
      </w:r>
      <w:r w:rsidR="002902D0" w:rsidRPr="0038627B">
        <w:rPr>
          <w:rFonts w:ascii="Arial CE" w:hAnsi="Arial CE" w:cs="Arial"/>
          <w:sz w:val="22"/>
          <w:szCs w:val="22"/>
        </w:rPr>
        <w:t>m PD na ZVV</w:t>
      </w:r>
    </w:p>
    <w:p w:rsidR="00F460E1" w:rsidRPr="0038627B" w:rsidRDefault="00F460E1" w:rsidP="00F460E1">
      <w:pPr>
        <w:suppressAutoHyphens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­</w:t>
      </w:r>
      <w:r w:rsidRPr="0038627B">
        <w:rPr>
          <w:rFonts w:ascii="Arial CE" w:hAnsi="Arial CE" w:cs="Arial"/>
          <w:sz w:val="22"/>
          <w:szCs w:val="22"/>
        </w:rPr>
        <w:tab/>
        <w:t xml:space="preserve">dopracování geometrického plánu a jeho podání na katastrální úřad </w:t>
      </w:r>
      <w:r w:rsidR="0031002B" w:rsidRPr="0038627B">
        <w:rPr>
          <w:rFonts w:ascii="Arial CE" w:hAnsi="Arial CE" w:cs="Arial"/>
          <w:sz w:val="22"/>
          <w:szCs w:val="22"/>
        </w:rPr>
        <w:t xml:space="preserve">bude </w:t>
      </w:r>
      <w:r w:rsidRPr="0038627B">
        <w:rPr>
          <w:rFonts w:ascii="Arial CE" w:hAnsi="Arial CE" w:cs="Arial"/>
          <w:sz w:val="22"/>
          <w:szCs w:val="22"/>
        </w:rPr>
        <w:t xml:space="preserve">po </w:t>
      </w:r>
      <w:r w:rsidR="002856B5" w:rsidRPr="0038627B">
        <w:rPr>
          <w:rFonts w:ascii="Arial CE" w:hAnsi="Arial CE" w:cs="Arial"/>
          <w:sz w:val="22"/>
          <w:szCs w:val="22"/>
        </w:rPr>
        <w:t>schválení</w:t>
      </w:r>
      <w:r w:rsidR="002856B5" w:rsidRPr="0038627B">
        <w:rPr>
          <w:rFonts w:ascii="Arial CE" w:hAnsi="Arial CE" w:cs="Arial"/>
          <w:strike/>
          <w:sz w:val="22"/>
          <w:szCs w:val="22"/>
        </w:rPr>
        <w:t xml:space="preserve"> </w:t>
      </w:r>
      <w:r w:rsidR="002856B5" w:rsidRPr="0038627B">
        <w:rPr>
          <w:rFonts w:ascii="Arial CE" w:hAnsi="Arial CE" w:cs="Arial"/>
          <w:sz w:val="22"/>
          <w:szCs w:val="22"/>
        </w:rPr>
        <w:t>PD na  ZVV k termínu ukončení díla</w:t>
      </w:r>
    </w:p>
    <w:p w:rsidR="00F460E1" w:rsidRPr="0038627B" w:rsidRDefault="00F460E1" w:rsidP="00F460E1">
      <w:pPr>
        <w:suppressAutoHyphens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­</w:t>
      </w:r>
      <w:r w:rsidRPr="0038627B">
        <w:rPr>
          <w:rFonts w:ascii="Arial CE" w:hAnsi="Arial CE" w:cs="Arial"/>
          <w:sz w:val="22"/>
          <w:szCs w:val="22"/>
        </w:rPr>
        <w:tab/>
        <w:t xml:space="preserve">předání ověřeného geometrického plánu </w:t>
      </w:r>
      <w:r w:rsidR="0019765B" w:rsidRPr="0038627B">
        <w:rPr>
          <w:rFonts w:ascii="Arial CE" w:hAnsi="Arial CE" w:cs="Arial"/>
          <w:sz w:val="22"/>
          <w:szCs w:val="22"/>
        </w:rPr>
        <w:t>objednateli</w:t>
      </w:r>
      <w:r w:rsidR="002856B5" w:rsidRPr="0038627B">
        <w:rPr>
          <w:rFonts w:ascii="Arial CE" w:hAnsi="Arial CE" w:cs="Arial"/>
          <w:sz w:val="22"/>
          <w:szCs w:val="22"/>
        </w:rPr>
        <w:t xml:space="preserve"> do 1 týdne po ověření KÚ</w:t>
      </w:r>
    </w:p>
    <w:p w:rsidR="00F460E1" w:rsidRPr="0038627B" w:rsidRDefault="00F460E1" w:rsidP="00F460E1">
      <w:pPr>
        <w:pStyle w:val="Odstavecseseznamem"/>
        <w:suppressAutoHyphens/>
        <w:ind w:left="360"/>
        <w:jc w:val="both"/>
        <w:rPr>
          <w:rFonts w:ascii="Arial CE" w:hAnsi="Arial CE" w:cs="Arial"/>
          <w:color w:val="FF0000"/>
          <w:sz w:val="22"/>
          <w:szCs w:val="22"/>
        </w:rPr>
      </w:pPr>
      <w:r w:rsidRPr="0038627B">
        <w:rPr>
          <w:rFonts w:ascii="Arial CE" w:hAnsi="Arial CE" w:cs="Arial"/>
          <w:color w:val="FF0000"/>
          <w:sz w:val="22"/>
          <w:szCs w:val="22"/>
        </w:rPr>
        <w:tab/>
      </w:r>
      <w:r w:rsidRPr="0038627B">
        <w:rPr>
          <w:rFonts w:ascii="Arial CE" w:hAnsi="Arial CE" w:cs="Arial"/>
          <w:color w:val="FF0000"/>
          <w:sz w:val="22"/>
          <w:szCs w:val="22"/>
        </w:rPr>
        <w:tab/>
      </w:r>
      <w:r w:rsidRPr="0038627B">
        <w:rPr>
          <w:rFonts w:ascii="Arial CE" w:hAnsi="Arial CE" w:cs="Arial"/>
          <w:color w:val="FF0000"/>
          <w:sz w:val="22"/>
          <w:szCs w:val="22"/>
        </w:rPr>
        <w:tab/>
      </w:r>
    </w:p>
    <w:p w:rsidR="00F460E1" w:rsidRPr="0038627B" w:rsidRDefault="00F460E1" w:rsidP="00F460E1">
      <w:pPr>
        <w:suppressAutoHyphens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Ověřený geometrický plán</w:t>
      </w:r>
      <w:r w:rsidR="00FA6FDE" w:rsidRPr="0038627B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bude předán objednateli v tištěné podobě v počtu nezbytně nutném pro vklad</w:t>
      </w:r>
      <w:r w:rsidR="002856B5" w:rsidRPr="0038627B">
        <w:rPr>
          <w:rFonts w:ascii="Arial CE" w:hAnsi="Arial CE" w:cs="Arial"/>
          <w:sz w:val="22"/>
          <w:szCs w:val="22"/>
        </w:rPr>
        <w:t xml:space="preserve"> do katastru nemovitostí (min. 6 originálů</w:t>
      </w:r>
      <w:r w:rsidRPr="0038627B">
        <w:rPr>
          <w:rFonts w:ascii="Arial CE" w:hAnsi="Arial CE" w:cs="Arial"/>
          <w:sz w:val="22"/>
          <w:szCs w:val="22"/>
        </w:rPr>
        <w:t>) a následné majetkoprávní vypořádání a 1x na elektronickém nosiči dat.</w:t>
      </w:r>
    </w:p>
    <w:p w:rsidR="002D61FB" w:rsidRPr="00CF4ABF" w:rsidRDefault="002D61FB" w:rsidP="00F460E1">
      <w:pPr>
        <w:suppressAutoHyphens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CC6A74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>P</w:t>
      </w:r>
      <w:r w:rsidRPr="002955D5">
        <w:rPr>
          <w:rFonts w:ascii="Arial CE" w:hAnsi="Arial CE" w:cs="Arial"/>
          <w:b/>
          <w:sz w:val="22"/>
          <w:szCs w:val="22"/>
          <w:u w:val="single"/>
        </w:rPr>
        <w:t>růběh projekčních prací</w:t>
      </w:r>
      <w:r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CC6A74" w:rsidRDefault="00CC6A74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2955D5" w:rsidRDefault="00042129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 w:rsidRPr="002955D5">
        <w:rPr>
          <w:rFonts w:ascii="Arial CE" w:hAnsi="Arial CE" w:cs="Arial"/>
          <w:b/>
          <w:sz w:val="22"/>
          <w:szCs w:val="22"/>
          <w:u w:val="single"/>
        </w:rPr>
        <w:t>Výrobní výbory (dále jen VV):</w:t>
      </w:r>
    </w:p>
    <w:p w:rsidR="0072028A" w:rsidRPr="001D7A19" w:rsidRDefault="0041608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F74CBB" w:rsidRPr="001D7A19">
        <w:rPr>
          <w:rFonts w:ascii="Arial CE" w:hAnsi="Arial CE" w:cs="Arial"/>
          <w:sz w:val="22"/>
          <w:szCs w:val="22"/>
        </w:rPr>
        <w:t xml:space="preserve"> 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7C2949">
        <w:rPr>
          <w:rFonts w:ascii="Arial CE" w:hAnsi="Arial CE" w:cs="Arial"/>
          <w:sz w:val="22"/>
          <w:szCs w:val="22"/>
        </w:rPr>
        <w:t>8</w:t>
      </w:r>
      <w:r w:rsidR="006B0B22" w:rsidRPr="00C60059">
        <w:rPr>
          <w:rFonts w:ascii="Arial CE" w:hAnsi="Arial CE" w:cs="Arial"/>
          <w:sz w:val="22"/>
          <w:szCs w:val="22"/>
        </w:rPr>
        <w:t xml:space="preserve"> týdnů</w:t>
      </w:r>
      <w:r w:rsidR="004F5248" w:rsidRPr="00C6005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41608D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5C7362">
        <w:rPr>
          <w:rFonts w:ascii="Arial CE" w:hAnsi="Arial CE" w:cs="Arial"/>
          <w:sz w:val="22"/>
          <w:szCs w:val="22"/>
        </w:rPr>
        <w:t xml:space="preserve">geodetického </w:t>
      </w:r>
      <w:r w:rsidR="004E69C0" w:rsidRPr="001D7A19">
        <w:rPr>
          <w:rFonts w:ascii="Arial CE" w:hAnsi="Arial CE" w:cs="Arial"/>
          <w:sz w:val="22"/>
          <w:szCs w:val="22"/>
        </w:rPr>
        <w:t>zaměření zájmové lokality</w:t>
      </w:r>
      <w:r w:rsidR="005C7362" w:rsidRPr="005C7362">
        <w:rPr>
          <w:rFonts w:ascii="Arial CE" w:hAnsi="Arial CE" w:cs="Arial"/>
          <w:sz w:val="22"/>
          <w:szCs w:val="22"/>
        </w:rPr>
        <w:t xml:space="preserve"> </w:t>
      </w:r>
      <w:r w:rsidR="005C7362">
        <w:rPr>
          <w:rFonts w:ascii="Arial CE" w:hAnsi="Arial CE" w:cs="Arial"/>
          <w:sz w:val="22"/>
          <w:szCs w:val="22"/>
        </w:rPr>
        <w:t xml:space="preserve">na podkladu katastrální mapy </w:t>
      </w:r>
      <w:r w:rsidR="00D9362B" w:rsidRPr="001D7A19">
        <w:rPr>
          <w:rFonts w:ascii="Arial CE" w:hAnsi="Arial CE" w:cs="Arial"/>
          <w:sz w:val="22"/>
          <w:szCs w:val="22"/>
        </w:rPr>
        <w:t>a výsledků provedených průzkumů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41608D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 xml:space="preserve">technického řešení na základě zpracovaných výpočtů </w:t>
      </w:r>
      <w:r w:rsidR="004E69C0" w:rsidRPr="00C60059">
        <w:rPr>
          <w:rFonts w:ascii="Arial CE" w:hAnsi="Arial CE" w:cs="Arial"/>
          <w:sz w:val="22"/>
          <w:szCs w:val="22"/>
        </w:rPr>
        <w:lastRenderedPageBreak/>
        <w:t>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2E1E1F" w:rsidRPr="006E033D" w:rsidRDefault="002E1E1F" w:rsidP="002E1E1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976FE">
        <w:rPr>
          <w:rFonts w:ascii="Arial CE" w:hAnsi="Arial CE" w:cs="Arial"/>
          <w:sz w:val="22"/>
          <w:szCs w:val="22"/>
        </w:rPr>
        <w:t xml:space="preserve">Následně bude objednán </w:t>
      </w:r>
      <w:r w:rsidRPr="002E1E1F">
        <w:rPr>
          <w:rFonts w:ascii="Arial CE" w:hAnsi="Arial CE" w:cs="Arial"/>
          <w:sz w:val="22"/>
          <w:szCs w:val="22"/>
        </w:rPr>
        <w:t>geometrický plán.</w:t>
      </w:r>
      <w:r w:rsidRPr="00B976FE">
        <w:rPr>
          <w:rFonts w:ascii="Arial CE" w:hAnsi="Arial CE" w:cs="Arial"/>
          <w:sz w:val="22"/>
          <w:szCs w:val="22"/>
        </w:rPr>
        <w:t xml:space="preserve"> Návrh geometrického plánu </w:t>
      </w:r>
      <w:r w:rsidRPr="006E033D">
        <w:rPr>
          <w:rFonts w:ascii="Arial CE" w:hAnsi="Arial CE" w:cs="Arial"/>
          <w:sz w:val="22"/>
          <w:szCs w:val="22"/>
        </w:rPr>
        <w:t xml:space="preserve">bude </w:t>
      </w:r>
      <w:r w:rsidRPr="00B976FE">
        <w:rPr>
          <w:rFonts w:ascii="Arial CE" w:hAnsi="Arial CE" w:cs="Arial"/>
          <w:sz w:val="22"/>
          <w:szCs w:val="22"/>
        </w:rPr>
        <w:t xml:space="preserve">projednán s objednatelem a </w:t>
      </w:r>
      <w:r>
        <w:rPr>
          <w:rFonts w:ascii="Arial CE" w:hAnsi="Arial CE" w:cs="Arial"/>
          <w:sz w:val="22"/>
          <w:szCs w:val="22"/>
        </w:rPr>
        <w:t>s</w:t>
      </w:r>
      <w:r w:rsidRPr="006E033D">
        <w:rPr>
          <w:rFonts w:ascii="Arial CE" w:hAnsi="Arial CE" w:cs="Arial"/>
          <w:sz w:val="22"/>
          <w:szCs w:val="22"/>
        </w:rPr>
        <w:t xml:space="preserve"> vlastníky dotčených pozemků,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6E033D">
        <w:rPr>
          <w:rFonts w:ascii="Arial CE" w:hAnsi="Arial CE" w:cs="Arial"/>
          <w:sz w:val="22"/>
          <w:szCs w:val="22"/>
        </w:rPr>
        <w:t xml:space="preserve"> obdrží jejich písemná stanoviska k realizaci akce.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41608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6E033D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 xml:space="preserve">2x pracovní </w:t>
      </w:r>
      <w:proofErr w:type="spellStart"/>
      <w:r w:rsidRPr="006E033D">
        <w:rPr>
          <w:rFonts w:ascii="Arial CE" w:hAnsi="Arial CE" w:cs="Arial"/>
          <w:sz w:val="22"/>
          <w:szCs w:val="22"/>
        </w:rPr>
        <w:t>paré</w:t>
      </w:r>
      <w:proofErr w:type="spellEnd"/>
      <w:r w:rsidRPr="006E033D">
        <w:rPr>
          <w:rFonts w:ascii="Arial CE" w:hAnsi="Arial CE" w:cs="Arial"/>
          <w:sz w:val="22"/>
          <w:szCs w:val="22"/>
        </w:rPr>
        <w:t xml:space="preserve"> - kompletní projektové řešení stavby včetně požadované dokladové části obsahující kladná stanoviska požadovaných subjektů a kladná vyjádření vlastníků pozemků dotčených stavbou, včetně přehledu pozemků dotčených dočasným nebo trvalým záborem, ceny za prodej či pronájem a </w:t>
      </w:r>
      <w:r w:rsidR="002955D5">
        <w:rPr>
          <w:rFonts w:ascii="Arial CE" w:hAnsi="Arial CE" w:cs="Arial"/>
          <w:sz w:val="22"/>
          <w:szCs w:val="22"/>
        </w:rPr>
        <w:t>předpokládaných nákladů</w:t>
      </w:r>
      <w:r w:rsidRPr="006E033D">
        <w:rPr>
          <w:rFonts w:ascii="Arial CE" w:hAnsi="Arial CE" w:cs="Arial"/>
          <w:sz w:val="22"/>
          <w:szCs w:val="22"/>
        </w:rPr>
        <w:t>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41608D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41608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2x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4472DF" w:rsidRPr="002E610D">
        <w:rPr>
          <w:rFonts w:ascii="Arial CE" w:hAnsi="Arial CE" w:cs="Arial"/>
          <w:sz w:val="22"/>
          <w:szCs w:val="22"/>
        </w:rPr>
        <w:t>paré</w:t>
      </w:r>
      <w:proofErr w:type="spellEnd"/>
      <w:r w:rsidR="004472DF" w:rsidRPr="002E610D">
        <w:rPr>
          <w:rFonts w:ascii="Arial CE" w:hAnsi="Arial CE" w:cs="Arial"/>
          <w:sz w:val="22"/>
          <w:szCs w:val="22"/>
        </w:rPr>
        <w:t xml:space="preserve">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610D" w:rsidRDefault="0041608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>
        <w:rPr>
          <w:rFonts w:ascii="Arial CE" w:hAnsi="Arial CE" w:cs="Arial"/>
          <w:sz w:val="22"/>
          <w:szCs w:val="22"/>
        </w:rPr>
        <w:t>,</w:t>
      </w:r>
      <w:r w:rsidR="00EE792F" w:rsidRPr="001D7A19">
        <w:rPr>
          <w:rFonts w:ascii="Arial CE" w:hAnsi="Arial CE" w:cs="Arial"/>
          <w:sz w:val="22"/>
          <w:szCs w:val="22"/>
        </w:rPr>
        <w:t xml:space="preserve"> předá </w:t>
      </w: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</w:t>
      </w:r>
      <w:r w:rsidR="00EE792F" w:rsidRPr="002E610D">
        <w:rPr>
          <w:rFonts w:ascii="Arial CE" w:hAnsi="Arial CE" w:cs="Arial"/>
          <w:sz w:val="22"/>
          <w:szCs w:val="22"/>
        </w:rPr>
        <w:t xml:space="preserve">do </w:t>
      </w:r>
      <w:r w:rsidR="002E1E1F" w:rsidRPr="002E610D">
        <w:rPr>
          <w:rFonts w:ascii="Arial CE" w:hAnsi="Arial CE" w:cs="Arial"/>
          <w:sz w:val="22"/>
          <w:szCs w:val="22"/>
        </w:rPr>
        <w:t>10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4C134D" w:rsidRPr="002E610D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610D">
        <w:rPr>
          <w:rFonts w:ascii="Arial CE" w:hAnsi="Arial CE" w:cs="Arial"/>
          <w:sz w:val="22"/>
          <w:szCs w:val="22"/>
        </w:rPr>
        <w:t>dnů zbývající</w:t>
      </w:r>
      <w:r w:rsidR="00734CBB" w:rsidRPr="002E610D">
        <w:rPr>
          <w:rFonts w:ascii="Arial CE" w:hAnsi="Arial CE" w:cs="Arial"/>
          <w:sz w:val="22"/>
          <w:szCs w:val="22"/>
        </w:rPr>
        <w:t xml:space="preserve"> </w:t>
      </w:r>
      <w:r w:rsidR="002955D5">
        <w:rPr>
          <w:rFonts w:ascii="Arial CE" w:hAnsi="Arial CE" w:cs="Arial"/>
          <w:sz w:val="22"/>
          <w:szCs w:val="22"/>
        </w:rPr>
        <w:t>2</w:t>
      </w:r>
      <w:r w:rsidR="00734CBB" w:rsidRPr="002E610D">
        <w:rPr>
          <w:rFonts w:ascii="Arial CE" w:hAnsi="Arial CE" w:cs="Arial"/>
          <w:sz w:val="22"/>
          <w:szCs w:val="22"/>
        </w:rPr>
        <w:t>x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C7389E" w:rsidRPr="002E610D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EE792F" w:rsidRPr="002E610D">
        <w:rPr>
          <w:rFonts w:ascii="Arial CE" w:hAnsi="Arial CE" w:cs="Arial"/>
          <w:sz w:val="22"/>
          <w:szCs w:val="22"/>
        </w:rPr>
        <w:t>paré</w:t>
      </w:r>
      <w:proofErr w:type="spellEnd"/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1F50E3" w:rsidRPr="002E610D">
        <w:rPr>
          <w:rFonts w:ascii="Arial CE" w:hAnsi="Arial CE" w:cs="Arial"/>
          <w:sz w:val="22"/>
          <w:szCs w:val="22"/>
        </w:rPr>
        <w:t xml:space="preserve">PD </w:t>
      </w:r>
      <w:r w:rsidR="00EE792F" w:rsidRPr="002E610D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610D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610D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>
        <w:rPr>
          <w:rFonts w:ascii="Arial CE" w:hAnsi="Arial CE" w:cs="Arial"/>
          <w:sz w:val="22"/>
          <w:szCs w:val="22"/>
        </w:rPr>
        <w:t>dodavatel</w:t>
      </w:r>
      <w:r w:rsidR="00824C23" w:rsidRPr="002E610D">
        <w:rPr>
          <w:rFonts w:ascii="Arial CE" w:hAnsi="Arial CE" w:cs="Arial"/>
          <w:sz w:val="22"/>
          <w:szCs w:val="22"/>
        </w:rPr>
        <w:t xml:space="preserve"> předělá části PD dle závěrů IK a znovu projedná PD v komisi následující. </w:t>
      </w:r>
      <w:r w:rsidR="00F213AE" w:rsidRPr="002E610D">
        <w:rPr>
          <w:rFonts w:ascii="Arial CE" w:hAnsi="Arial CE" w:cs="Arial"/>
          <w:sz w:val="22"/>
          <w:szCs w:val="22"/>
        </w:rPr>
        <w:t>Jedná</w:t>
      </w:r>
      <w:r w:rsidR="007901CA" w:rsidRPr="002E610D">
        <w:rPr>
          <w:rFonts w:ascii="Arial CE" w:hAnsi="Arial CE" w:cs="Arial"/>
          <w:sz w:val="22"/>
          <w:szCs w:val="22"/>
        </w:rPr>
        <w:t xml:space="preserve"> -</w:t>
      </w:r>
      <w:r w:rsidR="00F213AE" w:rsidRPr="002E610D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F213AE" w:rsidRPr="002E610D">
        <w:rPr>
          <w:rFonts w:ascii="Arial CE" w:hAnsi="Arial CE" w:cs="Arial"/>
          <w:sz w:val="22"/>
          <w:szCs w:val="22"/>
        </w:rPr>
        <w:t>li</w:t>
      </w:r>
      <w:proofErr w:type="spellEnd"/>
      <w:r w:rsidR="00F213AE" w:rsidRPr="002E610D">
        <w:rPr>
          <w:rFonts w:ascii="Arial CE" w:hAnsi="Arial CE" w:cs="Arial"/>
          <w:sz w:val="22"/>
          <w:szCs w:val="22"/>
        </w:rPr>
        <w:t xml:space="preserve"> se o </w:t>
      </w:r>
      <w:r w:rsidR="007901CA" w:rsidRPr="002E610D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4472DF" w:rsidRPr="002955D5" w:rsidRDefault="004472DF" w:rsidP="004472DF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2955D5">
        <w:rPr>
          <w:rFonts w:ascii="Arial CE" w:hAnsi="Arial CE" w:cs="Arial"/>
          <w:sz w:val="22"/>
          <w:szCs w:val="22"/>
          <w:u w:val="single"/>
        </w:rPr>
        <w:t>Kompletní</w:t>
      </w:r>
      <w:r w:rsidRPr="002955D5">
        <w:rPr>
          <w:rFonts w:ascii="Arial CE" w:hAnsi="Arial CE" w:cs="Arial"/>
          <w:color w:val="FF0000"/>
          <w:sz w:val="22"/>
          <w:szCs w:val="22"/>
          <w:u w:val="single"/>
        </w:rPr>
        <w:t xml:space="preserve"> </w:t>
      </w:r>
      <w:r w:rsidRPr="002955D5">
        <w:rPr>
          <w:rFonts w:ascii="Arial CE" w:hAnsi="Arial CE" w:cs="Arial"/>
          <w:sz w:val="22"/>
          <w:szCs w:val="22"/>
          <w:u w:val="single"/>
        </w:rPr>
        <w:t xml:space="preserve">dokumentace včetně dokladové části a </w:t>
      </w:r>
      <w:r w:rsidR="002955D5" w:rsidRPr="002955D5">
        <w:rPr>
          <w:rFonts w:ascii="Arial CE" w:hAnsi="Arial CE" w:cs="Arial"/>
          <w:sz w:val="22"/>
          <w:szCs w:val="22"/>
          <w:u w:val="single"/>
        </w:rPr>
        <w:t>propočtu nákladů</w:t>
      </w:r>
      <w:r w:rsidRPr="002955D5">
        <w:rPr>
          <w:rFonts w:ascii="Arial CE" w:hAnsi="Arial CE" w:cs="Arial"/>
          <w:sz w:val="22"/>
          <w:szCs w:val="22"/>
          <w:u w:val="single"/>
        </w:rPr>
        <w:t xml:space="preserve"> bude předána MPR </w:t>
      </w:r>
      <w:r w:rsidR="00067F4D" w:rsidRPr="002955D5">
        <w:rPr>
          <w:rFonts w:ascii="Arial CE" w:hAnsi="Arial CE" w:cs="Arial"/>
          <w:sz w:val="22"/>
          <w:szCs w:val="22"/>
          <w:u w:val="single"/>
        </w:rPr>
        <w:t xml:space="preserve">po schválení v investiční komisi </w:t>
      </w:r>
      <w:r w:rsidRPr="002955D5">
        <w:rPr>
          <w:rFonts w:ascii="Arial CE" w:hAnsi="Arial CE" w:cs="Arial"/>
          <w:sz w:val="22"/>
          <w:szCs w:val="22"/>
          <w:u w:val="single"/>
        </w:rPr>
        <w:t xml:space="preserve">v počtu </w:t>
      </w:r>
      <w:r w:rsidR="00C7389E" w:rsidRPr="002955D5">
        <w:rPr>
          <w:rFonts w:ascii="Arial CE" w:hAnsi="Arial CE" w:cs="Arial"/>
          <w:sz w:val="22"/>
          <w:szCs w:val="22"/>
          <w:u w:val="single"/>
        </w:rPr>
        <w:t xml:space="preserve">celkem </w:t>
      </w:r>
      <w:r w:rsidR="002955D5" w:rsidRPr="002955D5">
        <w:rPr>
          <w:rFonts w:ascii="Arial CE" w:hAnsi="Arial CE" w:cs="Arial"/>
          <w:sz w:val="22"/>
          <w:szCs w:val="22"/>
          <w:u w:val="single"/>
        </w:rPr>
        <w:t>4</w:t>
      </w:r>
      <w:r w:rsidRPr="002955D5">
        <w:rPr>
          <w:rFonts w:ascii="Arial CE" w:hAnsi="Arial CE" w:cs="Arial"/>
          <w:sz w:val="22"/>
          <w:szCs w:val="22"/>
          <w:u w:val="single"/>
        </w:rPr>
        <w:t xml:space="preserve">x </w:t>
      </w:r>
      <w:proofErr w:type="spellStart"/>
      <w:r w:rsidRPr="002955D5">
        <w:rPr>
          <w:rFonts w:ascii="Arial CE" w:hAnsi="Arial CE" w:cs="Arial"/>
          <w:sz w:val="22"/>
          <w:szCs w:val="22"/>
          <w:u w:val="single"/>
        </w:rPr>
        <w:t>paré</w:t>
      </w:r>
      <w:proofErr w:type="spellEnd"/>
      <w:r w:rsidRPr="002955D5">
        <w:rPr>
          <w:rFonts w:ascii="Arial CE" w:hAnsi="Arial CE" w:cs="Arial"/>
          <w:sz w:val="22"/>
          <w:szCs w:val="22"/>
          <w:u w:val="single"/>
        </w:rPr>
        <w:t xml:space="preserve"> tištěné +</w:t>
      </w:r>
      <w:r w:rsidR="002955D5" w:rsidRPr="002955D5">
        <w:rPr>
          <w:rFonts w:ascii="Arial CE" w:hAnsi="Arial CE" w:cs="Arial"/>
          <w:sz w:val="22"/>
          <w:szCs w:val="22"/>
          <w:u w:val="single"/>
        </w:rPr>
        <w:t xml:space="preserve"> 1x na elektronickém nosiči dat.</w:t>
      </w:r>
    </w:p>
    <w:p w:rsidR="00EE792F" w:rsidRPr="001D7A19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41608D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41608D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B976FE" w:rsidRDefault="00B976FE" w:rsidP="000B0813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4307C" w:rsidRDefault="0014307C" w:rsidP="000B0813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496E78" w:rsidRPr="004472DF" w:rsidRDefault="00167C90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8F1A46">
        <w:rPr>
          <w:rFonts w:ascii="Arial CE" w:hAnsi="Arial CE" w:cs="Arial"/>
          <w:sz w:val="22"/>
          <w:szCs w:val="22"/>
        </w:rPr>
        <w:t xml:space="preserve">         </w:t>
      </w:r>
      <w:r w:rsidR="00FB25F1">
        <w:rPr>
          <w:rFonts w:ascii="Arial CE" w:hAnsi="Arial CE" w:cs="Arial"/>
          <w:sz w:val="22"/>
          <w:szCs w:val="22"/>
        </w:rPr>
        <w:tab/>
      </w:r>
      <w:proofErr w:type="gramStart"/>
      <w:r w:rsidR="006E6536" w:rsidRPr="006E6536">
        <w:rPr>
          <w:rFonts w:ascii="Arial CE" w:hAnsi="Arial CE" w:cs="Arial"/>
          <w:b/>
          <w:sz w:val="22"/>
          <w:szCs w:val="22"/>
        </w:rPr>
        <w:t>30.01.</w:t>
      </w:r>
      <w:r w:rsidR="00067F4D" w:rsidRPr="006E6536">
        <w:rPr>
          <w:rFonts w:ascii="Arial CE" w:hAnsi="Arial CE" w:cs="Arial"/>
          <w:b/>
          <w:sz w:val="22"/>
          <w:szCs w:val="22"/>
        </w:rPr>
        <w:t>2017</w:t>
      </w:r>
      <w:proofErr w:type="gramEnd"/>
      <w:r w:rsidR="00F715AF" w:rsidRPr="006E6536">
        <w:rPr>
          <w:rFonts w:ascii="Arial CE" w:hAnsi="Arial CE" w:cs="Arial"/>
          <w:b/>
          <w:sz w:val="22"/>
          <w:szCs w:val="22"/>
        </w:rPr>
        <w:t xml:space="preserve"> </w:t>
      </w:r>
      <w:r w:rsidR="004472DF" w:rsidRPr="006E6536">
        <w:rPr>
          <w:rFonts w:ascii="Arial CE" w:hAnsi="Arial CE" w:cs="Arial"/>
          <w:b/>
          <w:sz w:val="22"/>
          <w:szCs w:val="22"/>
        </w:rPr>
        <w:t xml:space="preserve"> </w:t>
      </w:r>
    </w:p>
    <w:p w:rsidR="00A014A6" w:rsidRPr="008C1E53" w:rsidRDefault="00496E78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="00597CA5">
        <w:rPr>
          <w:rFonts w:ascii="Arial CE" w:hAnsi="Arial CE" w:cs="Arial"/>
          <w:sz w:val="22"/>
          <w:szCs w:val="22"/>
        </w:rPr>
        <w:tab/>
      </w:r>
      <w:r w:rsidR="00597CA5">
        <w:rPr>
          <w:rFonts w:ascii="Arial CE" w:hAnsi="Arial CE" w:cs="Arial"/>
          <w:sz w:val="22"/>
          <w:szCs w:val="22"/>
        </w:rPr>
        <w:tab/>
      </w:r>
      <w:r w:rsidR="00167C90"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Pr="006E6536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8F1A46">
        <w:rPr>
          <w:rFonts w:ascii="Arial CE" w:hAnsi="Arial CE" w:cs="Arial"/>
          <w:b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>(předání a převzetí kompletní PD):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FB25F1">
        <w:rPr>
          <w:rFonts w:ascii="Arial CE" w:hAnsi="Arial CE" w:cs="Arial"/>
          <w:b/>
          <w:sz w:val="22"/>
          <w:szCs w:val="22"/>
        </w:rPr>
        <w:tab/>
      </w:r>
      <w:r w:rsidR="00222398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="006E6536" w:rsidRPr="006E6536">
        <w:rPr>
          <w:rFonts w:ascii="Arial CE" w:hAnsi="Arial CE" w:cs="Arial"/>
          <w:b/>
          <w:sz w:val="22"/>
          <w:szCs w:val="22"/>
        </w:rPr>
        <w:t>30.09.</w:t>
      </w:r>
      <w:r w:rsidR="008F1A46" w:rsidRPr="006E6536">
        <w:rPr>
          <w:rFonts w:ascii="Arial CE" w:hAnsi="Arial CE" w:cs="Arial"/>
          <w:b/>
          <w:sz w:val="22"/>
          <w:szCs w:val="22"/>
        </w:rPr>
        <w:t>2017</w:t>
      </w:r>
      <w:proofErr w:type="gramEnd"/>
    </w:p>
    <w:p w:rsidR="008F1A46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1D7A19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      </w:t>
      </w:r>
      <w:r w:rsidR="00FB25F1">
        <w:rPr>
          <w:rFonts w:ascii="Arial CE" w:hAnsi="Arial CE" w:cs="Arial"/>
          <w:sz w:val="22"/>
          <w:szCs w:val="22"/>
        </w:rPr>
        <w:tab/>
      </w:r>
      <w:proofErr w:type="gramStart"/>
      <w:r w:rsidR="006E6536" w:rsidRPr="006E6536">
        <w:rPr>
          <w:rFonts w:ascii="Arial CE" w:hAnsi="Arial CE" w:cs="Arial"/>
          <w:b/>
          <w:sz w:val="22"/>
          <w:szCs w:val="22"/>
        </w:rPr>
        <w:t>31</w:t>
      </w:r>
      <w:r w:rsidR="00167C90" w:rsidRPr="006E6536">
        <w:rPr>
          <w:rFonts w:ascii="Arial CE" w:hAnsi="Arial CE" w:cs="Arial"/>
          <w:b/>
          <w:sz w:val="22"/>
          <w:szCs w:val="22"/>
        </w:rPr>
        <w:t>.</w:t>
      </w:r>
      <w:r w:rsidR="006E6536" w:rsidRPr="006E6536">
        <w:rPr>
          <w:rFonts w:ascii="Arial CE" w:hAnsi="Arial CE" w:cs="Arial"/>
          <w:b/>
          <w:sz w:val="22"/>
          <w:szCs w:val="22"/>
        </w:rPr>
        <w:t>10</w:t>
      </w:r>
      <w:r w:rsidR="00167C90" w:rsidRPr="006E6536">
        <w:rPr>
          <w:rFonts w:ascii="Arial CE" w:hAnsi="Arial CE" w:cs="Arial"/>
          <w:b/>
          <w:sz w:val="22"/>
          <w:szCs w:val="22"/>
        </w:rPr>
        <w:t>.201</w:t>
      </w:r>
      <w:r w:rsidRPr="006E6536">
        <w:rPr>
          <w:rFonts w:ascii="Arial CE" w:hAnsi="Arial CE" w:cs="Arial"/>
          <w:b/>
          <w:sz w:val="22"/>
          <w:szCs w:val="22"/>
        </w:rPr>
        <w:t>7</w:t>
      </w:r>
      <w:proofErr w:type="gramEnd"/>
      <w:r w:rsidR="005569D5"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Pr="001D7A19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1D7A19" w:rsidRDefault="000665D7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b/>
          <w:sz w:val="22"/>
          <w:szCs w:val="22"/>
        </w:rPr>
        <w:t xml:space="preserve">díla 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 w:rsidR="0041608D">
        <w:rPr>
          <w:rFonts w:ascii="Arial CE" w:hAnsi="Arial CE" w:cs="Arial"/>
          <w:color w:val="000000"/>
          <w:sz w:val="22"/>
          <w:szCs w:val="22"/>
        </w:rPr>
        <w:t>dodavatel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e související s realizací díla a činí </w:t>
      </w:r>
      <w:r w:rsidR="00AA2F85"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6E6536">
        <w:rPr>
          <w:rFonts w:ascii="Arial CE" w:hAnsi="Arial CE" w:cs="Arial"/>
          <w:b/>
          <w:color w:val="000000"/>
          <w:sz w:val="22"/>
          <w:szCs w:val="22"/>
        </w:rPr>
        <w:t>242 000,00</w:t>
      </w:r>
      <w:r w:rsidRPr="001D7A19">
        <w:rPr>
          <w:rFonts w:ascii="Arial CE" w:hAnsi="Arial CE" w:cs="Arial"/>
          <w:b/>
          <w:sz w:val="22"/>
          <w:szCs w:val="22"/>
        </w:rPr>
        <w:t xml:space="preserve">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AA2F85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6E6536">
        <w:rPr>
          <w:rFonts w:ascii="Arial CE" w:hAnsi="Arial CE" w:cs="Arial"/>
          <w:sz w:val="22"/>
          <w:szCs w:val="22"/>
        </w:rPr>
        <w:t>DUR</w:t>
      </w:r>
      <w:r w:rsidR="00151A45"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="005B6054" w:rsidRPr="006E6536">
        <w:rPr>
          <w:rFonts w:ascii="Arial CE" w:hAnsi="Arial CE" w:cs="Arial"/>
          <w:sz w:val="22"/>
          <w:szCs w:val="22"/>
        </w:rPr>
        <w:tab/>
      </w:r>
      <w:r w:rsidR="00C9286A">
        <w:rPr>
          <w:rFonts w:ascii="Arial CE" w:hAnsi="Arial CE" w:cs="Arial"/>
          <w:sz w:val="22"/>
          <w:szCs w:val="22"/>
        </w:rPr>
        <w:t>91 000</w:t>
      </w:r>
      <w:r w:rsidRPr="006E6536">
        <w:rPr>
          <w:rFonts w:ascii="Arial CE" w:hAnsi="Arial CE" w:cs="Arial"/>
          <w:sz w:val="22"/>
          <w:szCs w:val="22"/>
        </w:rPr>
        <w:t>,</w:t>
      </w:r>
      <w:r w:rsidR="006E6536" w:rsidRPr="006E6536">
        <w:rPr>
          <w:rFonts w:ascii="Arial CE" w:hAnsi="Arial CE" w:cs="Arial"/>
          <w:sz w:val="22"/>
          <w:szCs w:val="22"/>
        </w:rPr>
        <w:t>00</w:t>
      </w:r>
      <w:r w:rsidRPr="006E6536">
        <w:rPr>
          <w:rFonts w:ascii="Arial CE" w:hAnsi="Arial CE" w:cs="Arial"/>
          <w:sz w:val="22"/>
          <w:szCs w:val="22"/>
        </w:rPr>
        <w:t xml:space="preserve"> Kč bez </w:t>
      </w:r>
      <w:r w:rsidRPr="006E6536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Pr="001D7A19" w:rsidRDefault="00067F4D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067F4D" w:rsidRPr="006E6536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6E6536">
        <w:rPr>
          <w:rFonts w:ascii="Arial CE" w:hAnsi="Arial CE" w:cs="Arial"/>
          <w:sz w:val="22"/>
          <w:szCs w:val="22"/>
        </w:rPr>
        <w:t>Průzkumné práce</w:t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="006E6536" w:rsidRPr="006E6536">
        <w:rPr>
          <w:rFonts w:ascii="Arial CE" w:hAnsi="Arial CE" w:cs="Arial"/>
          <w:sz w:val="22"/>
          <w:szCs w:val="22"/>
        </w:rPr>
        <w:t>34 500,00</w:t>
      </w:r>
      <w:r w:rsidRPr="006E6536">
        <w:rPr>
          <w:rFonts w:ascii="Arial CE" w:hAnsi="Arial CE" w:cs="Arial"/>
          <w:sz w:val="22"/>
          <w:szCs w:val="22"/>
        </w:rPr>
        <w:t xml:space="preserve"> Kč bez </w:t>
      </w:r>
      <w:r w:rsidRPr="006E6536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Pr="006E6536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067F4D" w:rsidRPr="006E6536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6E6536">
        <w:rPr>
          <w:rFonts w:ascii="Arial CE" w:hAnsi="Arial CE" w:cs="Arial"/>
          <w:sz w:val="22"/>
          <w:szCs w:val="22"/>
        </w:rPr>
        <w:t>Geodetické zaměření:</w:t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="006E6536" w:rsidRPr="006E6536">
        <w:rPr>
          <w:rFonts w:ascii="Arial CE" w:hAnsi="Arial CE" w:cs="Arial"/>
          <w:sz w:val="22"/>
          <w:szCs w:val="22"/>
        </w:rPr>
        <w:t>33 000,00</w:t>
      </w:r>
      <w:r w:rsidRPr="006E6536">
        <w:rPr>
          <w:rFonts w:ascii="Arial CE" w:hAnsi="Arial CE" w:cs="Arial"/>
          <w:sz w:val="22"/>
          <w:szCs w:val="22"/>
        </w:rPr>
        <w:t xml:space="preserve"> Kč bez </w:t>
      </w:r>
      <w:r w:rsidRPr="006E6536">
        <w:rPr>
          <w:rFonts w:ascii="Arial CE" w:hAnsi="Arial CE" w:cs="Arial"/>
          <w:color w:val="000000"/>
          <w:sz w:val="22"/>
          <w:szCs w:val="22"/>
        </w:rPr>
        <w:t>DPH</w:t>
      </w:r>
    </w:p>
    <w:p w:rsidR="00420D0D" w:rsidRPr="006E6536" w:rsidRDefault="00420D0D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067F4D" w:rsidRDefault="00420D0D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6E6536">
        <w:rPr>
          <w:rFonts w:ascii="Arial CE" w:hAnsi="Arial CE" w:cs="Arial"/>
          <w:sz w:val="22"/>
          <w:szCs w:val="22"/>
        </w:rPr>
        <w:t>OGP</w:t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Pr="006E6536">
        <w:rPr>
          <w:rFonts w:ascii="Arial CE" w:hAnsi="Arial CE" w:cs="Arial"/>
          <w:sz w:val="22"/>
          <w:szCs w:val="22"/>
        </w:rPr>
        <w:tab/>
      </w:r>
      <w:r w:rsidR="005B6054" w:rsidRPr="006E6536">
        <w:rPr>
          <w:rFonts w:ascii="Arial CE" w:hAnsi="Arial CE" w:cs="Arial"/>
          <w:sz w:val="22"/>
          <w:szCs w:val="22"/>
        </w:rPr>
        <w:tab/>
      </w:r>
      <w:r w:rsidR="006E6536" w:rsidRPr="006E6536">
        <w:rPr>
          <w:rFonts w:ascii="Arial CE" w:hAnsi="Arial CE" w:cs="Arial"/>
          <w:sz w:val="22"/>
          <w:szCs w:val="22"/>
        </w:rPr>
        <w:t>83 500</w:t>
      </w:r>
      <w:r w:rsidRPr="006E6536">
        <w:rPr>
          <w:rFonts w:ascii="Arial CE" w:hAnsi="Arial CE" w:cs="Arial"/>
          <w:sz w:val="22"/>
          <w:szCs w:val="22"/>
        </w:rPr>
        <w:t>,</w:t>
      </w:r>
      <w:r w:rsidR="006E6536" w:rsidRPr="006E6536">
        <w:rPr>
          <w:rFonts w:ascii="Arial CE" w:hAnsi="Arial CE" w:cs="Arial"/>
          <w:sz w:val="22"/>
          <w:szCs w:val="22"/>
        </w:rPr>
        <w:t>00</w:t>
      </w:r>
      <w:r w:rsidRPr="006E6536">
        <w:rPr>
          <w:rFonts w:ascii="Arial CE" w:hAnsi="Arial CE" w:cs="Arial"/>
          <w:sz w:val="22"/>
          <w:szCs w:val="22"/>
        </w:rPr>
        <w:t xml:space="preserve"> Kč bez </w:t>
      </w:r>
      <w:r w:rsidRPr="006E6536">
        <w:rPr>
          <w:rFonts w:ascii="Arial CE" w:hAnsi="Arial CE" w:cs="Arial"/>
          <w:color w:val="000000"/>
          <w:sz w:val="22"/>
          <w:szCs w:val="22"/>
        </w:rPr>
        <w:t>DPH</w:t>
      </w:r>
    </w:p>
    <w:p w:rsidR="00420D0D" w:rsidRPr="001D7A19" w:rsidRDefault="00420D0D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</w:p>
    <w:p w:rsidR="00AA2F85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8D76B8">
        <w:rPr>
          <w:rFonts w:ascii="Arial CE" w:hAnsi="Arial CE" w:cs="Arial"/>
          <w:sz w:val="22"/>
          <w:szCs w:val="22"/>
        </w:rPr>
        <w:tab/>
      </w:r>
      <w:r w:rsidR="005B6054">
        <w:rPr>
          <w:rFonts w:ascii="Arial CE" w:hAnsi="Arial CE" w:cs="Arial"/>
          <w:sz w:val="22"/>
          <w:szCs w:val="22"/>
        </w:rPr>
        <w:tab/>
      </w: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41608D">
        <w:rPr>
          <w:rFonts w:ascii="Arial CE" w:hAnsi="Arial CE"/>
          <w:sz w:val="22"/>
          <w:szCs w:val="22"/>
        </w:rPr>
        <w:t>dodavatel</w:t>
      </w:r>
      <w:r w:rsidRPr="00715BB0">
        <w:rPr>
          <w:rFonts w:ascii="Arial CE" w:hAnsi="Arial CE"/>
          <w:sz w:val="22"/>
          <w:szCs w:val="22"/>
        </w:rPr>
        <w:t>i 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2E610D" w:rsidRPr="002E610D" w:rsidRDefault="002E610D" w:rsidP="002E610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2E610D">
        <w:rPr>
          <w:rFonts w:ascii="Arial CE" w:hAnsi="Arial CE" w:cs="Arial"/>
          <w:sz w:val="22"/>
          <w:szCs w:val="22"/>
        </w:rPr>
        <w:t xml:space="preserve">Předání ověřeného GP, průzkumných prací nebo zaměření – ve výši 100% ceny. 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lastRenderedPageBreak/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="003932AB">
        <w:rPr>
          <w:rFonts w:ascii="Arial CE" w:hAnsi="Arial CE" w:cs="Arial"/>
          <w:b/>
          <w:sz w:val="22"/>
          <w:szCs w:val="22"/>
        </w:rPr>
        <w:t xml:space="preserve">prvního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 </w:t>
      </w:r>
      <w:r w:rsidR="000E7580" w:rsidRPr="008F1A46">
        <w:rPr>
          <w:rFonts w:ascii="Arial CE" w:hAnsi="Arial CE" w:cs="Arial"/>
          <w:sz w:val="22"/>
          <w:szCs w:val="22"/>
        </w:rPr>
        <w:t>PD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3932AB">
        <w:rPr>
          <w:rFonts w:ascii="Arial CE" w:hAnsi="Arial CE" w:cs="Arial"/>
          <w:sz w:val="22"/>
          <w:szCs w:val="22"/>
        </w:rPr>
        <w:t>celkového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 </w:t>
      </w:r>
      <w:r w:rsidR="000E7580">
        <w:rPr>
          <w:rFonts w:ascii="Arial CE" w:hAnsi="Arial CE" w:cs="Arial"/>
          <w:sz w:val="22"/>
          <w:szCs w:val="22"/>
        </w:rPr>
        <w:t>PD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 oznámit MPR </w:t>
      </w:r>
      <w:r w:rsidR="0041608D">
        <w:rPr>
          <w:rFonts w:ascii="Arial CE" w:hAnsi="Arial CE" w:cs="Arial"/>
          <w:sz w:val="22"/>
          <w:szCs w:val="22"/>
        </w:rPr>
        <w:t>dodavatel</w:t>
      </w:r>
      <w:r w:rsidR="00AA0897" w:rsidRPr="009244AD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i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Peněžitý závazek (dluh) objednatele se považuje za splněný v den, kdy je dlužná částka připsána na účet </w:t>
      </w:r>
      <w:r w:rsidR="0041608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>e.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41608D">
        <w:rPr>
          <w:rFonts w:ascii="Arial CE" w:hAnsi="Arial CE"/>
        </w:rPr>
        <w:t>dodavatel</w:t>
      </w:r>
      <w:r w:rsidR="00131628">
        <w:rPr>
          <w:rFonts w:ascii="Arial CE" w:hAnsi="Arial CE"/>
        </w:rPr>
        <w:t xml:space="preserve"> 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41608D">
        <w:rPr>
          <w:rFonts w:ascii="Arial CE" w:hAnsi="Arial CE"/>
        </w:rPr>
        <w:t>dodavatel</w:t>
      </w:r>
      <w:r w:rsidRPr="009424A7">
        <w:rPr>
          <w:rFonts w:ascii="Arial CE" w:hAnsi="Arial CE"/>
        </w:rPr>
        <w:t xml:space="preserve"> 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9424A7">
        <w:rPr>
          <w:rFonts w:ascii="Arial CE" w:hAnsi="Arial CE"/>
          <w:b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zaplatit </w:t>
      </w:r>
      <w:r w:rsidR="0041608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i úrok z prodlení ve výši </w:t>
      </w:r>
      <w:r w:rsidRPr="002D4F69">
        <w:rPr>
          <w:rFonts w:ascii="Arial CE" w:hAnsi="Arial CE"/>
        </w:rPr>
        <w:t xml:space="preserve">0,2 % </w:t>
      </w:r>
      <w:r w:rsidRPr="001D7A19">
        <w:rPr>
          <w:rFonts w:ascii="Arial CE" w:hAnsi="Arial CE"/>
        </w:rPr>
        <w:t>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41608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41608D">
        <w:rPr>
          <w:rFonts w:ascii="Arial CE" w:hAnsi="Arial CE"/>
        </w:rPr>
        <w:t>dodavatel</w:t>
      </w:r>
      <w:r w:rsidRPr="001D7A19">
        <w:rPr>
          <w:rFonts w:ascii="Arial CE" w:hAnsi="Arial CE"/>
        </w:rPr>
        <w:t>i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BD09F3" w:rsidRDefault="00274A11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131628">
        <w:rPr>
          <w:rFonts w:ascii="Arial CE" w:hAnsi="Arial CE"/>
          <w:b/>
          <w:bCs/>
          <w:sz w:val="22"/>
          <w:szCs w:val="22"/>
        </w:rPr>
        <w:t>1.</w:t>
      </w:r>
      <w:r w:rsidR="00DE19AF" w:rsidRPr="00131628">
        <w:rPr>
          <w:rFonts w:ascii="Arial CE" w:hAnsi="Arial CE"/>
          <w:b/>
          <w:bCs/>
          <w:sz w:val="22"/>
          <w:szCs w:val="22"/>
        </w:rPr>
        <w:tab/>
      </w:r>
      <w:r w:rsidR="00BD09F3" w:rsidRPr="00BD09F3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="00BD09F3" w:rsidRPr="00BD09F3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131628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</w:p>
    <w:p w:rsidR="00C86B2B" w:rsidRPr="001D7A19" w:rsidRDefault="00DE19AF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2.</w:t>
      </w:r>
      <w:r w:rsidRPr="001D7A19">
        <w:rPr>
          <w:rFonts w:ascii="Arial CE" w:hAnsi="Arial CE"/>
          <w:b/>
          <w:bCs/>
          <w:sz w:val="22"/>
          <w:szCs w:val="22"/>
        </w:rPr>
        <w:tab/>
      </w:r>
      <w:r w:rsidR="0041608D">
        <w:rPr>
          <w:rFonts w:ascii="Arial CE" w:hAnsi="Arial CE"/>
          <w:bCs/>
          <w:sz w:val="22"/>
          <w:szCs w:val="22"/>
        </w:rPr>
        <w:t>Dodavatel</w:t>
      </w:r>
      <w:r w:rsidR="00E008CA" w:rsidRPr="001D7A19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1D7A19">
        <w:rPr>
          <w:rFonts w:ascii="Arial CE" w:hAnsi="Arial CE"/>
          <w:bCs/>
          <w:sz w:val="22"/>
          <w:szCs w:val="22"/>
        </w:rPr>
        <w:t xml:space="preserve">dílo </w:t>
      </w:r>
      <w:r w:rsidR="00E008CA" w:rsidRPr="001D7A19">
        <w:rPr>
          <w:rFonts w:ascii="Arial CE" w:hAnsi="Arial CE"/>
          <w:bCs/>
          <w:sz w:val="22"/>
          <w:szCs w:val="22"/>
        </w:rPr>
        <w:t>bude zhotoven</w:t>
      </w:r>
      <w:r w:rsidR="00242984" w:rsidRPr="001D7A19">
        <w:rPr>
          <w:rFonts w:ascii="Arial CE" w:hAnsi="Arial CE"/>
          <w:bCs/>
          <w:sz w:val="22"/>
          <w:szCs w:val="22"/>
        </w:rPr>
        <w:t>o</w:t>
      </w:r>
      <w:r w:rsidR="00E008CA" w:rsidRPr="001D7A19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1D7A19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1D7A19" w:rsidRDefault="00BF3457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3</w:t>
      </w:r>
      <w:r w:rsidR="00274A11" w:rsidRPr="001D7A19">
        <w:rPr>
          <w:rFonts w:ascii="Arial CE" w:hAnsi="Arial CE"/>
          <w:b/>
          <w:bCs/>
          <w:sz w:val="22"/>
          <w:szCs w:val="22"/>
        </w:rPr>
        <w:t>.</w:t>
      </w:r>
      <w:r w:rsidR="00274A11" w:rsidRPr="001D7A19">
        <w:rPr>
          <w:rFonts w:ascii="Arial CE" w:hAnsi="Arial CE"/>
          <w:b/>
          <w:bCs/>
          <w:sz w:val="22"/>
          <w:szCs w:val="22"/>
        </w:rPr>
        <w:tab/>
      </w:r>
      <w:r w:rsidR="0041608D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odpovídá za to, že dílo plně vyhoví podmínkám stanoveným platným</w:t>
      </w:r>
      <w:r w:rsidR="00A05A37" w:rsidRPr="001D7A19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1D7A19">
        <w:rPr>
          <w:rFonts w:ascii="Arial CE" w:hAnsi="Arial CE"/>
          <w:bCs/>
          <w:sz w:val="22"/>
          <w:szCs w:val="22"/>
        </w:rPr>
        <w:t xml:space="preserve"> v této smlouvě. </w:t>
      </w:r>
      <w:r w:rsidR="0041608D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1D7A19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1D7A19" w:rsidRDefault="00695ECE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CC0099"/>
          <w:sz w:val="22"/>
          <w:szCs w:val="22"/>
        </w:rPr>
      </w:pPr>
    </w:p>
    <w:p w:rsidR="00B611FB" w:rsidRPr="001D7A19" w:rsidRDefault="00BF3457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4</w:t>
      </w:r>
      <w:r w:rsidR="00C6699A" w:rsidRPr="001D7A19">
        <w:rPr>
          <w:rFonts w:ascii="Arial CE" w:hAnsi="Arial CE"/>
          <w:b/>
          <w:bCs/>
          <w:sz w:val="22"/>
          <w:szCs w:val="22"/>
        </w:rPr>
        <w:t>.</w:t>
      </w:r>
      <w:r w:rsidR="00C6699A" w:rsidRPr="001D7A19">
        <w:rPr>
          <w:rFonts w:ascii="Arial CE" w:hAnsi="Arial CE"/>
          <w:b/>
          <w:bCs/>
          <w:sz w:val="22"/>
          <w:szCs w:val="22"/>
        </w:rPr>
        <w:tab/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Odpovědnost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e jakožto projektanta se mj. řídí ustanovením </w:t>
      </w:r>
      <w:r w:rsidR="006102B9" w:rsidRPr="001D7A19">
        <w:rPr>
          <w:rFonts w:ascii="Arial CE" w:hAnsi="Arial CE" w:cs="Arial"/>
          <w:sz w:val="22"/>
          <w:szCs w:val="22"/>
        </w:rPr>
        <w:t xml:space="preserve">§159 zákona </w:t>
      </w:r>
      <w:r w:rsidR="006102B9"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="006743F1" w:rsidRPr="001D7A19">
        <w:rPr>
          <w:rFonts w:ascii="Arial CE" w:hAnsi="Arial CE" w:cs="Arial"/>
          <w:sz w:val="22"/>
          <w:szCs w:val="22"/>
        </w:rPr>
        <w:t>, v platném znění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1D7A19" w:rsidRDefault="00BF3457" w:rsidP="00535939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>5</w:t>
      </w:r>
      <w:r w:rsidR="00C6699A" w:rsidRPr="001D7A19">
        <w:rPr>
          <w:rFonts w:ascii="Arial CE" w:hAnsi="Arial CE" w:cs="Arial"/>
          <w:b/>
          <w:bCs/>
          <w:color w:val="000000"/>
          <w:sz w:val="22"/>
          <w:szCs w:val="22"/>
        </w:rPr>
        <w:t>.</w:t>
      </w:r>
      <w:r w:rsidR="00C6699A" w:rsidRPr="001D7A19">
        <w:rPr>
          <w:rFonts w:ascii="Arial CE" w:hAnsi="Arial CE" w:cs="Arial"/>
          <w:bCs/>
          <w:color w:val="000000"/>
          <w:sz w:val="22"/>
          <w:szCs w:val="22"/>
        </w:rPr>
        <w:tab/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 objednateli za veškeré vady zhotoveného díla, ledaže prokáže, že vady byly způsobeny neodbornými svévolnými zásahy objednatele nebo třetí osoby. Vady reklamované v této době budou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em odstraněny bez</w:t>
      </w:r>
      <w:r w:rsidR="006743F1" w:rsidRPr="00545823">
        <w:rPr>
          <w:rFonts w:ascii="Arial CE" w:hAnsi="Arial CE" w:cs="Arial"/>
          <w:bCs/>
          <w:color w:val="000000"/>
          <w:sz w:val="22"/>
          <w:szCs w:val="22"/>
        </w:rPr>
        <w:t>ú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platně bez zbytečného odkladu nejpozději do 10 dnů po obdržení oprávněné písemné reklamace doručené objednatelem.</w:t>
      </w:r>
      <w:r w:rsidRPr="00545823">
        <w:rPr>
          <w:rFonts w:ascii="Arial CE" w:hAnsi="Arial CE" w:cs="Arial"/>
          <w:bCs/>
          <w:color w:val="0070C0"/>
          <w:sz w:val="22"/>
          <w:szCs w:val="22"/>
        </w:rPr>
        <w:t xml:space="preserve"> </w:t>
      </w:r>
      <w:r w:rsidRPr="00545823">
        <w:rPr>
          <w:rFonts w:ascii="Arial CE" w:hAnsi="Arial CE" w:cs="Arial"/>
          <w:bCs/>
          <w:sz w:val="22"/>
          <w:szCs w:val="22"/>
        </w:rPr>
        <w:t>Po dobu reklamace vad neběží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Default="000624DD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FB3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41608D">
        <w:rPr>
          <w:rFonts w:ascii="Arial" w:hAnsi="Arial" w:cs="Arial"/>
          <w:bCs/>
          <w:color w:val="000000"/>
          <w:sz w:val="22"/>
          <w:szCs w:val="22"/>
        </w:rPr>
        <w:t>Dodavatel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zodpovídá za vady díla následovně:</w:t>
      </w:r>
    </w:p>
    <w:p w:rsidR="000624DD" w:rsidRPr="00545823" w:rsidRDefault="00330598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0624DD">
        <w:rPr>
          <w:rFonts w:ascii="Arial" w:hAnsi="Arial" w:cs="Arial"/>
          <w:bCs/>
          <w:color w:val="000000"/>
          <w:sz w:val="22"/>
          <w:szCs w:val="22"/>
        </w:rPr>
        <w:tab/>
      </w:r>
      <w:r w:rsidR="0041608D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545823" w:rsidRDefault="00330598" w:rsidP="00BD09F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45823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545823">
        <w:rPr>
          <w:rFonts w:ascii="Arial" w:hAnsi="Arial" w:cs="Arial"/>
          <w:bCs/>
          <w:color w:val="000000"/>
          <w:sz w:val="22"/>
          <w:szCs w:val="22"/>
        </w:rPr>
        <w:tab/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Je – </w:t>
      </w:r>
      <w:proofErr w:type="spellStart"/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>li</w:t>
      </w:r>
      <w:proofErr w:type="spellEnd"/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dílo určeno k využití při realizaci stavby, pak </w:t>
      </w:r>
      <w:r w:rsidR="0041608D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</w:t>
      </w:r>
      <w:r w:rsidR="000624DD" w:rsidRPr="00545823">
        <w:rPr>
          <w:rFonts w:ascii="Arial" w:hAnsi="Arial" w:cs="Arial"/>
          <w:bCs/>
          <w:sz w:val="22"/>
          <w:szCs w:val="22"/>
        </w:rPr>
        <w:t>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>7.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Oznámení vad musí být zasláno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i 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</w:t>
      </w:r>
      <w:r w:rsidR="00BF3457"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8.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Odstranění vady nemá vliv na nárok objednatele na smluvní pokutu a náhradu škody. Objednatel má vůči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i též nárok na náhradu škody vzešlé z vady díla.</w:t>
      </w:r>
      <w:r w:rsidR="00BF3457" w:rsidRPr="00131628">
        <w:rPr>
          <w:rFonts w:ascii="Arial CE" w:hAnsi="Arial CE"/>
          <w:bCs/>
          <w:color w:val="0070C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</w:p>
    <w:p w:rsidR="00DE19AF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lastRenderedPageBreak/>
        <w:t xml:space="preserve"> 9.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Pokud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 odstraňuje prokazatel</w:t>
      </w:r>
      <w:r w:rsidR="007266FF">
        <w:rPr>
          <w:rFonts w:ascii="Arial CE" w:hAnsi="Arial CE" w:cs="Arial"/>
          <w:bCs/>
          <w:color w:val="000000"/>
          <w:sz w:val="22"/>
          <w:szCs w:val="22"/>
        </w:rPr>
        <w:t xml:space="preserve">né vady projektové dokumentace, 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které byly zjištěny v průběhu zadávacího řízení na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e stavby nebo v průběhu provádění stavby, pak tyto změny provede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 bez</w:t>
      </w:r>
      <w:r w:rsidR="007266FF">
        <w:rPr>
          <w:rFonts w:ascii="Arial CE" w:hAnsi="Arial CE" w:cs="Arial"/>
          <w:bCs/>
          <w:color w:val="000000"/>
          <w:sz w:val="22"/>
          <w:szCs w:val="22"/>
        </w:rPr>
        <w:t>ú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>platně.</w:t>
      </w: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Default="00DE19AF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10.</w:t>
      </w: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>
        <w:rPr>
          <w:rFonts w:ascii="Arial CE" w:hAnsi="Arial CE" w:cs="Arial"/>
          <w:bCs/>
          <w:color w:val="000000"/>
          <w:sz w:val="22"/>
          <w:szCs w:val="22"/>
        </w:rPr>
        <w:t xml:space="preserve">projektové 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>dokumentace) podle jím zpracované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AA0897" w:rsidRPr="001D7A19">
        <w:rPr>
          <w:rFonts w:ascii="Arial CE" w:hAnsi="Arial CE" w:cs="Arial"/>
          <w:bCs/>
          <w:color w:val="000000"/>
          <w:sz w:val="22"/>
          <w:szCs w:val="22"/>
        </w:rPr>
        <w:t>dokumentace nebo při jeho provozování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2E50A9" w:rsidRDefault="000624DD" w:rsidP="002E50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E50A9">
        <w:rPr>
          <w:rFonts w:ascii="Arial" w:hAnsi="Arial" w:cs="Arial"/>
          <w:bCs/>
          <w:sz w:val="22"/>
          <w:szCs w:val="22"/>
        </w:rPr>
        <w:t xml:space="preserve">Nebude-li </w:t>
      </w:r>
      <w:r w:rsidR="0041608D">
        <w:rPr>
          <w:rFonts w:ascii="Arial" w:hAnsi="Arial" w:cs="Arial"/>
          <w:bCs/>
          <w:sz w:val="22"/>
          <w:szCs w:val="22"/>
        </w:rPr>
        <w:t>dodavatel</w:t>
      </w:r>
      <w:r w:rsidRPr="002E50A9">
        <w:rPr>
          <w:rFonts w:ascii="Arial" w:hAnsi="Arial" w:cs="Arial"/>
          <w:bCs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C412AC" w:rsidRDefault="00C412AC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em porušením povinností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e 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7A05B4" w:rsidRDefault="007A05B4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proofErr w:type="spellStart"/>
      <w:r w:rsidRPr="001D7A19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uveden </w:t>
      </w:r>
      <w:r w:rsidR="0041608D">
        <w:rPr>
          <w:rFonts w:ascii="Arial CE" w:hAnsi="Arial CE" w:cs="Arial"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(autor) a název </w:t>
      </w:r>
      <w:r w:rsidR="007266FF">
        <w:rPr>
          <w:rFonts w:ascii="Arial CE" w:hAnsi="Arial CE" w:cs="Arial"/>
          <w:color w:val="000000"/>
          <w:sz w:val="22"/>
          <w:szCs w:val="22"/>
        </w:rPr>
        <w:t>díla. Pro jiné využití, zejména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jedná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 </w:t>
      </w:r>
      <w:r w:rsidRPr="00131628">
        <w:rPr>
          <w:rFonts w:ascii="Arial CE" w:hAnsi="Arial CE" w:cs="Arial"/>
          <w:color w:val="000000"/>
          <w:sz w:val="22"/>
          <w:szCs w:val="22"/>
        </w:rPr>
        <w:t>–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 </w:t>
      </w:r>
      <w:proofErr w:type="spellStart"/>
      <w:r w:rsidRPr="00131628">
        <w:rPr>
          <w:rFonts w:ascii="Arial CE" w:hAnsi="Arial CE" w:cs="Arial"/>
          <w:color w:val="000000"/>
          <w:sz w:val="22"/>
          <w:szCs w:val="22"/>
        </w:rPr>
        <w:t>li</w:t>
      </w:r>
      <w:proofErr w:type="spellEnd"/>
      <w:r w:rsidRPr="00131628">
        <w:rPr>
          <w:rFonts w:ascii="Arial CE" w:hAnsi="Arial CE" w:cs="Arial"/>
          <w:color w:val="000000"/>
          <w:sz w:val="22"/>
          <w:szCs w:val="22"/>
        </w:rPr>
        <w:t xml:space="preserve"> se o poskytnutí díla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41608D">
        <w:rPr>
          <w:rFonts w:ascii="Arial CE" w:hAnsi="Arial CE" w:cs="Arial"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color w:val="000000"/>
          <w:sz w:val="22"/>
          <w:szCs w:val="22"/>
        </w:rPr>
        <w:t>e.</w:t>
      </w:r>
    </w:p>
    <w:p w:rsidR="00695ECE" w:rsidRDefault="00695EC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545823" w:rsidRPr="001D7A19" w:rsidRDefault="00545823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BE082A" w:rsidRPr="00067F4D" w:rsidRDefault="004B2396" w:rsidP="00D20A7D">
      <w:pPr>
        <w:pStyle w:val="Odstavecseseznamem"/>
        <w:numPr>
          <w:ilvl w:val="0"/>
          <w:numId w:val="3"/>
        </w:numPr>
        <w:tabs>
          <w:tab w:val="clear" w:pos="1080"/>
          <w:tab w:val="num" w:pos="426"/>
          <w:tab w:val="num" w:pos="851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067F4D">
        <w:rPr>
          <w:rFonts w:ascii="Arial CE" w:hAnsi="Arial CE"/>
          <w:color w:val="000000"/>
          <w:sz w:val="22"/>
          <w:szCs w:val="22"/>
        </w:rPr>
        <w:t>Objednatel</w:t>
      </w:r>
      <w:r w:rsidR="004C6D96" w:rsidRPr="00067F4D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067F4D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067F4D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067F4D">
        <w:rPr>
          <w:rFonts w:ascii="Arial CE" w:hAnsi="Arial CE"/>
          <w:sz w:val="22"/>
          <w:szCs w:val="22"/>
        </w:rPr>
        <w:t xml:space="preserve">spolupracovat se </w:t>
      </w:r>
      <w:r w:rsidR="0041608D">
        <w:rPr>
          <w:rFonts w:ascii="Arial CE" w:hAnsi="Arial CE"/>
          <w:color w:val="000000"/>
          <w:sz w:val="22"/>
          <w:szCs w:val="22"/>
        </w:rPr>
        <w:t>dodavatel</w:t>
      </w:r>
      <w:r w:rsidR="00146185" w:rsidRPr="00067F4D">
        <w:rPr>
          <w:rFonts w:ascii="Arial CE" w:hAnsi="Arial CE"/>
          <w:color w:val="000000"/>
          <w:sz w:val="22"/>
          <w:szCs w:val="22"/>
        </w:rPr>
        <w:t>em</w:t>
      </w:r>
      <w:r w:rsidR="00BE082A" w:rsidRPr="00067F4D">
        <w:rPr>
          <w:rFonts w:ascii="Arial CE" w:hAnsi="Arial CE"/>
          <w:color w:val="000000"/>
          <w:sz w:val="22"/>
          <w:szCs w:val="22"/>
        </w:rPr>
        <w:t xml:space="preserve"> při zajišťování podkladů a informací potřebných pro plnění předmětu díla.</w:t>
      </w:r>
    </w:p>
    <w:p w:rsidR="00BF3457" w:rsidRPr="001D7A19" w:rsidRDefault="0041608D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Dodavatel</w:t>
      </w:r>
      <w:r w:rsidR="00BF3457" w:rsidRPr="001D7A19">
        <w:rPr>
          <w:rFonts w:ascii="Arial CE" w:hAnsi="Arial CE"/>
          <w:sz w:val="22"/>
          <w:szCs w:val="22"/>
        </w:rPr>
        <w:t xml:space="preserve"> se zavazuje, že bude bezodkladně a úplně informovat objednatele </w:t>
      </w:r>
      <w:r w:rsidR="00131628">
        <w:rPr>
          <w:rFonts w:ascii="Arial CE" w:hAnsi="Arial CE"/>
          <w:sz w:val="22"/>
          <w:szCs w:val="22"/>
        </w:rPr>
        <w:t>(</w:t>
      </w:r>
      <w:r w:rsidR="00BF3457" w:rsidRPr="001D7A19">
        <w:rPr>
          <w:rFonts w:ascii="Arial CE" w:hAnsi="Arial CE"/>
          <w:sz w:val="22"/>
          <w:szCs w:val="22"/>
        </w:rPr>
        <w:t>MPR</w:t>
      </w:r>
      <w:r w:rsidR="00131628">
        <w:rPr>
          <w:rFonts w:ascii="Arial CE" w:hAnsi="Arial CE"/>
          <w:sz w:val="22"/>
          <w:szCs w:val="22"/>
        </w:rPr>
        <w:t>)</w:t>
      </w:r>
      <w:r w:rsidR="00BF3457" w:rsidRPr="001D7A19">
        <w:rPr>
          <w:rFonts w:ascii="Arial CE" w:hAnsi="Arial CE"/>
          <w:sz w:val="22"/>
          <w:szCs w:val="22"/>
        </w:rPr>
        <w:t xml:space="preserve"> o všech důležitých skutečnostech souvisejících se sjednaným </w:t>
      </w:r>
      <w:r w:rsidR="003C51F9">
        <w:rPr>
          <w:rFonts w:ascii="Arial CE" w:hAnsi="Arial CE"/>
          <w:sz w:val="22"/>
          <w:szCs w:val="22"/>
        </w:rPr>
        <w:t>předmět</w:t>
      </w:r>
      <w:r w:rsidR="00545823">
        <w:rPr>
          <w:rFonts w:ascii="Arial CE" w:hAnsi="Arial CE"/>
          <w:sz w:val="22"/>
          <w:szCs w:val="22"/>
        </w:rPr>
        <w:t xml:space="preserve">em plnění, zejména těch, </w:t>
      </w:r>
      <w:r w:rsidR="00BF3457" w:rsidRPr="001D7A19">
        <w:rPr>
          <w:rFonts w:ascii="Arial CE" w:hAnsi="Arial CE"/>
          <w:sz w:val="22"/>
          <w:szCs w:val="22"/>
        </w:rPr>
        <w:t>které by ve svém důsledku mohly ohrozit termín plnění</w:t>
      </w:r>
      <w:r w:rsidR="00545823">
        <w:rPr>
          <w:rFonts w:ascii="Arial CE" w:hAnsi="Arial CE"/>
          <w:sz w:val="22"/>
          <w:szCs w:val="22"/>
        </w:rPr>
        <w:t>,</w:t>
      </w:r>
      <w:r w:rsidR="00BF3457" w:rsidRPr="001D7A19">
        <w:rPr>
          <w:rFonts w:ascii="Arial CE" w:hAnsi="Arial CE"/>
          <w:sz w:val="22"/>
          <w:szCs w:val="22"/>
        </w:rPr>
        <w:t xml:space="preserve"> nebo mohli mít vliv na cenu díla. 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D7A19">
        <w:rPr>
          <w:rFonts w:ascii="Arial CE" w:hAnsi="Arial CE"/>
          <w:sz w:val="22"/>
          <w:szCs w:val="22"/>
        </w:rPr>
        <w:t>se</w:t>
      </w:r>
      <w:r w:rsidR="00C8329E" w:rsidRPr="001D7A19">
        <w:rPr>
          <w:rFonts w:ascii="Arial CE" w:hAnsi="Arial CE"/>
          <w:color w:val="000000"/>
          <w:sz w:val="22"/>
          <w:szCs w:val="22"/>
        </w:rPr>
        <w:t xml:space="preserve"> </w:t>
      </w:r>
      <w:r w:rsidRPr="001D7A19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D7A19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D7A19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>
        <w:rPr>
          <w:rFonts w:ascii="Arial CE" w:hAnsi="Arial CE"/>
          <w:color w:val="000000"/>
          <w:sz w:val="22"/>
          <w:szCs w:val="22"/>
        </w:rPr>
        <w:t xml:space="preserve">o straně nové požadavky </w:t>
      </w:r>
      <w:r w:rsidR="00535939" w:rsidRPr="007A05B4">
        <w:rPr>
          <w:rFonts w:ascii="Arial CE" w:hAnsi="Arial CE"/>
          <w:sz w:val="22"/>
          <w:szCs w:val="22"/>
        </w:rPr>
        <w:t xml:space="preserve">nad rámec </w:t>
      </w:r>
      <w:r w:rsidR="00E03363" w:rsidRPr="007A05B4">
        <w:rPr>
          <w:rFonts w:ascii="Arial CE" w:hAnsi="Arial CE"/>
          <w:sz w:val="22"/>
          <w:szCs w:val="22"/>
        </w:rPr>
        <w:t xml:space="preserve">rozsahu </w:t>
      </w:r>
      <w:r w:rsidR="00535939" w:rsidRPr="007A05B4">
        <w:rPr>
          <w:rFonts w:ascii="Arial CE" w:hAnsi="Arial CE"/>
          <w:sz w:val="22"/>
          <w:szCs w:val="22"/>
        </w:rPr>
        <w:t>smlouvy o dílo.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AA0897" w:rsidRPr="00AA0897" w:rsidRDefault="003933B9" w:rsidP="00AA0897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AA0897" w:rsidRDefault="00AA0897" w:rsidP="00AA0897">
      <w:pPr>
        <w:autoSpaceDE w:val="0"/>
        <w:autoSpaceDN w:val="0"/>
        <w:adjustRightInd w:val="0"/>
        <w:jc w:val="both"/>
        <w:rPr>
          <w:rFonts w:ascii="Arial CE" w:hAnsi="Arial CE"/>
          <w:color w:val="000000"/>
          <w:sz w:val="22"/>
          <w:szCs w:val="22"/>
        </w:rPr>
      </w:pP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nevyzve </w:t>
      </w:r>
      <w:r w:rsidR="0041608D">
        <w:rPr>
          <w:rFonts w:ascii="Arial CE" w:hAnsi="Arial CE" w:cs="Arial"/>
          <w:bCs/>
          <w:sz w:val="22"/>
          <w:szCs w:val="22"/>
        </w:rPr>
        <w:t>dodavatel</w:t>
      </w:r>
      <w:r w:rsidRPr="00545823">
        <w:rPr>
          <w:rFonts w:ascii="Arial CE" w:hAnsi="Arial CE" w:cs="Arial"/>
          <w:bCs/>
          <w:sz w:val="22"/>
          <w:szCs w:val="22"/>
        </w:rPr>
        <w:t xml:space="preserve">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předloží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objednateli v elektronické podobě </w:t>
      </w:r>
      <w:r w:rsidRPr="002E610D">
        <w:rPr>
          <w:rFonts w:ascii="Arial CE" w:hAnsi="Arial CE" w:cs="Arial"/>
          <w:bCs/>
          <w:sz w:val="22"/>
          <w:szCs w:val="22"/>
        </w:rPr>
        <w:t xml:space="preserve">nejpozději 14 dnů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před ukončením termínu plnění</w:t>
      </w:r>
      <w:r w:rsidR="00E0336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dle smlouvy.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C7652E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067F4D">
        <w:rPr>
          <w:rFonts w:ascii="Arial CE" w:hAnsi="Arial CE" w:cs="Arial"/>
          <w:sz w:val="22"/>
          <w:szCs w:val="22"/>
        </w:rPr>
        <w:t>6</w:t>
      </w:r>
      <w:r w:rsidRPr="00067F4D">
        <w:rPr>
          <w:rFonts w:ascii="Arial CE" w:hAnsi="Arial CE" w:cs="Arial"/>
          <w:sz w:val="22"/>
          <w:szCs w:val="22"/>
        </w:rPr>
        <w:t xml:space="preserve"> </w:t>
      </w:r>
      <w:r w:rsidR="00C7652E" w:rsidRPr="00067F4D">
        <w:rPr>
          <w:rFonts w:ascii="Arial CE" w:hAnsi="Arial CE" w:cs="Arial"/>
          <w:sz w:val="22"/>
          <w:szCs w:val="22"/>
        </w:rPr>
        <w:t>týdnů</w:t>
      </w:r>
      <w:r w:rsidRPr="00C7652E">
        <w:rPr>
          <w:rFonts w:ascii="Arial CE" w:hAnsi="Arial CE" w:cs="Arial"/>
          <w:sz w:val="22"/>
          <w:szCs w:val="22"/>
        </w:rPr>
        <w:t xml:space="preserve"> po uzavření smlouvy o dílo</w:t>
      </w:r>
      <w:r w:rsidR="00C7652E">
        <w:rPr>
          <w:rFonts w:ascii="Arial CE" w:hAnsi="Arial CE" w:cs="Arial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C15E52" w:rsidRPr="00C7652E">
        <w:rPr>
          <w:rFonts w:ascii="Arial CE" w:hAnsi="Arial CE" w:cs="Arial"/>
          <w:bCs/>
          <w:color w:val="000000"/>
          <w:sz w:val="22"/>
          <w:szCs w:val="22"/>
        </w:rPr>
        <w:t>e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D7A19" w:rsidRDefault="006414A4" w:rsidP="006414A4">
      <w:pPr>
        <w:autoSpaceDE w:val="0"/>
        <w:autoSpaceDN w:val="0"/>
        <w:adjustRightInd w:val="0"/>
        <w:ind w:left="360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i s prováděním díla vznikly. Vznikne-li takovým prodlením objednateli škoda, je za ni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C7652E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Objednatel může od smlouvy ods</w:t>
      </w:r>
      <w:r w:rsidR="003C51F9">
        <w:rPr>
          <w:rFonts w:ascii="Arial CE" w:hAnsi="Arial CE" w:cs="Arial"/>
          <w:bCs/>
          <w:color w:val="000000"/>
          <w:sz w:val="22"/>
          <w:szCs w:val="22"/>
        </w:rPr>
        <w:t>toupit, poměrnou část původně ur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čené ceny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i zaplatí, má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proofErr w:type="spellStart"/>
      <w:r w:rsidRPr="00C7652E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 částečného plnění </w:t>
      </w:r>
      <w:r w:rsidR="0041608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e prospěch.</w:t>
      </w:r>
    </w:p>
    <w:p w:rsidR="00AF2B79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  <w:highlight w:val="cyan"/>
        </w:rPr>
        <w:t xml:space="preserve"> </w:t>
      </w: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má na základě zákona č. 340/2015 Sb.,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067F4D" w:rsidRP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AF2B79" w:rsidRPr="008B394F" w:rsidRDefault="00AF2B79" w:rsidP="008B39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:rsidR="00067F4D" w:rsidRPr="00067F4D" w:rsidRDefault="00067F4D" w:rsidP="00067F4D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lastRenderedPageBreak/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80E85" w:rsidRDefault="00A80E85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3932AB" w:rsidRDefault="003932AB" w:rsidP="003932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>v Chomutově dne ………</w:t>
      </w:r>
      <w:proofErr w:type="gramStart"/>
      <w:r w:rsidRPr="00D372C0">
        <w:rPr>
          <w:rFonts w:ascii="Arial" w:hAnsi="Arial" w:cs="Arial"/>
          <w:sz w:val="22"/>
          <w:szCs w:val="22"/>
        </w:rPr>
        <w:t>…..</w:t>
      </w:r>
      <w:r w:rsidRPr="00D372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2C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Praze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372C0">
        <w:rPr>
          <w:rFonts w:ascii="Arial" w:hAnsi="Arial" w:cs="Arial"/>
          <w:sz w:val="22"/>
          <w:szCs w:val="22"/>
        </w:rPr>
        <w:t>dne …………</w:t>
      </w:r>
      <w:r>
        <w:rPr>
          <w:rFonts w:ascii="Arial" w:hAnsi="Arial" w:cs="Arial"/>
          <w:sz w:val="22"/>
          <w:szCs w:val="22"/>
        </w:rPr>
        <w:t>…</w:t>
      </w:r>
    </w:p>
    <w:p w:rsidR="003932AB" w:rsidRDefault="003932AB" w:rsidP="003932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32AB" w:rsidRDefault="003932AB" w:rsidP="003932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32AB" w:rsidRDefault="003932AB" w:rsidP="003932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32AB" w:rsidRDefault="003932AB" w:rsidP="003932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32AB" w:rsidRDefault="003932AB" w:rsidP="003932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32AB" w:rsidRDefault="003932AB" w:rsidP="003932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732F" w:rsidRPr="00D372C0" w:rsidRDefault="00A4732F" w:rsidP="00A473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2C0">
        <w:rPr>
          <w:rFonts w:ascii="Arial" w:hAnsi="Arial" w:cs="Arial"/>
          <w:sz w:val="22"/>
          <w:szCs w:val="22"/>
        </w:rPr>
        <w:t>…………………………………….</w:t>
      </w:r>
    </w:p>
    <w:p w:rsidR="00A4732F" w:rsidRPr="00D372C0" w:rsidRDefault="00A4732F" w:rsidP="00A473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D372C0"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Michaela </w:t>
      </w:r>
      <w:proofErr w:type="spellStart"/>
      <w:r>
        <w:rPr>
          <w:rFonts w:ascii="Arial" w:hAnsi="Arial" w:cs="Arial"/>
          <w:sz w:val="22"/>
          <w:szCs w:val="22"/>
        </w:rPr>
        <w:t>Vejvalková</w:t>
      </w:r>
      <w:proofErr w:type="spellEnd"/>
    </w:p>
    <w:p w:rsidR="00A4732F" w:rsidRDefault="00A4732F" w:rsidP="00A473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firmy</w:t>
      </w:r>
    </w:p>
    <w:p w:rsidR="00A4732F" w:rsidRPr="00D372C0" w:rsidRDefault="00A4732F" w:rsidP="00A473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>Povodí Ohře, státní podnik</w:t>
      </w:r>
      <w:r w:rsidRPr="00D372C0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KV+MV AQUA spol. s r.o.</w:t>
      </w:r>
    </w:p>
    <w:p w:rsidR="00A4732F" w:rsidRDefault="00A4732F" w:rsidP="00A473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b/>
          <w:sz w:val="22"/>
          <w:szCs w:val="22"/>
        </w:rPr>
        <w:t>objednatel</w:t>
      </w:r>
      <w:r w:rsidRPr="00D372C0">
        <w:rPr>
          <w:rFonts w:ascii="Arial" w:hAnsi="Arial" w:cs="Arial"/>
          <w:sz w:val="22"/>
          <w:szCs w:val="22"/>
        </w:rPr>
        <w:t xml:space="preserve"> (podpis, razítko)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57B1">
        <w:rPr>
          <w:rFonts w:ascii="Arial" w:hAnsi="Arial"/>
          <w:b/>
          <w:sz w:val="22"/>
          <w:szCs w:val="22"/>
        </w:rPr>
        <w:t>dodavatel</w:t>
      </w:r>
      <w:r w:rsidRPr="00D372C0">
        <w:rPr>
          <w:rFonts w:ascii="Arial" w:hAnsi="Arial" w:cs="Arial"/>
          <w:sz w:val="22"/>
          <w:szCs w:val="22"/>
        </w:rPr>
        <w:t xml:space="preserve"> (podpis, razítko)</w:t>
      </w:r>
    </w:p>
    <w:p w:rsidR="005B6054" w:rsidRDefault="005B6054" w:rsidP="00A4732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sectPr w:rsidR="005B6054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7B" w:rsidRDefault="0025287B">
      <w:r>
        <w:separator/>
      </w:r>
    </w:p>
  </w:endnote>
  <w:endnote w:type="continuationSeparator" w:id="0">
    <w:p w:rsidR="0025287B" w:rsidRDefault="0025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732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732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732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732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7B" w:rsidRDefault="0025287B">
      <w:r>
        <w:separator/>
      </w:r>
    </w:p>
  </w:footnote>
  <w:footnote w:type="continuationSeparator" w:id="0">
    <w:p w:rsidR="0025287B" w:rsidRDefault="0025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37260B7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3"/>
  </w:num>
  <w:num w:numId="8">
    <w:abstractNumId w:val="21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28"/>
  </w:num>
  <w:num w:numId="20">
    <w:abstractNumId w:val="22"/>
  </w:num>
  <w:num w:numId="21">
    <w:abstractNumId w:val="20"/>
  </w:num>
  <w:num w:numId="22">
    <w:abstractNumId w:val="27"/>
  </w:num>
  <w:num w:numId="23">
    <w:abstractNumId w:val="29"/>
  </w:num>
  <w:num w:numId="24">
    <w:abstractNumId w:val="24"/>
  </w:num>
  <w:num w:numId="25">
    <w:abstractNumId w:val="14"/>
  </w:num>
  <w:num w:numId="26">
    <w:abstractNumId w:val="3"/>
  </w:num>
  <w:num w:numId="27">
    <w:abstractNumId w:val="12"/>
  </w:num>
  <w:num w:numId="28">
    <w:abstractNumId w:val="25"/>
  </w:num>
  <w:num w:numId="29">
    <w:abstractNumId w:val="1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27D0"/>
    <w:rsid w:val="000A47ED"/>
    <w:rsid w:val="000A6310"/>
    <w:rsid w:val="000A6DEF"/>
    <w:rsid w:val="000B05E6"/>
    <w:rsid w:val="000B0813"/>
    <w:rsid w:val="000B1A9D"/>
    <w:rsid w:val="000B208B"/>
    <w:rsid w:val="000B6567"/>
    <w:rsid w:val="000B7938"/>
    <w:rsid w:val="000C2784"/>
    <w:rsid w:val="000C6C2B"/>
    <w:rsid w:val="000D06FB"/>
    <w:rsid w:val="000D7986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7C04"/>
    <w:rsid w:val="0014197F"/>
    <w:rsid w:val="001420A1"/>
    <w:rsid w:val="001428BA"/>
    <w:rsid w:val="0014307C"/>
    <w:rsid w:val="001437B5"/>
    <w:rsid w:val="00143AD9"/>
    <w:rsid w:val="00143C0D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287B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2B70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5D5"/>
    <w:rsid w:val="002957C8"/>
    <w:rsid w:val="002A2427"/>
    <w:rsid w:val="002A2F7E"/>
    <w:rsid w:val="002A5C22"/>
    <w:rsid w:val="002A633C"/>
    <w:rsid w:val="002A6EA6"/>
    <w:rsid w:val="002B1B6F"/>
    <w:rsid w:val="002B4882"/>
    <w:rsid w:val="002B5C5A"/>
    <w:rsid w:val="002C0478"/>
    <w:rsid w:val="002C130C"/>
    <w:rsid w:val="002C1521"/>
    <w:rsid w:val="002C1E74"/>
    <w:rsid w:val="002C655A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2F5F73"/>
    <w:rsid w:val="003007F2"/>
    <w:rsid w:val="003053A3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2AB"/>
    <w:rsid w:val="003933B9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93B"/>
    <w:rsid w:val="003F7C36"/>
    <w:rsid w:val="00402059"/>
    <w:rsid w:val="004051CE"/>
    <w:rsid w:val="004054E1"/>
    <w:rsid w:val="00406BA6"/>
    <w:rsid w:val="0040740F"/>
    <w:rsid w:val="00410541"/>
    <w:rsid w:val="00410E03"/>
    <w:rsid w:val="0041190D"/>
    <w:rsid w:val="0041608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C78BD"/>
    <w:rsid w:val="004D0CD2"/>
    <w:rsid w:val="004D3C67"/>
    <w:rsid w:val="004D4E40"/>
    <w:rsid w:val="004D6A0E"/>
    <w:rsid w:val="004E0EA4"/>
    <w:rsid w:val="004E285F"/>
    <w:rsid w:val="004E591C"/>
    <w:rsid w:val="004E69C0"/>
    <w:rsid w:val="004F236E"/>
    <w:rsid w:val="004F3775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50FE6"/>
    <w:rsid w:val="00552DB0"/>
    <w:rsid w:val="005569D5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2E9C"/>
    <w:rsid w:val="00586991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6536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6407"/>
    <w:rsid w:val="007B5ABE"/>
    <w:rsid w:val="007B7FE8"/>
    <w:rsid w:val="007C2949"/>
    <w:rsid w:val="007C5F87"/>
    <w:rsid w:val="007C7651"/>
    <w:rsid w:val="007D04EF"/>
    <w:rsid w:val="007D2224"/>
    <w:rsid w:val="007D2A6E"/>
    <w:rsid w:val="007D2D4F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650E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40B7"/>
    <w:rsid w:val="00A150D7"/>
    <w:rsid w:val="00A17856"/>
    <w:rsid w:val="00A2023A"/>
    <w:rsid w:val="00A21EF9"/>
    <w:rsid w:val="00A22A03"/>
    <w:rsid w:val="00A25D65"/>
    <w:rsid w:val="00A2706F"/>
    <w:rsid w:val="00A27447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32F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5342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2F89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286A"/>
    <w:rsid w:val="00C9603F"/>
    <w:rsid w:val="00C9666C"/>
    <w:rsid w:val="00C973AE"/>
    <w:rsid w:val="00CA0C14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C6A74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C76"/>
    <w:rsid w:val="00DF2FD1"/>
    <w:rsid w:val="00DF3776"/>
    <w:rsid w:val="00DF53B2"/>
    <w:rsid w:val="00E00412"/>
    <w:rsid w:val="00E008CA"/>
    <w:rsid w:val="00E03363"/>
    <w:rsid w:val="00E04C36"/>
    <w:rsid w:val="00E052A4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263F9"/>
    <w:rsid w:val="00E317CD"/>
    <w:rsid w:val="00E3754D"/>
    <w:rsid w:val="00E40272"/>
    <w:rsid w:val="00E40B7D"/>
    <w:rsid w:val="00E41390"/>
    <w:rsid w:val="00E472A9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286B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59DD"/>
    <w:rsid w:val="00FC312B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EC7B-C8FC-412B-B0DF-4C708B1F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3290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22658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16</cp:revision>
  <cp:lastPrinted>2017-01-02T11:18:00Z</cp:lastPrinted>
  <dcterms:created xsi:type="dcterms:W3CDTF">2017-01-03T13:07:00Z</dcterms:created>
  <dcterms:modified xsi:type="dcterms:W3CDTF">2017-01-17T10:06:00Z</dcterms:modified>
</cp:coreProperties>
</file>