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EB" w:rsidRDefault="005527A7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0.65pt;margin-top:796.25pt;width:347.3pt;height:0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10.75pt;margin-top:796.7pt;width:141.8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5218EB" w:rsidRDefault="005527A7">
      <w:pPr>
        <w:pStyle w:val="Bodytext30"/>
        <w:framePr w:w="179" w:h="1603" w:hRule="exact" w:wrap="none" w:vAnchor="page" w:hAnchor="page" w:x="267" w:y="14164"/>
        <w:shd w:val="clear" w:color="auto" w:fill="auto"/>
        <w:textDirection w:val="btLr"/>
      </w:pPr>
      <w:r>
        <w:t>99.3.00.002 01.2020 v01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8"/>
        <w:gridCol w:w="2285"/>
      </w:tblGrid>
      <w:tr w:rsidR="005218EB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7718" w:type="dxa"/>
            <w:shd w:val="clear" w:color="auto" w:fill="FFFFFF"/>
          </w:tcPr>
          <w:p w:rsidR="005218EB" w:rsidRDefault="005527A7" w:rsidP="00B65E51">
            <w:pPr>
              <w:pStyle w:val="Bodytext20"/>
              <w:framePr w:w="10003" w:h="4805" w:wrap="none" w:vAnchor="page" w:hAnchor="page" w:x="917" w:y="292"/>
              <w:shd w:val="clear" w:color="auto" w:fill="auto"/>
              <w:spacing w:before="0" w:after="0" w:line="379" w:lineRule="exact"/>
              <w:jc w:val="center"/>
            </w:pPr>
            <w:r>
              <w:rPr>
                <w:rStyle w:val="Bodytext215pt"/>
              </w:rPr>
              <w:t xml:space="preserve">Sazebník administrativních poplatků </w:t>
            </w:r>
            <w:r w:rsidR="00B65E51">
              <w:rPr>
                <w:rStyle w:val="Bodytext215pt"/>
              </w:rPr>
              <w:t xml:space="preserve">                                        </w:t>
            </w:r>
            <w:r>
              <w:rPr>
                <w:rStyle w:val="Bodytext215pt"/>
                <w:lang w:val="en-US" w:eastAsia="en-US" w:bidi="en-US"/>
              </w:rPr>
              <w:t xml:space="preserve">Generali </w:t>
            </w:r>
            <w:r>
              <w:rPr>
                <w:rStyle w:val="Bodytext215pt"/>
              </w:rPr>
              <w:t>Česká pojišťovna a.s. platný od 1. 1</w:t>
            </w:r>
            <w:r w:rsidR="00B65E51">
              <w:rPr>
                <w:rStyle w:val="Bodytext215pt"/>
              </w:rPr>
              <w:t>.2020</w:t>
            </w:r>
          </w:p>
        </w:tc>
        <w:tc>
          <w:tcPr>
            <w:tcW w:w="2285" w:type="dxa"/>
            <w:shd w:val="clear" w:color="auto" w:fill="FFFFFF"/>
            <w:vAlign w:val="bottom"/>
          </w:tcPr>
          <w:p w:rsidR="005218EB" w:rsidRDefault="005218EB">
            <w:pPr>
              <w:pStyle w:val="Bodytext20"/>
              <w:framePr w:w="10003" w:h="4805" w:wrap="none" w:vAnchor="page" w:hAnchor="page" w:x="917" w:y="292"/>
              <w:shd w:val="clear" w:color="auto" w:fill="auto"/>
              <w:spacing w:before="0" w:after="0" w:line="334" w:lineRule="exact"/>
              <w:jc w:val="left"/>
            </w:pPr>
          </w:p>
        </w:tc>
      </w:tr>
      <w:tr w:rsidR="005218EB">
        <w:tblPrEx>
          <w:tblCellMar>
            <w:top w:w="0" w:type="dxa"/>
            <w:bottom w:w="0" w:type="dxa"/>
          </w:tblCellMar>
        </w:tblPrEx>
        <w:trPr>
          <w:trHeight w:hRule="exact" w:val="2016"/>
        </w:trPr>
        <w:tc>
          <w:tcPr>
            <w:tcW w:w="1000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218EB" w:rsidRDefault="005527A7">
            <w:pPr>
              <w:pStyle w:val="Bodytext20"/>
              <w:framePr w:w="10003" w:h="4805" w:wrap="none" w:vAnchor="page" w:hAnchor="page" w:x="917" w:y="292"/>
              <w:shd w:val="clear" w:color="auto" w:fill="auto"/>
              <w:spacing w:before="0" w:after="460" w:line="334" w:lineRule="exact"/>
              <w:jc w:val="left"/>
            </w:pPr>
            <w:r>
              <w:rPr>
                <w:rStyle w:val="Bodytext295pt"/>
                <w:b w:val="0"/>
                <w:bCs w:val="0"/>
              </w:rPr>
              <w:t xml:space="preserve">pro pojistné smlouvy uzavřené od </w:t>
            </w:r>
            <w:r w:rsidR="00B65E51">
              <w:rPr>
                <w:rStyle w:val="Bodytext295pt"/>
                <w:b w:val="0"/>
                <w:bCs w:val="0"/>
              </w:rPr>
              <w:t>1.1.2</w:t>
            </w:r>
            <w:r>
              <w:rPr>
                <w:rStyle w:val="Bodytext295pt"/>
                <w:b w:val="0"/>
                <w:bCs w:val="0"/>
              </w:rPr>
              <w:t>020</w:t>
            </w:r>
          </w:p>
          <w:p w:rsidR="005218EB" w:rsidRDefault="005527A7">
            <w:pPr>
              <w:pStyle w:val="Bodytext20"/>
              <w:framePr w:w="10003" w:h="4805" w:wrap="none" w:vAnchor="page" w:hAnchor="page" w:x="917" w:y="292"/>
              <w:shd w:val="clear" w:color="auto" w:fill="auto"/>
              <w:spacing w:after="0" w:line="246" w:lineRule="exact"/>
              <w:jc w:val="left"/>
            </w:pPr>
            <w:r>
              <w:rPr>
                <w:rStyle w:val="Bodytext22"/>
              </w:rPr>
              <w:t>I. Obecné poplatky za správu životního a neživotního pojištění</w:t>
            </w:r>
          </w:p>
        </w:tc>
      </w:tr>
      <w:tr w:rsidR="005218E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77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218EB" w:rsidRDefault="005527A7">
            <w:pPr>
              <w:pStyle w:val="Bodytext20"/>
              <w:framePr w:w="10003" w:h="4805" w:wrap="none" w:vAnchor="page" w:hAnchor="page" w:x="917" w:y="292"/>
              <w:shd w:val="clear" w:color="auto" w:fill="auto"/>
              <w:spacing w:before="0" w:after="0" w:line="212" w:lineRule="exact"/>
              <w:ind w:left="220"/>
              <w:jc w:val="left"/>
            </w:pPr>
            <w:r>
              <w:rPr>
                <w:rStyle w:val="Bodytext295pt0"/>
                <w:b w:val="0"/>
                <w:bCs w:val="0"/>
              </w:rPr>
              <w:t xml:space="preserve">přehled </w:t>
            </w:r>
            <w:r>
              <w:rPr>
                <w:rStyle w:val="Bodytext295pt0"/>
                <w:b w:val="0"/>
                <w:bCs w:val="0"/>
              </w:rPr>
              <w:t>zpoplatněných úkonů a služeb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8EB" w:rsidRDefault="005527A7">
            <w:pPr>
              <w:pStyle w:val="Bodytext20"/>
              <w:framePr w:w="10003" w:h="4805" w:wrap="none" w:vAnchor="page" w:hAnchor="page" w:x="917" w:y="292"/>
              <w:shd w:val="clear" w:color="auto" w:fill="auto"/>
              <w:spacing w:before="0" w:after="0" w:line="212" w:lineRule="exact"/>
              <w:ind w:left="180"/>
              <w:jc w:val="left"/>
            </w:pPr>
            <w:r>
              <w:rPr>
                <w:rStyle w:val="Bodytext295pt0"/>
                <w:b w:val="0"/>
                <w:bCs w:val="0"/>
              </w:rPr>
              <w:t>výše poplatku</w:t>
            </w:r>
          </w:p>
        </w:tc>
      </w:tr>
      <w:tr w:rsidR="005218E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77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218EB" w:rsidRDefault="005527A7">
            <w:pPr>
              <w:pStyle w:val="Bodytext20"/>
              <w:framePr w:w="10003" w:h="4805" w:wrap="none" w:vAnchor="page" w:hAnchor="page" w:x="917" w:y="292"/>
              <w:shd w:val="clear" w:color="auto" w:fill="auto"/>
              <w:spacing w:before="0" w:after="0" w:line="212" w:lineRule="exact"/>
              <w:ind w:left="220"/>
              <w:jc w:val="left"/>
            </w:pPr>
            <w:r>
              <w:rPr>
                <w:rStyle w:val="Bodytext295pt"/>
                <w:b w:val="0"/>
                <w:bCs w:val="0"/>
              </w:rPr>
              <w:t>upomínka dlužného pojistného - před zánikem pojištění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8EB" w:rsidRDefault="00B65E51">
            <w:pPr>
              <w:pStyle w:val="Bodytext20"/>
              <w:framePr w:w="10003" w:h="4805" w:wrap="none" w:vAnchor="page" w:hAnchor="page" w:x="917" w:y="292"/>
              <w:shd w:val="clear" w:color="auto" w:fill="auto"/>
              <w:spacing w:before="0" w:after="0" w:line="212" w:lineRule="exact"/>
              <w:ind w:left="180"/>
              <w:jc w:val="left"/>
            </w:pPr>
            <w:r>
              <w:rPr>
                <w:rStyle w:val="Bodytext295pt"/>
                <w:b w:val="0"/>
                <w:bCs w:val="0"/>
              </w:rPr>
              <w:t xml:space="preserve">  </w:t>
            </w:r>
            <w:r w:rsidR="005527A7">
              <w:rPr>
                <w:rStyle w:val="Bodytext295pt"/>
                <w:b w:val="0"/>
                <w:bCs w:val="0"/>
              </w:rPr>
              <w:t>50 Kč*</w:t>
            </w:r>
          </w:p>
        </w:tc>
      </w:tr>
      <w:tr w:rsidR="005218E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77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218EB" w:rsidRDefault="005527A7">
            <w:pPr>
              <w:pStyle w:val="Bodytext20"/>
              <w:framePr w:w="10003" w:h="4805" w:wrap="none" w:vAnchor="page" w:hAnchor="page" w:x="917" w:y="292"/>
              <w:shd w:val="clear" w:color="auto" w:fill="auto"/>
              <w:spacing w:before="0" w:after="0" w:line="212" w:lineRule="exact"/>
              <w:ind w:left="220"/>
              <w:jc w:val="left"/>
            </w:pPr>
            <w:r>
              <w:rPr>
                <w:rStyle w:val="Bodytext295pt"/>
                <w:b w:val="0"/>
                <w:bCs w:val="0"/>
              </w:rPr>
              <w:t>upomínka dlužného pojistného - po zániku pojištění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8EB" w:rsidRDefault="005527A7">
            <w:pPr>
              <w:pStyle w:val="Bodytext20"/>
              <w:framePr w:w="10003" w:h="4805" w:wrap="none" w:vAnchor="page" w:hAnchor="page" w:x="917" w:y="292"/>
              <w:shd w:val="clear" w:color="auto" w:fill="auto"/>
              <w:spacing w:before="0" w:after="0" w:line="212" w:lineRule="exact"/>
              <w:ind w:left="180"/>
              <w:jc w:val="left"/>
            </w:pPr>
            <w:r>
              <w:rPr>
                <w:rStyle w:val="Bodytext295pt"/>
                <w:b w:val="0"/>
                <w:bCs w:val="0"/>
              </w:rPr>
              <w:t>200 Kč*</w:t>
            </w:r>
          </w:p>
        </w:tc>
      </w:tr>
      <w:tr w:rsidR="005218EB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7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8EB" w:rsidRDefault="005527A7">
            <w:pPr>
              <w:pStyle w:val="Bodytext20"/>
              <w:framePr w:w="10003" w:h="4805" w:wrap="none" w:vAnchor="page" w:hAnchor="page" w:x="917" w:y="292"/>
              <w:shd w:val="clear" w:color="auto" w:fill="auto"/>
              <w:spacing w:before="0" w:after="0" w:line="212" w:lineRule="exact"/>
              <w:ind w:left="220"/>
              <w:jc w:val="left"/>
            </w:pPr>
            <w:r>
              <w:rPr>
                <w:rStyle w:val="Bodytext295pt"/>
                <w:b w:val="0"/>
                <w:bCs w:val="0"/>
              </w:rPr>
              <w:t>výplata přeplatku na pojistném prostřednictvím poštovní poukázky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8EB" w:rsidRDefault="00B65E51">
            <w:pPr>
              <w:pStyle w:val="Bodytext20"/>
              <w:framePr w:w="10003" w:h="4805" w:wrap="none" w:vAnchor="page" w:hAnchor="page" w:x="917" w:y="292"/>
              <w:shd w:val="clear" w:color="auto" w:fill="auto"/>
              <w:spacing w:before="0" w:after="0" w:line="212" w:lineRule="exact"/>
              <w:ind w:left="180"/>
              <w:jc w:val="left"/>
            </w:pPr>
            <w:r>
              <w:rPr>
                <w:rStyle w:val="Bodytext295pt"/>
                <w:b w:val="0"/>
                <w:bCs w:val="0"/>
              </w:rPr>
              <w:t xml:space="preserve">  </w:t>
            </w:r>
            <w:bookmarkStart w:id="0" w:name="_GoBack"/>
            <w:bookmarkEnd w:id="0"/>
            <w:r w:rsidR="005527A7">
              <w:rPr>
                <w:rStyle w:val="Bodytext295pt"/>
                <w:b w:val="0"/>
                <w:bCs w:val="0"/>
              </w:rPr>
              <w:t>50 Kč*</w:t>
            </w:r>
          </w:p>
        </w:tc>
      </w:tr>
    </w:tbl>
    <w:p w:rsidR="005218EB" w:rsidRDefault="005527A7">
      <w:pPr>
        <w:pStyle w:val="Tablecaption0"/>
        <w:framePr w:w="9139" w:h="552" w:hRule="exact" w:wrap="none" w:vAnchor="page" w:hAnchor="page" w:x="931" w:y="5126"/>
        <w:shd w:val="clear" w:color="auto" w:fill="auto"/>
        <w:ind w:left="220"/>
      </w:pPr>
      <w:r>
        <w:t xml:space="preserve">* </w:t>
      </w:r>
      <w:r w:rsidR="00B65E51">
        <w:t xml:space="preserve">  </w:t>
      </w:r>
      <w:r>
        <w:t xml:space="preserve">Aktuální sazba </w:t>
      </w:r>
      <w:r>
        <w:t>poplatku je stanovena dle skutečně vynaložených nákladů k datu platnosti sazebníku administrativních poplatků.</w:t>
      </w:r>
    </w:p>
    <w:p w:rsidR="005218EB" w:rsidRDefault="005527A7">
      <w:pPr>
        <w:pStyle w:val="Bodytext20"/>
        <w:framePr w:w="10118" w:h="955" w:hRule="exact" w:wrap="none" w:vAnchor="page" w:hAnchor="page" w:x="917" w:y="6044"/>
        <w:shd w:val="clear" w:color="auto" w:fill="auto"/>
        <w:spacing w:before="0" w:after="0"/>
      </w:pPr>
      <w:r>
        <w:t>Pokud jiný právní předpis stanoví nárok na náhradu nákladů spojených s vymáháním opožděných plateb (pojistného) ve vyšší výši než je uvedeno v sa</w:t>
      </w:r>
      <w:r>
        <w:t>zebníku, je výše poplatku dána tímto právním předpisem.</w:t>
      </w:r>
    </w:p>
    <w:p w:rsidR="005218EB" w:rsidRDefault="005527A7">
      <w:pPr>
        <w:pStyle w:val="Bodytext20"/>
        <w:framePr w:w="10118" w:h="5354" w:hRule="exact" w:wrap="none" w:vAnchor="page" w:hAnchor="page" w:x="917" w:y="7573"/>
        <w:shd w:val="clear" w:color="auto" w:fill="auto"/>
        <w:spacing w:before="0" w:after="259" w:line="246" w:lineRule="exact"/>
      </w:pPr>
      <w:r>
        <w:rPr>
          <w:rStyle w:val="Bodytext23"/>
        </w:rPr>
        <w:t>II. Změna Sazebníku administrativních poplatků</w:t>
      </w:r>
    </w:p>
    <w:p w:rsidR="005218EB" w:rsidRDefault="005527A7">
      <w:pPr>
        <w:pStyle w:val="Bodytext20"/>
        <w:framePr w:w="10118" w:h="5354" w:hRule="exact" w:wrap="none" w:vAnchor="page" w:hAnchor="page" w:x="917" w:y="7573"/>
        <w:shd w:val="clear" w:color="auto" w:fill="auto"/>
        <w:spacing w:before="0" w:after="0"/>
        <w:jc w:val="left"/>
      </w:pPr>
      <w:r>
        <w:t>Pojistitel má právo změnit sazebník v návaznosti na změny právních předpisů, které mají rozhodují</w:t>
      </w:r>
      <w:r>
        <w:softHyphen/>
        <w:t>cí vliv na stanovení výše poplatků, na změny cen poskyt</w:t>
      </w:r>
      <w:r>
        <w:t xml:space="preserve">ovatelů přepravních a poštovních služeb a změny komunikačních prostředků. </w:t>
      </w:r>
      <w:r>
        <w:rPr>
          <w:rStyle w:val="Bodytext2Bold"/>
        </w:rPr>
        <w:t>Změna aktuální sazby poplatku (ASP), jejíž výše je sta</w:t>
      </w:r>
      <w:r>
        <w:rPr>
          <w:rStyle w:val="Bodytext2Bold"/>
        </w:rPr>
        <w:softHyphen/>
        <w:t>novena dle skutečně vynaložených nákladů, není změnou sazebníku, která zakládá právo Pojistníka nesouhlasit se změnou a vypověd</w:t>
      </w:r>
      <w:r>
        <w:rPr>
          <w:rStyle w:val="Bodytext2Bold"/>
        </w:rPr>
        <w:t xml:space="preserve">ět pojištění. </w:t>
      </w:r>
      <w:r>
        <w:t>Pojistitel oznamuje pojistníkovi změnu sazebníku poplatků vždy k 1. 1. každého roku zveřejněním na internetových stránkách a obchod</w:t>
      </w:r>
      <w:r>
        <w:softHyphen/>
        <w:t>ních místech pojistitele. V případě, že dochází ke změně sazebníku v jiném než výše uvedeném termínu, je pojis</w:t>
      </w:r>
      <w:r>
        <w:t>titel povinen o tom pojistníka písemně či jiným dohodnutým prostředkem komu</w:t>
      </w:r>
      <w:r>
        <w:softHyphen/>
        <w:t>nikace informovat. Zároveň je povinen mu umožnit seznámit se s příslušnou změnou sazebníku na internetových stránkách či obchodních místech pojistitele. Účinnost změny sazebníku na</w:t>
      </w:r>
      <w:r>
        <w:t>stává nejdříve 2 měsíce po oznámení této změny s tím, že přesné datum účinnosti je uvedeno v ozná</w:t>
      </w:r>
      <w:r>
        <w:softHyphen/>
        <w:t>mení o této změně. Pokud pojistník se změnou sazebníku nesouhlasí, může pojištění, které je touto změnou dotčeno, vypovědět ve lhůtě 1 měsíce ode dne oznámení</w:t>
      </w:r>
      <w:r>
        <w:t xml:space="preserve"> změny sazebníku.</w:t>
      </w:r>
    </w:p>
    <w:p w:rsidR="005218EB" w:rsidRDefault="005527A7">
      <w:pPr>
        <w:pStyle w:val="Bodytext20"/>
        <w:framePr w:w="10118" w:h="5354" w:hRule="exact" w:wrap="none" w:vAnchor="page" w:hAnchor="page" w:x="917" w:y="7573"/>
        <w:shd w:val="clear" w:color="auto" w:fill="auto"/>
        <w:spacing w:before="0" w:after="0"/>
        <w:jc w:val="left"/>
      </w:pPr>
      <w:r>
        <w:t>Pokud byla výpověď doručena méně než 6 týdnů před koncem pojistného období, pojištění zaniká ke konci dalšího pojistného období. Pokud pojistník pojištění tímto způsobem nevypoví, platí, že změnu přijal.</w:t>
      </w:r>
    </w:p>
    <w:p w:rsidR="005218EB" w:rsidRDefault="005527A7">
      <w:pPr>
        <w:pStyle w:val="Bodytext50"/>
        <w:framePr w:wrap="none" w:vAnchor="page" w:hAnchor="page" w:x="10560" w:y="16053"/>
        <w:shd w:val="clear" w:color="auto" w:fill="auto"/>
      </w:pPr>
      <w:r>
        <w:rPr>
          <w:rStyle w:val="Bodytext51"/>
        </w:rPr>
        <w:t xml:space="preserve">I </w:t>
      </w:r>
      <w:r>
        <w:rPr>
          <w:rStyle w:val="Bodytext5Candara9pt"/>
        </w:rPr>
        <w:t>1</w:t>
      </w:r>
      <w:r>
        <w:t>z</w:t>
      </w:r>
      <w:r>
        <w:rPr>
          <w:rStyle w:val="Bodytext5Candara9pt"/>
        </w:rPr>
        <w:t>1</w:t>
      </w:r>
    </w:p>
    <w:p w:rsidR="005218EB" w:rsidRDefault="005527A7">
      <w:pPr>
        <w:pStyle w:val="Bodytext40"/>
        <w:framePr w:w="10118" w:h="331" w:hRule="exact" w:wrap="none" w:vAnchor="page" w:hAnchor="page" w:x="917" w:y="15993"/>
        <w:shd w:val="clear" w:color="auto" w:fill="auto"/>
        <w:ind w:left="29" w:right="960"/>
      </w:pPr>
      <w:r>
        <w:rPr>
          <w:lang w:val="en-US" w:eastAsia="en-US" w:bidi="en-US"/>
        </w:rPr>
        <w:t xml:space="preserve">Generali </w:t>
      </w:r>
      <w:r>
        <w:t xml:space="preserve">Česká pojišťovna </w:t>
      </w:r>
      <w:r>
        <w:t>a.s., Spálená 75/16, Nové Město, 110 00 Praha 1, IČO: 452 72 956, DIČ: CZ699001273, je zapsaná v obchodním rejstříku u Městského soudu v Praze, spisová značka</w:t>
      </w:r>
      <w:r>
        <w:br/>
        <w:t xml:space="preserve">B 1464, a je členem Skupiny </w:t>
      </w:r>
      <w:r>
        <w:rPr>
          <w:lang w:val="en-US" w:eastAsia="en-US" w:bidi="en-US"/>
        </w:rPr>
        <w:t xml:space="preserve">Generali, </w:t>
      </w:r>
      <w:r>
        <w:t>zapsané v italském registru pojišťovacích skupin, vedeném I</w:t>
      </w:r>
      <w:r>
        <w:t xml:space="preserve">VASS. Klientský servis: +420 241 114 114, P. O. BOX 305, 659 05 Brno, </w:t>
      </w:r>
      <w:hyperlink r:id="rId6" w:history="1">
        <w:r>
          <w:rPr>
            <w:lang w:val="en-US" w:eastAsia="en-US" w:bidi="en-US"/>
          </w:rPr>
          <w:t>www.generaliceska.cz</w:t>
        </w:r>
      </w:hyperlink>
    </w:p>
    <w:p w:rsidR="005218EB" w:rsidRDefault="005218EB">
      <w:pPr>
        <w:rPr>
          <w:sz w:val="2"/>
          <w:szCs w:val="2"/>
        </w:rPr>
      </w:pPr>
    </w:p>
    <w:sectPr w:rsidR="005218E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A7" w:rsidRDefault="005527A7">
      <w:r>
        <w:separator/>
      </w:r>
    </w:p>
  </w:endnote>
  <w:endnote w:type="continuationSeparator" w:id="0">
    <w:p w:rsidR="005527A7" w:rsidRDefault="0055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tsaah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A7" w:rsidRDefault="005527A7"/>
  </w:footnote>
  <w:footnote w:type="continuationSeparator" w:id="0">
    <w:p w:rsidR="005527A7" w:rsidRDefault="005527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218EB"/>
    <w:rsid w:val="005218EB"/>
    <w:rsid w:val="005527A7"/>
    <w:rsid w:val="00B6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7C7E9634"/>
  <w15:docId w15:val="{1942784F-3324-4DCA-AB9F-76F6C667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Utsaah" w:eastAsia="Utsaah" w:hAnsi="Utsaah" w:cs="Utsaah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5pt">
    <w:name w:val="Body text (2) + 1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15pt0">
    <w:name w:val="Body text (2) + 1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EE4756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EE475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EE4756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EE475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EE4756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Candara9pt">
    <w:name w:val="Body text (5) + Candara;9 pt"/>
    <w:basedOn w:val="Bodytext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46" w:lineRule="exact"/>
    </w:pPr>
    <w:rPr>
      <w:rFonts w:ascii="Utsaah" w:eastAsia="Utsaah" w:hAnsi="Utsaah" w:cs="Utsaah"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460" w:after="600" w:line="298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45" w:lineRule="exact"/>
      <w:ind w:hanging="220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39" w:lineRule="exact"/>
      <w:jc w:val="both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neralicesk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2319</Characters>
  <Application>Microsoft Office Word</Application>
  <DocSecurity>0</DocSecurity>
  <Lines>19</Lines>
  <Paragraphs>5</Paragraphs>
  <ScaleCrop>false</ScaleCrop>
  <Company>Hudební divadlo Karlín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2020-05-28T11:50:00Z</dcterms:created>
  <dcterms:modified xsi:type="dcterms:W3CDTF">2020-05-28T11:52:00Z</dcterms:modified>
</cp:coreProperties>
</file>