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84" w:rsidRDefault="002939E7">
      <w:pPr>
        <w:pStyle w:val="Heading210"/>
        <w:keepNext/>
        <w:keepLines/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t xml:space="preserve">                                                     </w:t>
      </w:r>
      <w:r w:rsidR="00D726A1">
        <w:t>DODATEK C. 1</w:t>
      </w:r>
      <w:bookmarkEnd w:id="0"/>
      <w:bookmarkEnd w:id="1"/>
      <w:bookmarkEnd w:id="2"/>
      <w:r>
        <w:t xml:space="preserve">                           SML/332/2019-1</w:t>
      </w:r>
    </w:p>
    <w:p w:rsidR="00EA2784" w:rsidRDefault="00D726A1">
      <w:pPr>
        <w:pStyle w:val="Heading310"/>
        <w:keepNext/>
        <w:keepLines/>
        <w:spacing w:after="200" w:line="240" w:lineRule="auto"/>
      </w:pPr>
      <w:bookmarkStart w:id="4" w:name="bookmark3"/>
      <w:bookmarkStart w:id="5" w:name="bookmark4"/>
      <w:bookmarkStart w:id="6" w:name="bookmark5"/>
      <w:r>
        <w:t>K PŘÍKAZNÍ SMLOUVĚ č. 04 - 19 - 70</w:t>
      </w:r>
      <w:bookmarkEnd w:id="4"/>
      <w:bookmarkEnd w:id="5"/>
      <w:bookmarkEnd w:id="6"/>
    </w:p>
    <w:p w:rsidR="00EA2784" w:rsidRDefault="00D726A1">
      <w:pPr>
        <w:pStyle w:val="Bodytext10"/>
        <w:spacing w:after="440" w:line="233" w:lineRule="auto"/>
        <w:jc w:val="center"/>
      </w:pPr>
      <w:r>
        <w:t>uzavřené v souladu s ust. § 2430 a násl. zákona č. 89/2012 Sb., občanského zákoníku, v platném znění</w:t>
      </w:r>
      <w:r>
        <w:br/>
        <w:t>(dále jen „občanský zákoník"), mezi níže uvedenými smluvními stranami (dále jen „Smlouva")</w:t>
      </w:r>
    </w:p>
    <w:p w:rsidR="00EA2784" w:rsidRDefault="00D726A1">
      <w:pPr>
        <w:pStyle w:val="Tablecaption10"/>
        <w:jc w:val="both"/>
      </w:pPr>
      <w:r>
        <w:t>Příkazce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6581"/>
      </w:tblGrid>
      <w:tr w:rsidR="00EA2784">
        <w:trPr>
          <w:trHeight w:hRule="exact" w:val="590"/>
          <w:jc w:val="center"/>
        </w:trPr>
        <w:tc>
          <w:tcPr>
            <w:tcW w:w="2611" w:type="dxa"/>
            <w:shd w:val="clear" w:color="auto" w:fill="FFFFFF"/>
            <w:vAlign w:val="bottom"/>
          </w:tcPr>
          <w:p w:rsidR="00EA2784" w:rsidRDefault="00D726A1">
            <w:pPr>
              <w:pStyle w:val="Other10"/>
              <w:spacing w:after="40" w:line="240" w:lineRule="auto"/>
            </w:pPr>
            <w:r>
              <w:t>Obchodní firma:</w:t>
            </w:r>
          </w:p>
          <w:p w:rsidR="00EA2784" w:rsidRDefault="00D726A1">
            <w:pPr>
              <w:pStyle w:val="Other10"/>
              <w:spacing w:after="0" w:line="240" w:lineRule="auto"/>
            </w:pPr>
            <w:r>
              <w:t>Se sídlem:</w:t>
            </w:r>
          </w:p>
        </w:tc>
        <w:tc>
          <w:tcPr>
            <w:tcW w:w="6581" w:type="dxa"/>
            <w:shd w:val="clear" w:color="auto" w:fill="FFFFFF"/>
            <w:vAlign w:val="bottom"/>
          </w:tcPr>
          <w:p w:rsidR="00EA2784" w:rsidRDefault="00D726A1">
            <w:pPr>
              <w:pStyle w:val="Other10"/>
              <w:spacing w:after="4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Město Kroměříž</w:t>
            </w:r>
          </w:p>
          <w:p w:rsidR="00EA2784" w:rsidRDefault="00D726A1">
            <w:pPr>
              <w:pStyle w:val="Other10"/>
              <w:spacing w:after="0" w:line="240" w:lineRule="auto"/>
            </w:pPr>
            <w:r>
              <w:t>Velké náměstí 115, 767 01 Kroměříž</w:t>
            </w:r>
          </w:p>
        </w:tc>
      </w:tr>
      <w:tr w:rsidR="00EA2784">
        <w:trPr>
          <w:trHeight w:hRule="exact" w:val="686"/>
          <w:jc w:val="center"/>
        </w:trPr>
        <w:tc>
          <w:tcPr>
            <w:tcW w:w="2611" w:type="dxa"/>
            <w:shd w:val="clear" w:color="auto" w:fill="FFFFFF"/>
          </w:tcPr>
          <w:p w:rsidR="00EA2784" w:rsidRDefault="00D726A1">
            <w:pPr>
              <w:pStyle w:val="Other10"/>
              <w:spacing w:after="40" w:line="240" w:lineRule="auto"/>
            </w:pPr>
            <w:r>
              <w:t>IČ:</w:t>
            </w:r>
          </w:p>
          <w:p w:rsidR="00EA2784" w:rsidRDefault="00D726A1">
            <w:pPr>
              <w:pStyle w:val="Other10"/>
              <w:spacing w:after="0" w:line="240" w:lineRule="auto"/>
            </w:pPr>
            <w:r>
              <w:t>Číslo účtu:</w:t>
            </w:r>
          </w:p>
        </w:tc>
        <w:tc>
          <w:tcPr>
            <w:tcW w:w="6581" w:type="dxa"/>
            <w:shd w:val="clear" w:color="auto" w:fill="FFFFFF"/>
          </w:tcPr>
          <w:p w:rsidR="00EA2784" w:rsidRDefault="00D726A1">
            <w:pPr>
              <w:pStyle w:val="Other10"/>
              <w:spacing w:after="40" w:line="240" w:lineRule="auto"/>
            </w:pPr>
            <w:r>
              <w:t>00287351</w:t>
            </w:r>
          </w:p>
          <w:p w:rsidR="00EA2784" w:rsidRDefault="00D726A1">
            <w:pPr>
              <w:pStyle w:val="Other10"/>
              <w:spacing w:after="0" w:line="240" w:lineRule="auto"/>
            </w:pPr>
            <w:r>
              <w:t>8326340247/0100</w:t>
            </w:r>
          </w:p>
        </w:tc>
      </w:tr>
      <w:tr w:rsidR="00EA2784">
        <w:trPr>
          <w:trHeight w:hRule="exact" w:val="523"/>
          <w:jc w:val="center"/>
        </w:trPr>
        <w:tc>
          <w:tcPr>
            <w:tcW w:w="2611" w:type="dxa"/>
            <w:shd w:val="clear" w:color="auto" w:fill="FFFFFF"/>
            <w:vAlign w:val="center"/>
          </w:tcPr>
          <w:p w:rsidR="00EA2784" w:rsidRDefault="00D726A1">
            <w:pPr>
              <w:pStyle w:val="Other10"/>
              <w:spacing w:after="0" w:line="240" w:lineRule="auto"/>
            </w:pPr>
            <w:r>
              <w:t>Zastoupený:</w:t>
            </w:r>
          </w:p>
        </w:tc>
        <w:tc>
          <w:tcPr>
            <w:tcW w:w="6581" w:type="dxa"/>
            <w:shd w:val="clear" w:color="auto" w:fill="FFFFFF"/>
            <w:vAlign w:val="center"/>
          </w:tcPr>
          <w:p w:rsidR="00EA2784" w:rsidRDefault="00D726A1">
            <w:pPr>
              <w:pStyle w:val="Other10"/>
              <w:spacing w:after="0" w:line="240" w:lineRule="auto"/>
            </w:pPr>
            <w:r>
              <w:t>Mgr. Jaroslavem Němcem, starostou města</w:t>
            </w:r>
          </w:p>
        </w:tc>
      </w:tr>
      <w:tr w:rsidR="00EA2784">
        <w:trPr>
          <w:trHeight w:hRule="exact" w:val="888"/>
          <w:jc w:val="center"/>
        </w:trPr>
        <w:tc>
          <w:tcPr>
            <w:tcW w:w="2611" w:type="dxa"/>
            <w:shd w:val="clear" w:color="auto" w:fill="FFFFFF"/>
          </w:tcPr>
          <w:p w:rsidR="00EA2784" w:rsidRDefault="00D726A1">
            <w:pPr>
              <w:pStyle w:val="Other10"/>
              <w:spacing w:before="120" w:after="0" w:line="240" w:lineRule="auto"/>
            </w:pPr>
            <w:r>
              <w:t>Oprávněná kontaktní osoba:</w:t>
            </w:r>
          </w:p>
        </w:tc>
        <w:tc>
          <w:tcPr>
            <w:tcW w:w="6581" w:type="dxa"/>
            <w:shd w:val="clear" w:color="auto" w:fill="FFFFFF"/>
            <w:vAlign w:val="center"/>
          </w:tcPr>
          <w:p w:rsidR="00EA2784" w:rsidRDefault="002939E7">
            <w:pPr>
              <w:pStyle w:val="Other10"/>
              <w:spacing w:after="0" w:line="240" w:lineRule="auto"/>
            </w:pPr>
            <w:r>
              <w:t>xxx</w:t>
            </w:r>
          </w:p>
          <w:p w:rsidR="00EA2784" w:rsidRDefault="00D726A1">
            <w:pPr>
              <w:pStyle w:val="Other10"/>
              <w:spacing w:after="0" w:line="240" w:lineRule="auto"/>
            </w:pPr>
            <w:r>
              <w:t xml:space="preserve">tel.: </w:t>
            </w:r>
            <w:r w:rsidR="002939E7">
              <w:t>xxx</w:t>
            </w:r>
          </w:p>
          <w:p w:rsidR="00EA2784" w:rsidRDefault="00D726A1" w:rsidP="002939E7">
            <w:pPr>
              <w:pStyle w:val="Other10"/>
              <w:spacing w:after="0" w:line="240" w:lineRule="auto"/>
            </w:pPr>
            <w:r>
              <w:t xml:space="preserve">e-mail: </w:t>
            </w:r>
            <w:hyperlink r:id="rId7" w:history="1">
              <w:r w:rsidR="002939E7">
                <w:rPr>
                  <w:color w:val="526D9E"/>
                  <w:u w:val="single"/>
                  <w:lang w:val="en-US" w:eastAsia="en-US" w:bidi="en-US"/>
                </w:rPr>
                <w:t>xxx</w:t>
              </w:r>
            </w:hyperlink>
          </w:p>
        </w:tc>
      </w:tr>
    </w:tbl>
    <w:p w:rsidR="00EA2784" w:rsidRDefault="00D726A1">
      <w:pPr>
        <w:pStyle w:val="Tablecaption10"/>
      </w:pPr>
      <w:r>
        <w:rPr>
          <w:b w:val="0"/>
          <w:bCs w:val="0"/>
          <w:sz w:val="19"/>
          <w:szCs w:val="19"/>
        </w:rPr>
        <w:t xml:space="preserve">(dále jen </w:t>
      </w:r>
      <w:r>
        <w:t>„Příkazce")</w:t>
      </w:r>
    </w:p>
    <w:p w:rsidR="00EA2784" w:rsidRDefault="00EA2784">
      <w:pPr>
        <w:spacing w:after="299" w:line="1" w:lineRule="exact"/>
      </w:pPr>
    </w:p>
    <w:p w:rsidR="00EA2784" w:rsidRDefault="00D726A1">
      <w:pPr>
        <w:pStyle w:val="Bodytext10"/>
        <w:spacing w:after="300" w:line="240" w:lineRule="auto"/>
      </w:pPr>
      <w:r>
        <w:t>a</w:t>
      </w:r>
    </w:p>
    <w:p w:rsidR="00EA2784" w:rsidRDefault="00D726A1">
      <w:pPr>
        <w:pStyle w:val="Tablecaption10"/>
      </w:pPr>
      <w:r>
        <w:t>Příkazník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6586"/>
      </w:tblGrid>
      <w:tr w:rsidR="00EA2784">
        <w:trPr>
          <w:trHeight w:hRule="exact" w:val="619"/>
          <w:jc w:val="center"/>
        </w:trPr>
        <w:tc>
          <w:tcPr>
            <w:tcW w:w="2611" w:type="dxa"/>
            <w:shd w:val="clear" w:color="auto" w:fill="FFFFFF"/>
            <w:vAlign w:val="bottom"/>
          </w:tcPr>
          <w:p w:rsidR="00EA2784" w:rsidRDefault="00D726A1">
            <w:pPr>
              <w:pStyle w:val="Other10"/>
              <w:spacing w:after="60" w:line="240" w:lineRule="auto"/>
            </w:pPr>
            <w:r>
              <w:t>Obchodní firma:</w:t>
            </w:r>
          </w:p>
          <w:p w:rsidR="00EA2784" w:rsidRDefault="00D726A1">
            <w:pPr>
              <w:pStyle w:val="Other10"/>
              <w:spacing w:after="0" w:line="240" w:lineRule="auto"/>
            </w:pPr>
            <w:r>
              <w:t>Se sídlem:</w:t>
            </w:r>
          </w:p>
        </w:tc>
        <w:tc>
          <w:tcPr>
            <w:tcW w:w="6586" w:type="dxa"/>
            <w:shd w:val="clear" w:color="auto" w:fill="FFFFFF"/>
            <w:vAlign w:val="bottom"/>
          </w:tcPr>
          <w:p w:rsidR="00EA2784" w:rsidRDefault="00D726A1">
            <w:pPr>
              <w:pStyle w:val="Other10"/>
              <w:spacing w:after="6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Energy </w:t>
            </w:r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Benefit </w:t>
            </w:r>
            <w:r>
              <w:rPr>
                <w:b/>
                <w:bCs/>
                <w:sz w:val="20"/>
                <w:szCs w:val="20"/>
              </w:rPr>
              <w:t>Centre a.s.</w:t>
            </w:r>
          </w:p>
          <w:p w:rsidR="00EA2784" w:rsidRDefault="00D726A1">
            <w:pPr>
              <w:pStyle w:val="Other10"/>
              <w:spacing w:after="0" w:line="240" w:lineRule="auto"/>
            </w:pPr>
            <w:r>
              <w:t>Křenová 438/3, 162 00 Praha 6 - Veleslavín</w:t>
            </w:r>
          </w:p>
        </w:tc>
      </w:tr>
      <w:tr w:rsidR="00EA2784">
        <w:trPr>
          <w:trHeight w:hRule="exact" w:val="557"/>
          <w:jc w:val="center"/>
        </w:trPr>
        <w:tc>
          <w:tcPr>
            <w:tcW w:w="2611" w:type="dxa"/>
            <w:shd w:val="clear" w:color="auto" w:fill="FFFFFF"/>
          </w:tcPr>
          <w:p w:rsidR="00EA2784" w:rsidRDefault="00D726A1">
            <w:pPr>
              <w:pStyle w:val="Other10"/>
              <w:spacing w:after="60" w:line="240" w:lineRule="auto"/>
            </w:pPr>
            <w:r>
              <w:t>IČ:</w:t>
            </w:r>
          </w:p>
          <w:p w:rsidR="00EA2784" w:rsidRDefault="00D726A1">
            <w:pPr>
              <w:pStyle w:val="Other10"/>
              <w:spacing w:after="0" w:line="240" w:lineRule="auto"/>
            </w:pPr>
            <w:r>
              <w:t>DIČ:</w:t>
            </w:r>
          </w:p>
        </w:tc>
        <w:tc>
          <w:tcPr>
            <w:tcW w:w="6586" w:type="dxa"/>
            <w:shd w:val="clear" w:color="auto" w:fill="FFFFFF"/>
          </w:tcPr>
          <w:p w:rsidR="00EA2784" w:rsidRDefault="00D726A1">
            <w:pPr>
              <w:pStyle w:val="Other10"/>
              <w:spacing w:after="60" w:line="240" w:lineRule="auto"/>
            </w:pPr>
            <w:r>
              <w:t>29029210</w:t>
            </w:r>
          </w:p>
          <w:p w:rsidR="00EA2784" w:rsidRDefault="00D726A1">
            <w:pPr>
              <w:pStyle w:val="Other10"/>
              <w:spacing w:after="0" w:line="240" w:lineRule="auto"/>
            </w:pPr>
            <w:r>
              <w:t>CZ29029210</w:t>
            </w:r>
          </w:p>
        </w:tc>
      </w:tr>
      <w:tr w:rsidR="00EA2784">
        <w:trPr>
          <w:trHeight w:hRule="exact" w:val="797"/>
          <w:jc w:val="center"/>
        </w:trPr>
        <w:tc>
          <w:tcPr>
            <w:tcW w:w="2611" w:type="dxa"/>
            <w:shd w:val="clear" w:color="auto" w:fill="FFFFFF"/>
          </w:tcPr>
          <w:p w:rsidR="00EA2784" w:rsidRDefault="00D726A1">
            <w:pPr>
              <w:pStyle w:val="Other10"/>
              <w:spacing w:after="60" w:line="240" w:lineRule="auto"/>
            </w:pPr>
            <w:r>
              <w:t>Číslo účtu:</w:t>
            </w:r>
          </w:p>
          <w:p w:rsidR="00EA2784" w:rsidRDefault="00D726A1">
            <w:pPr>
              <w:pStyle w:val="Other10"/>
              <w:spacing w:after="0" w:line="240" w:lineRule="auto"/>
            </w:pPr>
            <w:r>
              <w:t>Zápis v rejstříku:</w:t>
            </w:r>
          </w:p>
        </w:tc>
        <w:tc>
          <w:tcPr>
            <w:tcW w:w="6586" w:type="dxa"/>
            <w:shd w:val="clear" w:color="auto" w:fill="FFFFFF"/>
            <w:vAlign w:val="bottom"/>
          </w:tcPr>
          <w:p w:rsidR="00EA2784" w:rsidRDefault="00D726A1">
            <w:pPr>
              <w:pStyle w:val="Other10"/>
              <w:spacing w:after="0" w:line="269" w:lineRule="auto"/>
            </w:pPr>
            <w:r>
              <w:t>43-6354140227/0100</w:t>
            </w:r>
          </w:p>
          <w:p w:rsidR="00EA2784" w:rsidRDefault="00D726A1">
            <w:pPr>
              <w:pStyle w:val="Other10"/>
              <w:spacing w:after="0" w:line="269" w:lineRule="auto"/>
            </w:pPr>
            <w:r>
              <w:t>Společnost je zapsána v obchodním rejstříku vedeném Městským soudem v Praze, oddíl B, vložka 15915.</w:t>
            </w:r>
          </w:p>
        </w:tc>
      </w:tr>
      <w:tr w:rsidR="00EA2784">
        <w:trPr>
          <w:trHeight w:hRule="exact" w:val="293"/>
          <w:jc w:val="center"/>
        </w:trPr>
        <w:tc>
          <w:tcPr>
            <w:tcW w:w="2611" w:type="dxa"/>
            <w:shd w:val="clear" w:color="auto" w:fill="FFFFFF"/>
            <w:vAlign w:val="bottom"/>
          </w:tcPr>
          <w:p w:rsidR="00EA2784" w:rsidRDefault="00D726A1">
            <w:pPr>
              <w:pStyle w:val="Other10"/>
              <w:spacing w:after="0" w:line="240" w:lineRule="auto"/>
            </w:pPr>
            <w:r>
              <w:t>Zastoupený:</w:t>
            </w:r>
          </w:p>
        </w:tc>
        <w:tc>
          <w:tcPr>
            <w:tcW w:w="6586" w:type="dxa"/>
            <w:shd w:val="clear" w:color="auto" w:fill="FFFFFF"/>
            <w:vAlign w:val="bottom"/>
          </w:tcPr>
          <w:p w:rsidR="00EA2784" w:rsidRDefault="00D726A1">
            <w:pPr>
              <w:pStyle w:val="Other10"/>
              <w:spacing w:after="0" w:line="240" w:lineRule="auto"/>
            </w:pPr>
            <w:r>
              <w:t>Ing. Miroslavem Hořejším, ředitelem společnosti</w:t>
            </w:r>
          </w:p>
        </w:tc>
      </w:tr>
      <w:tr w:rsidR="00EA2784">
        <w:trPr>
          <w:trHeight w:hRule="exact" w:val="869"/>
          <w:jc w:val="center"/>
        </w:trPr>
        <w:tc>
          <w:tcPr>
            <w:tcW w:w="2611" w:type="dxa"/>
            <w:shd w:val="clear" w:color="auto" w:fill="FFFFFF"/>
          </w:tcPr>
          <w:p w:rsidR="00EA2784" w:rsidRDefault="00D726A1">
            <w:pPr>
              <w:pStyle w:val="Other10"/>
              <w:spacing w:after="0" w:line="240" w:lineRule="auto"/>
            </w:pPr>
            <w:r>
              <w:t>Oprávněná kontaktní osoba:</w:t>
            </w:r>
          </w:p>
        </w:tc>
        <w:tc>
          <w:tcPr>
            <w:tcW w:w="6586" w:type="dxa"/>
            <w:shd w:val="clear" w:color="auto" w:fill="FFFFFF"/>
          </w:tcPr>
          <w:p w:rsidR="002939E7" w:rsidRDefault="002939E7" w:rsidP="002939E7">
            <w:pPr>
              <w:pStyle w:val="Other10"/>
              <w:spacing w:after="0" w:line="305" w:lineRule="auto"/>
            </w:pPr>
            <w:r>
              <w:t>xxx</w:t>
            </w:r>
            <w:r w:rsidR="00D726A1">
              <w:t xml:space="preserve"> </w:t>
            </w:r>
          </w:p>
          <w:p w:rsidR="00EA2784" w:rsidRDefault="00D726A1" w:rsidP="002939E7">
            <w:pPr>
              <w:pStyle w:val="Other10"/>
              <w:spacing w:after="0" w:line="305" w:lineRule="auto"/>
            </w:pPr>
            <w:r>
              <w:t xml:space="preserve">tel: </w:t>
            </w:r>
            <w:r w:rsidR="002939E7">
              <w:t>xxx</w:t>
            </w:r>
            <w:r>
              <w:t xml:space="preserve"> e-mail: </w:t>
            </w:r>
            <w:r w:rsidR="002939E7">
              <w:rPr>
                <w:color w:val="526D9E"/>
                <w:u w:val="single"/>
              </w:rPr>
              <w:t>xxx</w:t>
            </w:r>
          </w:p>
        </w:tc>
      </w:tr>
    </w:tbl>
    <w:p w:rsidR="00EA2784" w:rsidRDefault="00D726A1">
      <w:pPr>
        <w:pStyle w:val="Tablecaption10"/>
      </w:pPr>
      <w:r>
        <w:rPr>
          <w:b w:val="0"/>
          <w:bCs w:val="0"/>
          <w:sz w:val="19"/>
          <w:szCs w:val="19"/>
        </w:rPr>
        <w:t xml:space="preserve">(dále jen </w:t>
      </w:r>
      <w:r>
        <w:t>„Příkazník")</w:t>
      </w:r>
    </w:p>
    <w:p w:rsidR="00EA2784" w:rsidRDefault="00EA2784">
      <w:pPr>
        <w:spacing w:after="439" w:line="1" w:lineRule="exact"/>
      </w:pPr>
    </w:p>
    <w:p w:rsidR="00EA2784" w:rsidRDefault="00D726A1">
      <w:pPr>
        <w:pStyle w:val="Bodytext10"/>
        <w:spacing w:after="360" w:line="264" w:lineRule="auto"/>
        <w:jc w:val="both"/>
      </w:pPr>
      <w:r>
        <w:t>Příkazce a Příkazník (dále společně jen „smluvní strany") uzavřely níže uvedeného dne, měsíce a roku tento dodatek č. 1 (dále jen „Dodatek") - v souladu s ustanovením č. VI. odst. 9 smlouvy.</w:t>
      </w:r>
    </w:p>
    <w:p w:rsidR="00EA2784" w:rsidRDefault="00D726A1">
      <w:pPr>
        <w:pStyle w:val="Heading310"/>
        <w:keepNext/>
        <w:keepLines/>
        <w:spacing w:after="40" w:line="252" w:lineRule="auto"/>
      </w:pPr>
      <w:bookmarkStart w:id="7" w:name="bookmark8"/>
      <w:r>
        <w:t>I.</w:t>
      </w:r>
      <w:bookmarkEnd w:id="7"/>
    </w:p>
    <w:p w:rsidR="00EA2784" w:rsidRDefault="00D726A1">
      <w:pPr>
        <w:pStyle w:val="Heading310"/>
        <w:keepNext/>
        <w:keepLines/>
        <w:spacing w:line="252" w:lineRule="auto"/>
      </w:pPr>
      <w:bookmarkStart w:id="8" w:name="bookmark6"/>
      <w:bookmarkStart w:id="9" w:name="bookmark7"/>
      <w:bookmarkStart w:id="10" w:name="bookmark9"/>
      <w:r>
        <w:t>Předmět dodatku</w:t>
      </w:r>
      <w:bookmarkEnd w:id="8"/>
      <w:bookmarkEnd w:id="9"/>
      <w:bookmarkEnd w:id="10"/>
    </w:p>
    <w:p w:rsidR="00EA2784" w:rsidRDefault="00D726A1">
      <w:pPr>
        <w:pStyle w:val="Bodytext10"/>
        <w:numPr>
          <w:ilvl w:val="0"/>
          <w:numId w:val="1"/>
        </w:numPr>
        <w:tabs>
          <w:tab w:val="left" w:pos="315"/>
        </w:tabs>
        <w:spacing w:line="262" w:lineRule="auto"/>
        <w:ind w:left="260" w:hanging="260"/>
        <w:jc w:val="both"/>
        <w:rPr>
          <w:sz w:val="20"/>
          <w:szCs w:val="20"/>
        </w:rPr>
      </w:pPr>
      <w:bookmarkStart w:id="11" w:name="bookmark10"/>
      <w:bookmarkEnd w:id="11"/>
      <w:r>
        <w:t xml:space="preserve">Smluvní strany uzavřely dne 20. 8. 2019 Smlouvu, týkající se zpracování projektových činností pro akci </w:t>
      </w:r>
      <w:r>
        <w:rPr>
          <w:b/>
          <w:bCs/>
          <w:sz w:val="20"/>
          <w:szCs w:val="20"/>
        </w:rPr>
        <w:t>„Snížení energetické náročnosti domova zvláštního určení Lutopecká 1422/1".</w:t>
      </w:r>
    </w:p>
    <w:p w:rsidR="00EA2784" w:rsidRDefault="00D726A1">
      <w:pPr>
        <w:pStyle w:val="Bodytext10"/>
        <w:numPr>
          <w:ilvl w:val="0"/>
          <w:numId w:val="1"/>
        </w:numPr>
        <w:tabs>
          <w:tab w:val="left" w:pos="325"/>
        </w:tabs>
        <w:spacing w:line="266" w:lineRule="auto"/>
        <w:ind w:left="260" w:hanging="260"/>
        <w:jc w:val="both"/>
      </w:pPr>
      <w:bookmarkStart w:id="12" w:name="bookmark11"/>
      <w:bookmarkEnd w:id="12"/>
      <w:r>
        <w:t>Z důvodu nepředvídatelných projektových víceprací v souvislosti s aktuálním postupem prací a dalším rozšířením požadavků objednatele na základě nově zjištěných skutečností se smluvní strany dohodly na úpravě plnění a na změně výše odměny příkazníka. Tímto dochází k následujícím změnám v textu příkazní smlouvy:</w:t>
      </w:r>
    </w:p>
    <w:p w:rsidR="00EA2784" w:rsidRDefault="00D726A1">
      <w:pPr>
        <w:pStyle w:val="Bodytext10"/>
        <w:spacing w:after="40" w:line="264" w:lineRule="auto"/>
        <w:ind w:left="660" w:hanging="400"/>
        <w:jc w:val="both"/>
      </w:pPr>
      <w:r>
        <w:t>a) Text čl. I., odst. 3, bod a) se doplňuje o následující (rozšíření rozsahu díla o nově zpracovávané části projektové dokumentace):</w:t>
      </w:r>
    </w:p>
    <w:p w:rsidR="00EA2784" w:rsidRDefault="00D726A1">
      <w:pPr>
        <w:pStyle w:val="Bodytext10"/>
        <w:spacing w:after="40" w:line="240" w:lineRule="auto"/>
        <w:ind w:firstLine="660"/>
        <w:jc w:val="both"/>
      </w:pPr>
      <w:r>
        <w:rPr>
          <w:i/>
          <w:iCs/>
        </w:rPr>
        <w:t>• Zapracování nových staticko-konstrukčních řešení do projektové dokumentace:</w:t>
      </w:r>
    </w:p>
    <w:p w:rsidR="00EA2784" w:rsidRDefault="00D726A1">
      <w:pPr>
        <w:pStyle w:val="Bodytext10"/>
        <w:spacing w:after="0" w:line="276" w:lineRule="auto"/>
        <w:ind w:left="1360" w:hanging="340"/>
      </w:pPr>
      <w:r>
        <w:rPr>
          <w:sz w:val="14"/>
          <w:szCs w:val="14"/>
        </w:rPr>
        <w:t xml:space="preserve">o </w:t>
      </w:r>
      <w:r>
        <w:rPr>
          <w:i/>
          <w:iCs/>
        </w:rPr>
        <w:t>součinnost při novém řešení statických částí, zapracování statických úprav do projektu (zesílení krovu, nové základy společných chodeb, ztužení nosné konstrukce chodeb);</w:t>
      </w:r>
    </w:p>
    <w:p w:rsidR="00EA2784" w:rsidRDefault="00D726A1">
      <w:pPr>
        <w:pStyle w:val="Bodytext10"/>
        <w:spacing w:after="180" w:line="240" w:lineRule="auto"/>
        <w:ind w:left="1020"/>
        <w:jc w:val="both"/>
      </w:pPr>
      <w:r>
        <w:rPr>
          <w:i/>
          <w:iCs/>
        </w:rPr>
        <w:t>o návrh nového podkladního betonu, napojení na stávající podkladní beton;</w:t>
      </w:r>
    </w:p>
    <w:p w:rsidR="00EA2784" w:rsidRDefault="00D726A1">
      <w:pPr>
        <w:pStyle w:val="Bodytext10"/>
        <w:spacing w:after="0" w:line="257" w:lineRule="auto"/>
        <w:ind w:left="1380" w:hanging="320"/>
      </w:pPr>
      <w:r>
        <w:rPr>
          <w:sz w:val="14"/>
          <w:szCs w:val="14"/>
        </w:rPr>
        <w:lastRenderedPageBreak/>
        <w:t xml:space="preserve">o </w:t>
      </w:r>
      <w:r>
        <w:rPr>
          <w:i/>
          <w:iCs/>
        </w:rPr>
        <w:t>odstranění a návrh nového souvrství podlah na chodbách pavlačí ve všech podlažích (napojení těchto podlah na stávající konstrukce - tzn. prahy do bytů, stávající podlahy aj.);</w:t>
      </w:r>
    </w:p>
    <w:p w:rsidR="00EA2784" w:rsidRDefault="00D726A1">
      <w:pPr>
        <w:pStyle w:val="Bodytext10"/>
        <w:spacing w:after="0" w:line="240" w:lineRule="auto"/>
        <w:ind w:left="1380" w:hanging="320"/>
      </w:pPr>
      <w:r>
        <w:rPr>
          <w:sz w:val="14"/>
          <w:szCs w:val="14"/>
        </w:rPr>
        <w:t xml:space="preserve">o </w:t>
      </w:r>
      <w:r>
        <w:rPr>
          <w:i/>
          <w:iCs/>
        </w:rPr>
        <w:t>odstranění stávajících a návrh nových SDK podhledů na chodbách pavlačí ve všech podlažích;</w:t>
      </w:r>
    </w:p>
    <w:p w:rsidR="00EA2784" w:rsidRDefault="00D726A1">
      <w:pPr>
        <w:pStyle w:val="Bodytext10"/>
        <w:spacing w:after="0" w:line="240" w:lineRule="auto"/>
        <w:ind w:left="1040"/>
      </w:pPr>
      <w:r>
        <w:rPr>
          <w:sz w:val="14"/>
          <w:szCs w:val="14"/>
        </w:rPr>
        <w:t xml:space="preserve">o </w:t>
      </w:r>
      <w:r>
        <w:rPr>
          <w:i/>
          <w:iCs/>
        </w:rPr>
        <w:t>nové osvětlení v podhledech ve výše uvedených chodbách;</w:t>
      </w:r>
    </w:p>
    <w:p w:rsidR="00EA2784" w:rsidRDefault="00D726A1">
      <w:pPr>
        <w:pStyle w:val="Bodytext10"/>
        <w:spacing w:after="520" w:line="240" w:lineRule="auto"/>
        <w:ind w:left="1380" w:hanging="320"/>
      </w:pPr>
      <w:r>
        <w:rPr>
          <w:sz w:val="14"/>
          <w:szCs w:val="14"/>
        </w:rPr>
        <w:t xml:space="preserve">o </w:t>
      </w:r>
      <w:r>
        <w:rPr>
          <w:i/>
          <w:iCs/>
        </w:rPr>
        <w:t>vypracování souvisejících nových nezbytných konstrukčních detailů (napojení nového podkladního betonu na stávající kce., řešení dilatačních spár u spodní stavby).</w:t>
      </w:r>
    </w:p>
    <w:p w:rsidR="00EA2784" w:rsidRDefault="00D726A1">
      <w:pPr>
        <w:pStyle w:val="Bodytext10"/>
        <w:spacing w:after="0" w:line="240" w:lineRule="auto"/>
        <w:ind w:firstLine="700"/>
      </w:pPr>
      <w:r>
        <w:rPr>
          <w:i/>
          <w:iCs/>
        </w:rPr>
        <w:t>• Zapracování požadavků na sanaci do projektové dokumentace:</w:t>
      </w:r>
    </w:p>
    <w:p w:rsidR="00EA2784" w:rsidRDefault="00D726A1">
      <w:pPr>
        <w:pStyle w:val="Bodytext10"/>
        <w:spacing w:after="0" w:line="240" w:lineRule="auto"/>
        <w:ind w:left="1040"/>
      </w:pPr>
      <w:r>
        <w:rPr>
          <w:sz w:val="14"/>
          <w:szCs w:val="14"/>
        </w:rPr>
        <w:t xml:space="preserve">o </w:t>
      </w:r>
      <w:r>
        <w:rPr>
          <w:i/>
          <w:iCs/>
        </w:rPr>
        <w:t>návrh úpravy terénu z důvodů zatékání;</w:t>
      </w:r>
    </w:p>
    <w:p w:rsidR="00EA2784" w:rsidRDefault="00D726A1">
      <w:pPr>
        <w:pStyle w:val="Bodytext10"/>
        <w:spacing w:after="0" w:line="240" w:lineRule="auto"/>
        <w:ind w:left="1040"/>
      </w:pPr>
      <w:r>
        <w:rPr>
          <w:sz w:val="14"/>
          <w:szCs w:val="14"/>
        </w:rPr>
        <w:t xml:space="preserve">o </w:t>
      </w:r>
      <w:r>
        <w:rPr>
          <w:i/>
          <w:iCs/>
        </w:rPr>
        <w:t>návrh nové hydroizolace spodní stavby;</w:t>
      </w:r>
    </w:p>
    <w:p w:rsidR="00EA2784" w:rsidRDefault="00D726A1">
      <w:pPr>
        <w:pStyle w:val="Bodytext10"/>
        <w:spacing w:after="0" w:line="240" w:lineRule="auto"/>
        <w:ind w:left="1040"/>
      </w:pPr>
      <w:r>
        <w:rPr>
          <w:sz w:val="14"/>
          <w:szCs w:val="14"/>
        </w:rPr>
        <w:t xml:space="preserve">o </w:t>
      </w:r>
      <w:r>
        <w:rPr>
          <w:i/>
          <w:iCs/>
        </w:rPr>
        <w:t>odstranění stáva</w:t>
      </w:r>
      <w:r w:rsidR="00863415">
        <w:rPr>
          <w:i/>
          <w:iCs/>
        </w:rPr>
        <w:t>jících a návrh nových podlah v 1</w:t>
      </w:r>
      <w:r>
        <w:rPr>
          <w:i/>
          <w:iCs/>
        </w:rPr>
        <w:t>.S (objekt C);</w:t>
      </w:r>
    </w:p>
    <w:p w:rsidR="00EA2784" w:rsidRDefault="00D726A1">
      <w:pPr>
        <w:pStyle w:val="Bodytext10"/>
        <w:spacing w:after="0" w:line="240" w:lineRule="auto"/>
        <w:ind w:left="1040"/>
      </w:pPr>
      <w:r>
        <w:rPr>
          <w:sz w:val="14"/>
          <w:szCs w:val="14"/>
        </w:rPr>
        <w:t xml:space="preserve">o </w:t>
      </w:r>
      <w:r>
        <w:rPr>
          <w:i/>
          <w:iCs/>
        </w:rPr>
        <w:t>návrh drenáže objektu + odvodnění se vsakem na pozemku;</w:t>
      </w:r>
    </w:p>
    <w:p w:rsidR="00EA2784" w:rsidRDefault="00D726A1">
      <w:pPr>
        <w:pStyle w:val="Bodytext10"/>
        <w:spacing w:after="520" w:line="240" w:lineRule="auto"/>
        <w:ind w:left="1040"/>
      </w:pPr>
      <w:r>
        <w:rPr>
          <w:sz w:val="14"/>
          <w:szCs w:val="14"/>
        </w:rPr>
        <w:t xml:space="preserve">o </w:t>
      </w:r>
      <w:r>
        <w:rPr>
          <w:i/>
          <w:iCs/>
        </w:rPr>
        <w:t>vypracování nových nezbytných konstrukčních detailů (sokl s drenáží aj.).</w:t>
      </w:r>
    </w:p>
    <w:p w:rsidR="00EA2784" w:rsidRDefault="00D726A1">
      <w:pPr>
        <w:pStyle w:val="Bodytext10"/>
        <w:spacing w:after="520" w:line="240" w:lineRule="auto"/>
        <w:ind w:firstLine="700"/>
      </w:pPr>
      <w:r>
        <w:rPr>
          <w:i/>
          <w:iCs/>
        </w:rPr>
        <w:t>• Koordinační součinnost s poddodavateli.</w:t>
      </w:r>
    </w:p>
    <w:p w:rsidR="00EA2784" w:rsidRDefault="00D726A1">
      <w:pPr>
        <w:pStyle w:val="Bodytext10"/>
        <w:spacing w:line="240" w:lineRule="auto"/>
        <w:ind w:firstLine="700"/>
      </w:pPr>
      <w:r>
        <w:t>V návaznosti na výše uvedené se text čl. IV., odst. 1 a 2 ruší a nahrazuje se tímto textem:</w:t>
      </w:r>
    </w:p>
    <w:p w:rsidR="00EA2784" w:rsidRDefault="00D726A1">
      <w:pPr>
        <w:pStyle w:val="Bodytext10"/>
        <w:numPr>
          <w:ilvl w:val="0"/>
          <w:numId w:val="2"/>
        </w:numPr>
        <w:tabs>
          <w:tab w:val="left" w:pos="1048"/>
        </w:tabs>
        <w:spacing w:line="240" w:lineRule="auto"/>
        <w:ind w:firstLine="700"/>
      </w:pPr>
      <w:bookmarkStart w:id="13" w:name="bookmark12"/>
      <w:bookmarkEnd w:id="13"/>
      <w:r>
        <w:rPr>
          <w:i/>
          <w:iCs/>
        </w:rPr>
        <w:t>Cena: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3"/>
        <w:gridCol w:w="2582"/>
      </w:tblGrid>
      <w:tr w:rsidR="00EA2784">
        <w:trPr>
          <w:trHeight w:hRule="exact" w:val="350"/>
          <w:jc w:val="right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784" w:rsidRDefault="00D726A1">
            <w:pPr>
              <w:pStyle w:val="Other10"/>
              <w:spacing w:after="0" w:line="240" w:lineRule="auto"/>
            </w:pPr>
            <w:r>
              <w:rPr>
                <w:i/>
                <w:iCs/>
              </w:rPr>
              <w:t>Cena služeb bez DPH za dobu platnosti smlouvy činí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784" w:rsidRDefault="00D726A1">
            <w:pPr>
              <w:pStyle w:val="Other10"/>
              <w:spacing w:after="0" w:line="240" w:lineRule="auto"/>
              <w:ind w:left="1180"/>
            </w:pPr>
            <w:r>
              <w:rPr>
                <w:i/>
                <w:iCs/>
              </w:rPr>
              <w:t>541.000,00 Kč</w:t>
            </w:r>
          </w:p>
        </w:tc>
      </w:tr>
      <w:tr w:rsidR="00EA2784">
        <w:trPr>
          <w:trHeight w:hRule="exact" w:val="336"/>
          <w:jc w:val="right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784" w:rsidRDefault="00D726A1">
            <w:pPr>
              <w:pStyle w:val="Other10"/>
              <w:spacing w:after="0" w:line="240" w:lineRule="auto"/>
            </w:pPr>
            <w:r>
              <w:rPr>
                <w:i/>
                <w:iCs/>
              </w:rPr>
              <w:t>DPH 21 % činí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84" w:rsidRDefault="00D726A1">
            <w:pPr>
              <w:pStyle w:val="Other10"/>
              <w:spacing w:after="0" w:line="240" w:lineRule="auto"/>
              <w:ind w:left="1180"/>
            </w:pPr>
            <w:r>
              <w:rPr>
                <w:i/>
                <w:iCs/>
              </w:rPr>
              <w:t>113.610,00 Kč</w:t>
            </w:r>
          </w:p>
        </w:tc>
      </w:tr>
      <w:tr w:rsidR="00EA2784">
        <w:trPr>
          <w:trHeight w:hRule="exact" w:val="350"/>
          <w:jc w:val="right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784" w:rsidRDefault="00D726A1">
            <w:pPr>
              <w:pStyle w:val="Other10"/>
              <w:spacing w:after="0" w:line="240" w:lineRule="auto"/>
            </w:pPr>
            <w:r>
              <w:rPr>
                <w:i/>
                <w:iCs/>
              </w:rPr>
              <w:t>Cena služeb vč. DPH za dobu platnosti smlouvy činí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784" w:rsidRDefault="00D726A1">
            <w:pPr>
              <w:pStyle w:val="Other10"/>
              <w:spacing w:after="0" w:line="240" w:lineRule="auto"/>
              <w:ind w:left="1180"/>
            </w:pPr>
            <w:r>
              <w:rPr>
                <w:i/>
                <w:iCs/>
              </w:rPr>
              <w:t>654.610,00 Kč</w:t>
            </w:r>
          </w:p>
        </w:tc>
      </w:tr>
    </w:tbl>
    <w:p w:rsidR="00EA2784" w:rsidRDefault="00EA2784">
      <w:pPr>
        <w:spacing w:after="279" w:line="1" w:lineRule="exact"/>
      </w:pPr>
    </w:p>
    <w:p w:rsidR="00EA2784" w:rsidRDefault="00D726A1">
      <w:pPr>
        <w:pStyle w:val="Bodytext10"/>
        <w:numPr>
          <w:ilvl w:val="0"/>
          <w:numId w:val="2"/>
        </w:numPr>
        <w:tabs>
          <w:tab w:val="left" w:pos="1048"/>
        </w:tabs>
        <w:spacing w:line="264" w:lineRule="auto"/>
        <w:ind w:left="1040" w:hanging="340"/>
      </w:pPr>
      <w:bookmarkStart w:id="14" w:name="bookmark13"/>
      <w:bookmarkEnd w:id="14"/>
      <w:r>
        <w:rPr>
          <w:i/>
          <w:iCs/>
        </w:rPr>
        <w:t xml:space="preserve">Faktura je splatná do 14 dnů ode dne jejího vystavení Příkazníkem. Platba, na kterou Příkazníkovi vznikl dle této smlouvy nárok, se považuje za včas uhrazenou, bude-li poslední den dohodnuté lhůty splatnosti účtovaná částka připsána na účet Příkazníka. </w:t>
      </w:r>
      <w:r>
        <w:rPr>
          <w:b/>
          <w:bCs/>
          <w:i/>
          <w:iCs/>
        </w:rPr>
        <w:t>Cena služeb bude uhrazena následovně:</w:t>
      </w:r>
    </w:p>
    <w:p w:rsidR="00EA2784" w:rsidRDefault="00D726A1">
      <w:pPr>
        <w:pStyle w:val="Bodytext10"/>
        <w:numPr>
          <w:ilvl w:val="0"/>
          <w:numId w:val="3"/>
        </w:numPr>
        <w:tabs>
          <w:tab w:val="left" w:pos="1409"/>
        </w:tabs>
        <w:ind w:left="1380" w:hanging="320"/>
        <w:jc w:val="both"/>
      </w:pPr>
      <w:bookmarkStart w:id="15" w:name="bookmark14"/>
      <w:bookmarkEnd w:id="15"/>
      <w:r>
        <w:rPr>
          <w:i/>
          <w:iCs/>
        </w:rPr>
        <w:t xml:space="preserve">Cena za činnost v </w:t>
      </w:r>
      <w:r>
        <w:rPr>
          <w:b/>
          <w:bCs/>
          <w:i/>
          <w:iCs/>
        </w:rPr>
        <w:t xml:space="preserve">čl. I., bod 3. písm. a) </w:t>
      </w:r>
      <w:r>
        <w:rPr>
          <w:i/>
          <w:iCs/>
        </w:rPr>
        <w:t xml:space="preserve">je sjednána ve výši </w:t>
      </w:r>
      <w:r>
        <w:rPr>
          <w:b/>
          <w:bCs/>
          <w:i/>
          <w:iCs/>
        </w:rPr>
        <w:t xml:space="preserve">454.000,00 Kč bez DPH </w:t>
      </w:r>
      <w:r>
        <w:rPr>
          <w:i/>
          <w:iCs/>
        </w:rPr>
        <w:t xml:space="preserve">a bude Příkazníkovi uhrazena </w:t>
      </w:r>
      <w:r>
        <w:rPr>
          <w:b/>
          <w:bCs/>
          <w:i/>
          <w:iCs/>
        </w:rPr>
        <w:t>po předání PD.</w:t>
      </w:r>
    </w:p>
    <w:p w:rsidR="00EA2784" w:rsidRDefault="00D726A1">
      <w:pPr>
        <w:pStyle w:val="Bodytext10"/>
        <w:numPr>
          <w:ilvl w:val="0"/>
          <w:numId w:val="3"/>
        </w:numPr>
        <w:tabs>
          <w:tab w:val="left" w:pos="1409"/>
        </w:tabs>
        <w:spacing w:line="264" w:lineRule="auto"/>
        <w:ind w:left="1380" w:hanging="320"/>
        <w:jc w:val="both"/>
      </w:pPr>
      <w:bookmarkStart w:id="16" w:name="bookmark15"/>
      <w:bookmarkEnd w:id="16"/>
      <w:r>
        <w:rPr>
          <w:i/>
          <w:iCs/>
        </w:rPr>
        <w:t xml:space="preserve">Cena za činnost v </w:t>
      </w:r>
      <w:r>
        <w:rPr>
          <w:b/>
          <w:bCs/>
          <w:i/>
          <w:iCs/>
        </w:rPr>
        <w:t xml:space="preserve">čl. I., bod 3. písm. b) </w:t>
      </w:r>
      <w:r>
        <w:rPr>
          <w:i/>
          <w:iCs/>
        </w:rPr>
        <w:t xml:space="preserve">je sjednána ve výši </w:t>
      </w:r>
      <w:r>
        <w:rPr>
          <w:b/>
          <w:bCs/>
          <w:i/>
          <w:iCs/>
        </w:rPr>
        <w:t xml:space="preserve">48.500,00 Kč bez DPH </w:t>
      </w:r>
      <w:r>
        <w:rPr>
          <w:i/>
          <w:iCs/>
        </w:rPr>
        <w:t xml:space="preserve">a bude Příkazníkovi uhrazena </w:t>
      </w:r>
      <w:r>
        <w:rPr>
          <w:b/>
          <w:bCs/>
          <w:i/>
          <w:iCs/>
        </w:rPr>
        <w:t>po předání PD.</w:t>
      </w:r>
    </w:p>
    <w:p w:rsidR="00EA2784" w:rsidRDefault="00D726A1">
      <w:pPr>
        <w:pStyle w:val="Bodytext10"/>
        <w:numPr>
          <w:ilvl w:val="0"/>
          <w:numId w:val="3"/>
        </w:numPr>
        <w:tabs>
          <w:tab w:val="left" w:pos="1409"/>
        </w:tabs>
        <w:spacing w:after="360" w:line="264" w:lineRule="auto"/>
        <w:ind w:left="1380" w:hanging="320"/>
        <w:jc w:val="both"/>
      </w:pPr>
      <w:bookmarkStart w:id="17" w:name="bookmark16"/>
      <w:bookmarkEnd w:id="17"/>
      <w:r>
        <w:rPr>
          <w:i/>
          <w:iCs/>
        </w:rPr>
        <w:t xml:space="preserve">Cena za činnost v </w:t>
      </w:r>
      <w:r>
        <w:rPr>
          <w:b/>
          <w:bCs/>
          <w:i/>
          <w:iCs/>
        </w:rPr>
        <w:t xml:space="preserve">čl. I., bod 3. písm. c) </w:t>
      </w:r>
      <w:r>
        <w:rPr>
          <w:i/>
          <w:iCs/>
        </w:rPr>
        <w:t xml:space="preserve">je sjednána ve výši </w:t>
      </w:r>
      <w:r>
        <w:rPr>
          <w:b/>
          <w:bCs/>
          <w:i/>
          <w:iCs/>
        </w:rPr>
        <w:t xml:space="preserve">39.000,00 Kč bez DPH </w:t>
      </w:r>
      <w:r>
        <w:rPr>
          <w:i/>
          <w:iCs/>
        </w:rPr>
        <w:t xml:space="preserve">a bude Příkazníkovi uhrazena </w:t>
      </w:r>
      <w:r>
        <w:rPr>
          <w:b/>
          <w:bCs/>
          <w:i/>
          <w:iCs/>
        </w:rPr>
        <w:t>po předání rozpočtu.</w:t>
      </w:r>
    </w:p>
    <w:p w:rsidR="00EA2784" w:rsidRDefault="00D726A1">
      <w:pPr>
        <w:pStyle w:val="Heading310"/>
        <w:keepNext/>
        <w:keepLines/>
        <w:spacing w:after="0" w:line="240" w:lineRule="auto"/>
      </w:pPr>
      <w:bookmarkStart w:id="18" w:name="bookmark17"/>
      <w:bookmarkStart w:id="19" w:name="bookmark18"/>
      <w:bookmarkStart w:id="20" w:name="bookmark19"/>
      <w:r>
        <w:t>II.</w:t>
      </w:r>
      <w:bookmarkEnd w:id="18"/>
      <w:bookmarkEnd w:id="19"/>
      <w:bookmarkEnd w:id="20"/>
    </w:p>
    <w:p w:rsidR="00EA2784" w:rsidRDefault="00D726A1">
      <w:pPr>
        <w:pStyle w:val="Heading310"/>
        <w:keepNext/>
        <w:keepLines/>
        <w:spacing w:line="240" w:lineRule="auto"/>
      </w:pPr>
      <w:bookmarkStart w:id="21" w:name="bookmark20"/>
      <w:bookmarkStart w:id="22" w:name="bookmark21"/>
      <w:bookmarkStart w:id="23" w:name="bookmark22"/>
      <w:r>
        <w:t>Závěrečná ustanovení</w:t>
      </w:r>
      <w:bookmarkEnd w:id="21"/>
      <w:bookmarkEnd w:id="22"/>
      <w:bookmarkEnd w:id="23"/>
    </w:p>
    <w:p w:rsidR="00EA2784" w:rsidRDefault="00D726A1">
      <w:pPr>
        <w:pStyle w:val="Bodytext10"/>
        <w:numPr>
          <w:ilvl w:val="0"/>
          <w:numId w:val="4"/>
        </w:numPr>
        <w:tabs>
          <w:tab w:val="left" w:pos="335"/>
        </w:tabs>
        <w:ind w:left="340" w:hanging="340"/>
        <w:jc w:val="both"/>
      </w:pPr>
      <w:bookmarkStart w:id="24" w:name="bookmark23"/>
      <w:bookmarkEnd w:id="24"/>
      <w:r>
        <w:t>Tento dodatek je vyhotoven ve třech stejnopisech o stejné právní síle originálu, z nichž Příkazce obdrží dvě vyhotovení a Příkazník obdrží jedno vyhotovení.</w:t>
      </w:r>
    </w:p>
    <w:p w:rsidR="00EA2784" w:rsidRDefault="00D726A1">
      <w:pPr>
        <w:pStyle w:val="Bodytext10"/>
        <w:numPr>
          <w:ilvl w:val="0"/>
          <w:numId w:val="4"/>
        </w:numPr>
        <w:tabs>
          <w:tab w:val="left" w:pos="335"/>
        </w:tabs>
        <w:spacing w:line="262" w:lineRule="auto"/>
      </w:pPr>
      <w:bookmarkStart w:id="25" w:name="bookmark24"/>
      <w:bookmarkEnd w:id="25"/>
      <w:r>
        <w:t>Ostatní ujednání příkazní smlouvy, nedotčená tímto dodatkem, zůstávají beze změny.</w:t>
      </w:r>
    </w:p>
    <w:p w:rsidR="00EA2784" w:rsidRDefault="00D726A1">
      <w:pPr>
        <w:pStyle w:val="Bodytext10"/>
        <w:numPr>
          <w:ilvl w:val="0"/>
          <w:numId w:val="4"/>
        </w:numPr>
        <w:tabs>
          <w:tab w:val="left" w:pos="335"/>
        </w:tabs>
        <w:ind w:left="340" w:hanging="340"/>
        <w:jc w:val="both"/>
      </w:pPr>
      <w:bookmarkStart w:id="26" w:name="bookmark25"/>
      <w:bookmarkEnd w:id="26"/>
      <w:r>
        <w:t>Tento dodatek nabývá účinnosti dnem jejího uveřejnění v registru smluv dle zákona č. 340/2015 Sb., o zvláštních podmínkách účinnosti některých smluv, uveřejňování těchto smluv a o registru smluv (zákon o registru smluv), ve znění pozdějších předpisů.</w:t>
      </w:r>
    </w:p>
    <w:p w:rsidR="00EA2784" w:rsidRDefault="00D726A1">
      <w:pPr>
        <w:pStyle w:val="Bodytext10"/>
        <w:numPr>
          <w:ilvl w:val="0"/>
          <w:numId w:val="4"/>
        </w:numPr>
        <w:tabs>
          <w:tab w:val="left" w:pos="338"/>
        </w:tabs>
        <w:spacing w:line="262" w:lineRule="auto"/>
        <w:ind w:left="340" w:hanging="340"/>
        <w:jc w:val="both"/>
      </w:pPr>
      <w:bookmarkStart w:id="27" w:name="bookmark26"/>
      <w:bookmarkEnd w:id="27"/>
      <w:r>
        <w:t>S odkazem na zákon č. 340/2015 Sb., o zvláštních podmínkách účinnosti některých smluv, uveřejňování těchto smluv a o registru smluv (zákon o registru smluv), v platném znění, se smluvní strany dohodly, že tento dodatek uveřejní v registru smluv za podmínek stanovených uvedeným zákonem Příkazce. Smluvní strany prohlašují, že skutečnosti uvedené v tomto dodatku nepovažují za obchodní tajemství ve smyslu ust. § 504 občanského zákoníku a udělují svolení k jejich užití a zveřejnění bez ustanovení jakýchkoliv dalších podmínek.</w:t>
      </w:r>
      <w:r>
        <w:br w:type="page"/>
      </w:r>
    </w:p>
    <w:p w:rsidR="00EA2784" w:rsidRDefault="00D726A1">
      <w:pPr>
        <w:pStyle w:val="Bodytext10"/>
        <w:numPr>
          <w:ilvl w:val="0"/>
          <w:numId w:val="4"/>
        </w:numPr>
        <w:tabs>
          <w:tab w:val="left" w:pos="334"/>
        </w:tabs>
        <w:spacing w:line="264" w:lineRule="auto"/>
        <w:ind w:left="400" w:hanging="400"/>
      </w:pPr>
      <w:bookmarkStart w:id="28" w:name="bookmark27"/>
      <w:bookmarkEnd w:id="28"/>
      <w:r>
        <w:lastRenderedPageBreak/>
        <w:t>Zástupci smluvních stran prohlašují, že se s obsahem dodatku před jeho podpisem seznámili, a že s ním bezvýhradně souhlasí, na důkaz čehož připojují své vlastnoruční podpisy.</w:t>
      </w:r>
    </w:p>
    <w:p w:rsidR="00EA2784" w:rsidRDefault="00D726A1">
      <w:pPr>
        <w:pStyle w:val="Bodytext10"/>
        <w:numPr>
          <w:ilvl w:val="0"/>
          <w:numId w:val="4"/>
        </w:numPr>
        <w:tabs>
          <w:tab w:val="left" w:pos="334"/>
        </w:tabs>
        <w:spacing w:after="0" w:line="264" w:lineRule="auto"/>
        <w:ind w:left="400" w:hanging="400"/>
      </w:pPr>
      <w:bookmarkStart w:id="29" w:name="bookmark28"/>
      <w:bookmarkEnd w:id="29"/>
      <w:r>
        <w:t>Tato smlouva byla schválena Radou města Kroměříže na její 46. schůzi, konané dne 21.5.2020, pod číslem usnesení 1209.</w:t>
      </w:r>
    </w:p>
    <w:p w:rsidR="002C0224" w:rsidRDefault="002C0224" w:rsidP="002C0224">
      <w:pPr>
        <w:pStyle w:val="Bodytext10"/>
        <w:tabs>
          <w:tab w:val="left" w:pos="334"/>
        </w:tabs>
        <w:spacing w:after="0" w:line="264" w:lineRule="auto"/>
      </w:pPr>
    </w:p>
    <w:p w:rsidR="002C0224" w:rsidRDefault="002C0224" w:rsidP="002C0224">
      <w:pPr>
        <w:pStyle w:val="Bodytext10"/>
        <w:tabs>
          <w:tab w:val="left" w:pos="334"/>
        </w:tabs>
        <w:spacing w:after="0" w:line="264" w:lineRule="auto"/>
      </w:pPr>
    </w:p>
    <w:p w:rsidR="002C0224" w:rsidRDefault="002C0224" w:rsidP="002C0224">
      <w:pPr>
        <w:pStyle w:val="Bodytext10"/>
        <w:tabs>
          <w:tab w:val="left" w:pos="334"/>
        </w:tabs>
        <w:spacing w:after="0" w:line="264" w:lineRule="auto"/>
      </w:pPr>
    </w:p>
    <w:p w:rsidR="002C0224" w:rsidRDefault="002C0224" w:rsidP="002C0224">
      <w:pPr>
        <w:pStyle w:val="Bodytext10"/>
        <w:tabs>
          <w:tab w:val="left" w:pos="334"/>
        </w:tabs>
        <w:spacing w:after="0" w:line="264" w:lineRule="auto"/>
      </w:pPr>
    </w:p>
    <w:p w:rsidR="00863415" w:rsidRDefault="00863415" w:rsidP="00863415">
      <w:pPr>
        <w:pStyle w:val="Bodytext10"/>
        <w:tabs>
          <w:tab w:val="left" w:pos="334"/>
        </w:tabs>
        <w:spacing w:after="0" w:line="264" w:lineRule="auto"/>
      </w:pPr>
    </w:p>
    <w:p w:rsidR="002C0224" w:rsidRDefault="002C0224" w:rsidP="002C0224">
      <w:pPr>
        <w:pStyle w:val="Bodytext10"/>
        <w:tabs>
          <w:tab w:val="left" w:leader="dot" w:pos="2842"/>
        </w:tabs>
        <w:spacing w:after="0" w:line="240" w:lineRule="auto"/>
      </w:pPr>
      <w:r>
        <w:t xml:space="preserve">      V Kroměříži dne </w:t>
      </w:r>
      <w:r w:rsidR="003B78DA">
        <w:t>28</w:t>
      </w:r>
      <w:r>
        <w:t>.05.2020                                                   V Praze dne 28.05.2020</w:t>
      </w:r>
    </w:p>
    <w:p w:rsidR="00863415" w:rsidRDefault="00863415" w:rsidP="00863415">
      <w:pPr>
        <w:pStyle w:val="Bodytext10"/>
        <w:tabs>
          <w:tab w:val="left" w:pos="334"/>
        </w:tabs>
        <w:spacing w:after="0" w:line="264" w:lineRule="auto"/>
      </w:pPr>
    </w:p>
    <w:p w:rsidR="002C0224" w:rsidRDefault="002C0224" w:rsidP="00863415">
      <w:pPr>
        <w:pStyle w:val="Bodytext10"/>
        <w:tabs>
          <w:tab w:val="left" w:pos="334"/>
        </w:tabs>
        <w:spacing w:after="0" w:line="264" w:lineRule="auto"/>
      </w:pPr>
    </w:p>
    <w:p w:rsidR="002C0224" w:rsidRDefault="002C0224" w:rsidP="00863415">
      <w:pPr>
        <w:pStyle w:val="Bodytext10"/>
        <w:tabs>
          <w:tab w:val="left" w:pos="334"/>
        </w:tabs>
        <w:spacing w:after="0" w:line="264" w:lineRule="auto"/>
      </w:pPr>
    </w:p>
    <w:p w:rsidR="002C0224" w:rsidRDefault="002C0224" w:rsidP="00863415">
      <w:pPr>
        <w:pStyle w:val="Bodytext10"/>
        <w:tabs>
          <w:tab w:val="left" w:pos="334"/>
        </w:tabs>
        <w:spacing w:after="0" w:line="264" w:lineRule="auto"/>
      </w:pPr>
    </w:p>
    <w:p w:rsidR="002C0224" w:rsidRDefault="002C0224" w:rsidP="00863415">
      <w:pPr>
        <w:pStyle w:val="Bodytext10"/>
        <w:tabs>
          <w:tab w:val="left" w:pos="334"/>
        </w:tabs>
        <w:spacing w:after="0" w:line="264" w:lineRule="auto"/>
      </w:pPr>
    </w:p>
    <w:p w:rsidR="002C0224" w:rsidRDefault="002C0224" w:rsidP="00863415">
      <w:pPr>
        <w:pStyle w:val="Bodytext10"/>
        <w:tabs>
          <w:tab w:val="left" w:pos="334"/>
        </w:tabs>
        <w:spacing w:after="0" w:line="264" w:lineRule="auto"/>
      </w:pPr>
    </w:p>
    <w:p w:rsidR="002C0224" w:rsidRDefault="002C0224" w:rsidP="00863415">
      <w:pPr>
        <w:pStyle w:val="Bodytext10"/>
        <w:tabs>
          <w:tab w:val="left" w:pos="334"/>
        </w:tabs>
        <w:spacing w:after="0" w:line="264" w:lineRule="auto"/>
      </w:pPr>
      <w:r>
        <w:t xml:space="preserve">     Město Kroměříž                                                                         Energy Benefit Centre a.s.</w:t>
      </w:r>
    </w:p>
    <w:p w:rsidR="002C0224" w:rsidRDefault="002C0224" w:rsidP="00863415">
      <w:pPr>
        <w:pStyle w:val="Bodytext10"/>
        <w:tabs>
          <w:tab w:val="left" w:pos="334"/>
        </w:tabs>
        <w:spacing w:after="0" w:line="264" w:lineRule="auto"/>
      </w:pPr>
      <w:r>
        <w:t xml:space="preserve">     Mgr. Jaroslav Němec                                                                 Ing. Miroslav Hořejší</w:t>
      </w:r>
    </w:p>
    <w:p w:rsidR="002C0224" w:rsidRDefault="002C0224" w:rsidP="00863415">
      <w:pPr>
        <w:pStyle w:val="Bodytext10"/>
        <w:tabs>
          <w:tab w:val="left" w:pos="334"/>
        </w:tabs>
        <w:spacing w:after="0" w:line="264" w:lineRule="auto"/>
      </w:pPr>
      <w:r>
        <w:t xml:space="preserve">     starosta města</w:t>
      </w:r>
      <w:r w:rsidR="00E3476E">
        <w:t xml:space="preserve">                                                                           předseda představenstva</w:t>
      </w:r>
    </w:p>
    <w:p w:rsidR="00863415" w:rsidRDefault="00E3476E" w:rsidP="00863415">
      <w:pPr>
        <w:pStyle w:val="Bodytext10"/>
        <w:tabs>
          <w:tab w:val="left" w:pos="334"/>
        </w:tabs>
        <w:spacing w:after="0" w:line="264" w:lineRule="auto"/>
        <w:sectPr w:rsidR="00863415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363" w:right="1269" w:bottom="1010" w:left="1280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     Příkazce                                                                                     P</w:t>
      </w:r>
      <w:r w:rsidR="00611DE1">
        <w:t>říkazník</w:t>
      </w:r>
    </w:p>
    <w:p w:rsidR="00EA2784" w:rsidRDefault="00EA2784">
      <w:pPr>
        <w:spacing w:line="1" w:lineRule="exact"/>
        <w:sectPr w:rsidR="00EA2784">
          <w:type w:val="continuous"/>
          <w:pgSz w:w="11900" w:h="16840"/>
          <w:pgMar w:top="1769" w:right="0" w:bottom="934" w:left="0" w:header="0" w:footer="3" w:gutter="0"/>
          <w:cols w:space="720"/>
          <w:noEndnote/>
          <w:docGrid w:linePitch="360"/>
        </w:sectPr>
      </w:pPr>
    </w:p>
    <w:p w:rsidR="00863415" w:rsidRDefault="00863415">
      <w:pPr>
        <w:spacing w:line="1" w:lineRule="exact"/>
        <w:sectPr w:rsidR="00863415">
          <w:type w:val="continuous"/>
          <w:pgSz w:w="11900" w:h="16840"/>
          <w:pgMar w:top="1769" w:right="0" w:bottom="934" w:left="0" w:header="0" w:footer="3" w:gutter="0"/>
          <w:cols w:space="720"/>
          <w:noEndnote/>
          <w:docGrid w:linePitch="360"/>
        </w:sectPr>
      </w:pPr>
    </w:p>
    <w:p w:rsidR="00EA2784" w:rsidRDefault="00EA2784" w:rsidP="00DF587D">
      <w:pPr>
        <w:pStyle w:val="Bodytext10"/>
        <w:tabs>
          <w:tab w:val="left" w:pos="5958"/>
        </w:tabs>
        <w:spacing w:after="0" w:line="240" w:lineRule="auto"/>
        <w:rPr>
          <w:sz w:val="20"/>
          <w:szCs w:val="20"/>
        </w:rPr>
      </w:pPr>
    </w:p>
    <w:sectPr w:rsidR="00EA2784">
      <w:pgSz w:w="11900" w:h="16840"/>
      <w:pgMar w:top="1769" w:right="1251" w:bottom="934" w:left="32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E83" w:rsidRDefault="00271E83">
      <w:r>
        <w:separator/>
      </w:r>
    </w:p>
  </w:endnote>
  <w:endnote w:type="continuationSeparator" w:id="0">
    <w:p w:rsidR="00271E83" w:rsidRDefault="0027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784" w:rsidRDefault="00D726A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6125845</wp:posOffset>
              </wp:positionH>
              <wp:positionV relativeFrom="page">
                <wp:posOffset>10284460</wp:posOffset>
              </wp:positionV>
              <wp:extent cx="572770" cy="7302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2784" w:rsidRDefault="00D726A1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6713FD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82.35pt;margin-top:809.8pt;width:45.1pt;height:5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" filled="f" stroked="f">
              <v:textbox style="mso-fit-shape-to-text:t" inset="0,0,0,0">
                <w:txbxContent>
                  <w:p w:rsidR="00EA2784" w:rsidRDefault="00D726A1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 xml:space="preserve">Stránka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fldChar w:fldCharType="separate"/>
                    </w:r>
                    <w:r w:rsidR="006713FD">
                      <w:rPr>
                        <w:rFonts w:ascii="Arial" w:eastAsia="Arial" w:hAnsi="Arial" w:cs="Arial"/>
                        <w:i/>
                        <w:iCs/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819150</wp:posOffset>
              </wp:positionH>
              <wp:positionV relativeFrom="page">
                <wp:posOffset>10161270</wp:posOffset>
              </wp:positionV>
              <wp:extent cx="590105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10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4.5pt;margin-top:800.10000000000002pt;width:464.65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784" w:rsidRDefault="00D726A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6057265</wp:posOffset>
              </wp:positionH>
              <wp:positionV relativeFrom="page">
                <wp:posOffset>10146665</wp:posOffset>
              </wp:positionV>
              <wp:extent cx="646430" cy="825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4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2784" w:rsidRDefault="00D726A1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Stránka 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6713FD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476.95pt;margin-top:798.95pt;width:50.9pt;height:6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" filled="f" stroked="f">
              <v:textbox style="mso-fit-shape-to-text:t" inset="0,0,0,0">
                <w:txbxContent>
                  <w:p w:rsidR="00EA2784" w:rsidRDefault="00D726A1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Stránka 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separate"/>
                    </w:r>
                    <w:r w:rsidR="006713FD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811530</wp:posOffset>
              </wp:positionH>
              <wp:positionV relativeFrom="page">
                <wp:posOffset>10070465</wp:posOffset>
              </wp:positionV>
              <wp:extent cx="591629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62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3.899999999999999pt;margin-top:792.95000000000005pt;width:465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E83" w:rsidRDefault="00271E83"/>
  </w:footnote>
  <w:footnote w:type="continuationSeparator" w:id="0">
    <w:p w:rsidR="00271E83" w:rsidRDefault="00271E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784" w:rsidRDefault="00D726A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588010</wp:posOffset>
              </wp:positionV>
              <wp:extent cx="585216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21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2784" w:rsidRDefault="00D726A1">
                          <w:pPr>
                            <w:pStyle w:val="Headerorfooter20"/>
                            <w:tabs>
                              <w:tab w:val="right" w:pos="9216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SMLOUVA O DÍLO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ab/>
                            <w:t>Dodatek č. 1 k PS č. 04-19-70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.549999999999997pt;margin-top:46.300000000000004pt;width:460.80000000000001pt;height:8.15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21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cs-CZ" w:eastAsia="cs-CZ" w:bidi="cs-CZ"/>
                      </w:rPr>
                      <w:t>SMLOUVA O DÍLO</w:t>
                      <w:tab/>
                      <w:t>Dodatek č. 1 k PS č. 04-19-70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846455</wp:posOffset>
              </wp:positionH>
              <wp:positionV relativeFrom="page">
                <wp:posOffset>832485</wp:posOffset>
              </wp:positionV>
              <wp:extent cx="59010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10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650000000000006pt;margin-top:65.549999999999997pt;width:464.65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784" w:rsidRDefault="002939E7">
    <w:pPr>
      <w:spacing w:line="1" w:lineRule="exact"/>
    </w:pPr>
    <w: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E5615"/>
    <w:multiLevelType w:val="multilevel"/>
    <w:tmpl w:val="5D2608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95415A"/>
    <w:multiLevelType w:val="multilevel"/>
    <w:tmpl w:val="9C620B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9F2556"/>
    <w:multiLevelType w:val="multilevel"/>
    <w:tmpl w:val="0392652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5B7B7E"/>
    <w:multiLevelType w:val="multilevel"/>
    <w:tmpl w:val="CFFCB7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84"/>
    <w:rsid w:val="00271E83"/>
    <w:rsid w:val="002939E7"/>
    <w:rsid w:val="002C0224"/>
    <w:rsid w:val="0037665F"/>
    <w:rsid w:val="003B78DA"/>
    <w:rsid w:val="004D338E"/>
    <w:rsid w:val="00611DE1"/>
    <w:rsid w:val="006713FD"/>
    <w:rsid w:val="00863415"/>
    <w:rsid w:val="00D726A1"/>
    <w:rsid w:val="00DF587D"/>
    <w:rsid w:val="00E3476E"/>
    <w:rsid w:val="00EA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0D67D-3862-4F2D-B435-FF721091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Heading210">
    <w:name w:val="Heading #2|1"/>
    <w:basedOn w:val="Normln"/>
    <w:link w:val="Heading21"/>
    <w:pPr>
      <w:spacing w:after="16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310">
    <w:name w:val="Heading #3|1"/>
    <w:basedOn w:val="Normln"/>
    <w:link w:val="Heading31"/>
    <w:pPr>
      <w:spacing w:after="100" w:line="245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100" w:line="259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pPr>
      <w:spacing w:after="100" w:line="259" w:lineRule="auto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spacing w:line="276" w:lineRule="auto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20">
    <w:name w:val="Body text|2"/>
    <w:basedOn w:val="Normln"/>
    <w:link w:val="Bodytext2"/>
    <w:pPr>
      <w:spacing w:line="276" w:lineRule="auto"/>
    </w:pPr>
    <w:rPr>
      <w:rFonts w:ascii="Arial" w:eastAsia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293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39E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93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39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na.mertova@mest-kromeriz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2020-05-29T09:34:00Z</dcterms:created>
  <dcterms:modified xsi:type="dcterms:W3CDTF">2020-05-29T09:34:00Z</dcterms:modified>
</cp:coreProperties>
</file>