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Cizkrajov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2698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1.7.2009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28.2.2018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2698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Kadolec u Slavonic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odstup Tradiční chalupy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1.3.2020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29.6.2018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317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Maříž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71971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30.10.2019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873,11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84306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873,11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Mutišov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1.4.2019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1149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Slavonice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odstup Procházka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421,91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244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588,67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10.5.2018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15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11.12.2019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49,09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13.2.2020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16789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1 730,63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Vlastkovec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dodatek č. 16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3.10.2018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1105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106364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2 606,91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nájmu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nájmu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Cizkrajov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932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127,03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Dolní Bolíkov-Nová Ves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198,84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137,54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89,94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456,45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464,12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320,97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44,74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101,50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349,35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34716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4 326,65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Kadolec u Slavonic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1,25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29.6.2018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605,35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308,00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29.6.2018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32572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1 930,93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Maříž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270,53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16.5.2018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3766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2 092,37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Mutišov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157,45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1112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197,24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220,96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695,31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31,62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92,46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233,29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26446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3 543,68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Slavonice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4,41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49,23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891,64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254,16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1102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4042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540,69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359,16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40234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5 381,97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16861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2 255,44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2 022,69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1.10.2017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27848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3 725,14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54137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7 241,73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1995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23.12.2014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2 249,96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2 530,07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51,90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856,38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31344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4 192,79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1718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32794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4 386,75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1 238,01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907,07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1725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29056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3 886,73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26544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3 550,71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28863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3 860,91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21341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2 854,72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1.11.2011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28668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3 834,83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593,79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136,58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37502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5 016,52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27896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3 731,56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2250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2357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39,19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2375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2383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430,06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1194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159,72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2406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256,16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518,35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132,16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4799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3575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478,22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2876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384,71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5281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7155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1468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2230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298,30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1212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7870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8409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9021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9351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9488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1.8.2006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8,83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10619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1.6.2020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122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555206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75 052,48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Vlastkovec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130,35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92,20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24.11.2015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1134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6535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31.10.2005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640,95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6817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668,61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1883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2289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11721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1 149,60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2298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2303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148,49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1526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149,67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1373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2421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105,93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2577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252,75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1989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2617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158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8865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869,48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2,06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613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60,12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2628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1425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2629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1414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1.12.2010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58127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5 701,11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711765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92 774,25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95 381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850" w:right="850" w:bottom="850" w:left="850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nájmu k dodatku č. 17 nájemní smlouvy č. 290N03/17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19.5.2020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1. 10. 2020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VypocetPachtuNs</dc:title>
</cp:coreProperties>
</file>