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880" w:h="614" w:wrap="none" w:hAnchor="page" w:x="4941" w:y="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TS města a,s.</w:t>
      </w:r>
      <w:bookmarkEnd w:id="0"/>
      <w:bookmarkEnd w:id="1"/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908685</wp:posOffset>
            </wp:positionH>
            <wp:positionV relativeFrom="margin">
              <wp:posOffset>313690</wp:posOffset>
            </wp:positionV>
            <wp:extent cx="932815" cy="6032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32815" cy="603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5453380</wp:posOffset>
            </wp:positionH>
            <wp:positionV relativeFrom="margin">
              <wp:posOffset>0</wp:posOffset>
            </wp:positionV>
            <wp:extent cx="1688465" cy="67056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88465" cy="670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52" w:left="1028" w:right="657" w:bottom="114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2" w:left="0" w:right="0" w:bottom="12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left"/>
        <w:rPr>
          <w:sz w:val="32"/>
          <w:szCs w:val="3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2" w:left="1028" w:right="1468" w:bottom="1209" w:header="0" w:footer="3" w:gutter="0"/>
          <w:cols w:space="720"/>
          <w:noEndnote/>
          <w:rtlGutter w:val="0"/>
          <w:docGrid w:linePitch="360"/>
        </w:sectPr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Dodatek č. 11 ke smlouvě č. 120/2010/B</w:t>
      </w: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2" w:left="0" w:right="0" w:bottom="114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930" w:h="326" w:wrap="none" w:vAnchor="text" w:hAnchor="page" w:x="4975" w:y="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 - Smluvní strany</w:t>
      </w:r>
    </w:p>
    <w:p>
      <w:pPr>
        <w:pStyle w:val="Style9"/>
        <w:keepNext w:val="0"/>
        <w:keepLines w:val="0"/>
        <w:framePr w:w="1882" w:h="494" w:wrap="none" w:vAnchor="text" w:hAnchor="page" w:x="8666" w:y="21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  <w:rPr>
          <w:sz w:val="12"/>
          <w:szCs w:val="12"/>
        </w:rPr>
      </w:pPr>
      <w:r>
        <w:rPr>
          <w:b/>
          <w:bCs/>
          <w:color w:val="E54D63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Krajská správa » údržba tMnfc Vytóčtay prtspévlíová O- </w:t>
      </w:r>
      <w:r>
        <w:rPr>
          <w:b/>
          <w:bCs/>
          <w:color w:val="E54D63"/>
          <w:spacing w:val="0"/>
          <w:w w:val="100"/>
          <w:position w:val="0"/>
          <w:sz w:val="12"/>
          <w:szCs w:val="12"/>
          <w:u w:val="single"/>
          <w:shd w:val="clear" w:color="auto" w:fill="auto"/>
          <w:lang w:val="cs-CZ" w:eastAsia="cs-CZ" w:bidi="cs-CZ"/>
        </w:rPr>
        <w:t>KmovtU 1122/16. 566 01</w:t>
      </w:r>
    </w:p>
    <w:p>
      <w:pPr>
        <w:pStyle w:val="Style9"/>
        <w:keepNext w:val="0"/>
        <w:keepLines w:val="0"/>
        <w:framePr w:w="648" w:h="408" w:wrap="none" w:vAnchor="text" w:hAnchor="page" w:x="10298" w:y="29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color w:val="E54D63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3*u.v,.</w:t>
      </w:r>
    </w:p>
    <w:p>
      <w:pPr>
        <w:pStyle w:val="Style9"/>
        <w:keepNext w:val="0"/>
        <w:keepLines w:val="0"/>
        <w:framePr w:w="648" w:h="408" w:wrap="none" w:vAnchor="text" w:hAnchor="page" w:x="10298" w:y="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rFonts w:ascii="Arial" w:eastAsia="Arial" w:hAnsi="Arial" w:cs="Arial"/>
          <w:color w:val="E54D63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l..</w:t>
      </w:r>
    </w:p>
    <w:p>
      <w:pPr>
        <w:pStyle w:val="Style9"/>
        <w:keepNext w:val="0"/>
        <w:keepLines w:val="0"/>
        <w:framePr w:w="2611" w:h="595" w:wrap="none" w:vAnchor="text" w:hAnchor="page" w:x="8388" w:y="5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rFonts w:ascii="Arial" w:eastAsia="Arial" w:hAnsi="Arial" w:cs="Arial"/>
          <w:color w:val="E54D63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h&gt;</w:t>
      </w:r>
    </w:p>
    <w:p>
      <w:pPr>
        <w:pStyle w:val="Style9"/>
        <w:keepNext w:val="0"/>
        <w:keepLines w:val="0"/>
        <w:framePr w:w="2611" w:h="595" w:wrap="none" w:vAnchor="text" w:hAnchor="page" w:x="8388" w:y="534"/>
        <w:widowControl w:val="0"/>
        <w:shd w:val="clear" w:color="auto" w:fill="auto"/>
        <w:tabs>
          <w:tab w:pos="2117" w:val="left"/>
        </w:tabs>
        <w:bidi w:val="0"/>
        <w:spacing w:before="0" w:after="0" w:line="180" w:lineRule="auto"/>
        <w:ind w:left="0" w:right="180" w:firstLine="0"/>
        <w:jc w:val="right"/>
        <w:rPr>
          <w:sz w:val="22"/>
          <w:szCs w:val="22"/>
        </w:rPr>
      </w:pPr>
      <w:r>
        <w:rPr>
          <w:rFonts w:ascii="Arial" w:eastAsia="Arial" w:hAnsi="Arial" w:cs="Arial"/>
          <w:color w:val="E54D63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jD»tu«n: - 2 -Q3- 202U</w:t>
        <w:tab/>
      </w:r>
      <w:r>
        <w:rPr>
          <w:rFonts w:ascii="Arial" w:eastAsia="Arial" w:hAnsi="Arial" w:cs="Arial"/>
          <w:color w:val="5070BB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/</w:t>
      </w:r>
    </w:p>
    <w:p>
      <w:pPr>
        <w:pStyle w:val="Style9"/>
        <w:keepNext w:val="0"/>
        <w:keepLines w:val="0"/>
        <w:framePr w:w="312" w:h="293" w:wrap="none" w:vAnchor="text" w:hAnchor="page" w:x="8512" w:y="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Arial" w:eastAsia="Arial" w:hAnsi="Arial" w:cs="Arial"/>
          <w:color w:val="E54D63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Č.J.: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2" w:left="1028" w:right="657" w:bottom="114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2" w:left="0" w:right="0" w:bottom="12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1000" w:right="0" w:firstLine="2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12700</wp:posOffset>
                </wp:positionV>
                <wp:extent cx="1167130" cy="198755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7130" cy="1987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Jméno společnosti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Sídlo společnosti Zastoupená Za věci technické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IČO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Telefon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Fax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E-mail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Provozovna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3.350000000000001pt;margin-top:1.pt;width:91.900000000000006pt;height:156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 společnosti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Sídlo společnosti Zastoupená Za věci technické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IČO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Fax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E-mail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Provozovna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Krajská správa a údržba silnic Vysočiny, příspěvková organizace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 (korespondenční adresa) Ing. Radovanem Necidem, ředitelem organizace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 vedoucí cestmistrovství Bystřice n.P.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000 90 450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CZ 000 90 450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Nádražní 470, 593 01 Bystřice nad Pernštejnem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10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Skládka Jimramov, 592 42 Jimramov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hanging="1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"/>
      <w:bookmarkEnd w:id="5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12700</wp:posOffset>
                </wp:positionV>
                <wp:extent cx="1176655" cy="1972310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6655" cy="1972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Jméno společnosti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Sídlo společnosti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IČO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Telefon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Fax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E-mail www stránky Bankovní spojení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Číslo účtu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Zastoupená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1.649999999999999pt;margin-top:1.pt;width:92.650000000000006pt;height:155.3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 společnosti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Sídlo společnosti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IČO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Fax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E-mail www stránky Bankovní spojení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Číslo účtu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Zastoupená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TS města a.s.</w:t>
      </w:r>
      <w:bookmarkEnd w:id="6"/>
      <w:bookmarkEnd w:id="7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Ochozí 666, 593 01 Bystřice nad Pernštejnem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25 30 36 60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CZ 25 30 36 60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fldChar w:fldCharType="begin"/>
      </w:r>
      <w:r>
        <w:rPr/>
        <w:instrText> HYPERLINK "http://www.ts-bystrice.cz"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www.ts-bystrice.cz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Komerční banka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 předsedou představenstva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-18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Společnost je zapsaná v obchodním rejstříku vedeného Krajským soudem v Brně oddíl B, vložka 1988 ze dne 1. 7. 1996.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18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2" w:left="2905" w:right="1469" w:bottom="120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„zhotovitel“)</w:t>
      </w:r>
    </w:p>
    <w:p>
      <w:pPr>
        <w:pStyle w:val="Style2"/>
        <w:keepNext/>
        <w:keepLines/>
        <w:framePr w:w="2870" w:h="614" w:wrap="none" w:hAnchor="page" w:x="4834" w:y="299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T$ města a.s.</w:t>
      </w:r>
      <w:bookmarkEnd w:id="8"/>
      <w:bookmarkEnd w:id="9"/>
    </w:p>
    <w:p>
      <w:pPr>
        <w:pStyle w:val="Style23"/>
        <w:keepNext/>
        <w:keepLines/>
        <w:framePr w:w="4142" w:h="461" w:wrap="none" w:hAnchor="page" w:x="3859" w:y="1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příloha - rok 2020</w:t>
      </w:r>
      <w:bookmarkEnd w:id="10"/>
      <w:bookmarkEnd w:id="11"/>
    </w:p>
    <w:p>
      <w:pPr>
        <w:pStyle w:val="Style20"/>
        <w:keepNext/>
        <w:keepLines/>
        <w:framePr w:w="9542" w:h="2006" w:wrap="none" w:hAnchor="page" w:x="1008" w:y="256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 xml:space="preserve">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Sběr a svoz směsného komunálního odpadu (SKO)</w:t>
      </w:r>
      <w:bookmarkEnd w:id="12"/>
      <w:bookmarkEnd w:id="13"/>
    </w:p>
    <w:p>
      <w:pPr>
        <w:pStyle w:val="Style12"/>
        <w:keepNext w:val="0"/>
        <w:keepLines w:val="0"/>
        <w:framePr w:w="9542" w:h="2006" w:wrap="none" w:hAnchor="page" w:x="1008" w:y="2564"/>
        <w:widowControl w:val="0"/>
        <w:shd w:val="clear" w:color="auto" w:fill="auto"/>
        <w:bidi w:val="0"/>
        <w:spacing w:before="0" w:after="260" w:line="240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má možnost využít pravidelného svozu popelnicové nádoby, individuálních odvozů na sběrný dvůr dle platného ceníku, popř.jiným subjektem (kontejner AVIA a pod)</w:t>
      </w:r>
    </w:p>
    <w:p>
      <w:pPr>
        <w:pStyle w:val="Style12"/>
        <w:keepNext w:val="0"/>
        <w:keepLines w:val="0"/>
        <w:framePr w:w="9542" w:h="2006" w:wrap="none" w:hAnchor="page" w:x="1008" w:y="2564"/>
        <w:widowControl w:val="0"/>
        <w:shd w:val="clear" w:color="auto" w:fill="auto"/>
        <w:bidi w:val="0"/>
        <w:spacing w:before="0" w:after="26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Pravidelný svoz - počet svozů</w:t>
      </w:r>
    </w:p>
    <w:p>
      <w:pPr>
        <w:pStyle w:val="Style12"/>
        <w:keepNext w:val="0"/>
        <w:keepLines w:val="0"/>
        <w:framePr w:w="9542" w:h="2006" w:wrap="none" w:hAnchor="page" w:x="1008" w:y="2564"/>
        <w:widowControl w:val="0"/>
        <w:shd w:val="clear" w:color="auto" w:fill="auto"/>
        <w:bidi w:val="0"/>
        <w:spacing w:before="0" w:after="26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52 svozů za rok (1 x týdně)</w:t>
      </w:r>
    </w:p>
    <w:p>
      <w:pPr>
        <w:pStyle w:val="Style12"/>
        <w:keepNext w:val="0"/>
        <w:keepLines w:val="0"/>
        <w:framePr w:w="3067" w:h="326" w:wrap="none" w:hAnchor="page" w:x="1349" w:y="4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Poplatek za 1 popelnici 110 L</w:t>
      </w:r>
    </w:p>
    <w:p>
      <w:pPr>
        <w:pStyle w:val="Style12"/>
        <w:keepNext w:val="0"/>
        <w:keepLines w:val="0"/>
        <w:framePr w:w="2227" w:h="317" w:wrap="none" w:hAnchor="page" w:x="6715" w:y="4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2 620,00 Kč bez DPH</w:t>
      </w:r>
    </w:p>
    <w:p>
      <w:pPr>
        <w:pStyle w:val="Style25"/>
        <w:keepNext/>
        <w:keepLines/>
        <w:framePr w:w="250" w:h="360" w:wrap="none" w:hAnchor="page" w:x="979" w:y="10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  <w:bookmarkEnd w:id="14"/>
    </w:p>
    <w:p>
      <w:pPr>
        <w:pStyle w:val="Style12"/>
        <w:keepNext w:val="0"/>
        <w:keepLines w:val="0"/>
        <w:framePr w:w="4186" w:h="595" w:wrap="none" w:hAnchor="page" w:x="1349" w:y="56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Poplatek zahrnuje:</w:t>
      </w:r>
    </w:p>
    <w:p>
      <w:pPr>
        <w:pStyle w:val="Style12"/>
        <w:keepNext w:val="0"/>
        <w:keepLines w:val="0"/>
        <w:framePr w:w="4186" w:h="595" w:wrap="none" w:hAnchor="page" w:x="1349" w:y="562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sběr, svoz a úložné SKO na skládce</w:t>
      </w:r>
    </w:p>
    <w:tbl>
      <w:tblPr>
        <w:tblOverlap w:val="never"/>
        <w:jc w:val="left"/>
        <w:tblLayout w:type="fixed"/>
      </w:tblPr>
      <w:tblGrid>
        <w:gridCol w:w="2064"/>
        <w:gridCol w:w="2525"/>
        <w:gridCol w:w="2150"/>
        <w:gridCol w:w="2342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082" w:h="787" w:hSpace="48" w:vSpace="566" w:wrap="none" w:hAnchor="page" w:x="1282" w:y="70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082" w:h="787" w:hSpace="48" w:vSpace="566" w:wrap="none" w:hAnchor="page" w:x="1282" w:y="70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popelnice 110 a 120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082" w:h="787" w:hSpace="48" w:vSpace="566" w:wrap="none" w:hAnchor="page" w:x="1282" w:y="70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popelnice 240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082" w:h="787" w:hSpace="48" w:vSpace="566" w:wrap="none" w:hAnchor="page" w:x="1282" w:y="70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kontejner 1.1001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082" w:h="787" w:hSpace="48" w:vSpace="566" w:wrap="none" w:hAnchor="page" w:x="1282" w:y="70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Počet nádob (ks)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082" w:h="787" w:hSpace="48" w:vSpace="566" w:wrap="none" w:hAnchor="page" w:x="1282" w:y="70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082" w:h="787" w:hSpace="48" w:vSpace="566" w:wrap="none" w:hAnchor="page" w:x="1282" w:y="70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082" w:h="787" w:hSpace="48" w:vSpace="566" w:wrap="none" w:hAnchor="page" w:x="1282" w:y="70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framePr w:w="9082" w:h="787" w:hSpace="48" w:vSpace="566" w:wrap="none" w:hAnchor="page" w:x="1282" w:y="7028"/>
        <w:widowControl w:val="0"/>
        <w:spacing w:line="1" w:lineRule="exact"/>
      </w:pPr>
    </w:p>
    <w:p>
      <w:pPr>
        <w:pStyle w:val="Style27"/>
        <w:keepNext w:val="0"/>
        <w:keepLines w:val="0"/>
        <w:framePr w:w="1445" w:h="326" w:wrap="none" w:hAnchor="page" w:x="1234" w:y="6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Počty nádob :</w:t>
      </w:r>
    </w:p>
    <w:p>
      <w:pPr>
        <w:pStyle w:val="Style27"/>
        <w:keepNext w:val="0"/>
        <w:keepLines w:val="0"/>
        <w:framePr w:w="7349" w:h="595" w:wrap="none" w:hAnchor="page" w:x="1234" w:y="7820"/>
        <w:widowControl w:val="0"/>
        <w:shd w:val="clear" w:color="auto" w:fill="auto"/>
        <w:tabs>
          <w:tab w:pos="60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Bystřice nad Pernštejnem 3 ks ( 1.1.2019 - 31.12.2019 )</w:t>
        <w:tab/>
        <w:t>7 860,00 Kč</w:t>
      </w:r>
    </w:p>
    <w:p>
      <w:pPr>
        <w:pStyle w:val="Style27"/>
        <w:keepNext w:val="0"/>
        <w:keepLines w:val="0"/>
        <w:framePr w:w="7349" w:h="595" w:wrap="none" w:hAnchor="page" w:x="1234" w:y="7820"/>
        <w:widowControl w:val="0"/>
        <w:shd w:val="clear" w:color="auto" w:fill="auto"/>
        <w:tabs>
          <w:tab w:pos="2597" w:val="left"/>
          <w:tab w:pos="6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Skládka Jimramov</w:t>
        <w:tab/>
        <w:t>1 ks ( 1.1.2019 - 31.3.2019 )</w:t>
        <w:tab/>
        <w:t>655,00 Kč</w:t>
      </w:r>
    </w:p>
    <w:tbl>
      <w:tblPr>
        <w:tblOverlap w:val="never"/>
        <w:jc w:val="left"/>
        <w:tblLayout w:type="fixed"/>
      </w:tblPr>
      <w:tblGrid>
        <w:gridCol w:w="4315"/>
        <w:gridCol w:w="2707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22" w:h="418" w:hSpace="10" w:vSpace="566" w:wrap="none" w:hAnchor="page" w:x="1364" w:y="91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Fakturovaná cena za SKO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22" w:h="418" w:hSpace="10" w:vSpace="566" w:wrap="none" w:hAnchor="page" w:x="1364" w:y="91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8 515,00 Kč</w:t>
            </w:r>
          </w:p>
        </w:tc>
      </w:tr>
    </w:tbl>
    <w:p>
      <w:pPr>
        <w:framePr w:w="7022" w:h="418" w:hSpace="10" w:vSpace="566" w:wrap="none" w:hAnchor="page" w:x="1364" w:y="9178"/>
        <w:widowControl w:val="0"/>
        <w:spacing w:line="1" w:lineRule="exact"/>
      </w:pPr>
    </w:p>
    <w:p>
      <w:pPr>
        <w:pStyle w:val="Style27"/>
        <w:keepNext w:val="0"/>
        <w:keepLines w:val="0"/>
        <w:framePr w:w="1709" w:h="317" w:wrap="none" w:hAnchor="page" w:x="1354" w:y="86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Smluvená cena :</w:t>
      </w:r>
    </w:p>
    <w:p>
      <w:pPr>
        <w:pStyle w:val="Style20"/>
        <w:keepNext/>
        <w:keepLines/>
        <w:framePr w:w="8688" w:h="2832" w:wrap="none" w:hAnchor="page" w:x="1334" w:y="10436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separovaného odpadu - papír a plasty</w:t>
      </w:r>
      <w:bookmarkEnd w:id="15"/>
      <w:bookmarkEnd w:id="16"/>
    </w:p>
    <w:p>
      <w:pPr>
        <w:pStyle w:val="Style12"/>
        <w:keepNext w:val="0"/>
        <w:keepLines w:val="0"/>
        <w:framePr w:w="8688" w:h="2832" w:wrap="none" w:hAnchor="page" w:x="1334" w:y="10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využívá systému sběru a svozu separovaného odpadu individuálně odvozem separovaného odpadu v pravidelných termínech z nahlášené provozovny, případně vlastní dopravou na sběrný dvůr</w:t>
      </w:r>
    </w:p>
    <w:p>
      <w:pPr>
        <w:pStyle w:val="Style12"/>
        <w:keepNext w:val="0"/>
        <w:keepLines w:val="0"/>
        <w:framePr w:w="8688" w:h="2832" w:wrap="none" w:hAnchor="page" w:x="1334" w:y="10436"/>
        <w:widowControl w:val="0"/>
        <w:numPr>
          <w:ilvl w:val="0"/>
          <w:numId w:val="1"/>
        </w:numPr>
        <w:shd w:val="clear" w:color="auto" w:fill="auto"/>
        <w:tabs>
          <w:tab w:pos="24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vlastní doprava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- platba odpadů dle ceníku na sběrném dvoře v Bystřici n.P.</w:t>
      </w:r>
    </w:p>
    <w:p>
      <w:pPr>
        <w:pStyle w:val="Style12"/>
        <w:keepNext w:val="0"/>
        <w:keepLines w:val="0"/>
        <w:framePr w:w="8688" w:h="2832" w:wrap="none" w:hAnchor="page" w:x="1334" w:y="10436"/>
        <w:widowControl w:val="0"/>
        <w:numPr>
          <w:ilvl w:val="0"/>
          <w:numId w:val="1"/>
        </w:numPr>
        <w:shd w:val="clear" w:color="auto" w:fill="auto"/>
        <w:tabs>
          <w:tab w:pos="26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doprava TS města a.s.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- 1 x týdně - 6.500 Kč za rok</w:t>
      </w:r>
    </w:p>
    <w:p>
      <w:pPr>
        <w:pStyle w:val="Style12"/>
        <w:keepNext w:val="0"/>
        <w:keepLines w:val="0"/>
        <w:framePr w:w="8688" w:h="2832" w:wrap="none" w:hAnchor="page" w:x="1334" w:y="10436"/>
        <w:widowControl w:val="0"/>
        <w:shd w:val="clear" w:color="auto" w:fill="auto"/>
        <w:bidi w:val="0"/>
        <w:spacing w:before="0" w:after="0" w:line="240" w:lineRule="auto"/>
        <w:ind w:left="25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- 1 x za 14 dní - 4.600 Kč za rok</w:t>
      </w:r>
    </w:p>
    <w:p>
      <w:pPr>
        <w:pStyle w:val="Style12"/>
        <w:keepNext w:val="0"/>
        <w:keepLines w:val="0"/>
        <w:framePr w:w="8688" w:h="2832" w:wrap="none" w:hAnchor="page" w:x="1334" w:y="10436"/>
        <w:widowControl w:val="0"/>
        <w:shd w:val="clear" w:color="auto" w:fill="auto"/>
        <w:bidi w:val="0"/>
        <w:spacing w:before="0" w:after="0" w:line="240" w:lineRule="auto"/>
        <w:ind w:left="42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zahrnuje náklady na sběr a svoz separovaného odpadu. Náklady spojené se zpracováním, příp. odstranění odpadu se řídí aktuálním výkupním ceníkem a budou účtovány dle skutečného svezeného množství papíru a plastů.</w:t>
      </w:r>
    </w:p>
    <w:p>
      <w:pPr>
        <w:pStyle w:val="Style12"/>
        <w:keepNext w:val="0"/>
        <w:keepLines w:val="0"/>
        <w:framePr w:w="3998" w:h="326" w:wrap="none" w:hAnchor="page" w:x="1512" w:y="13556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Fakturovaná cena za svoz plastů a papíru</w:t>
      </w:r>
    </w:p>
    <w:p>
      <w:pPr>
        <w:pStyle w:val="Style12"/>
        <w:keepNext w:val="0"/>
        <w:keepLines w:val="0"/>
        <w:framePr w:w="811" w:h="317" w:wrap="none" w:hAnchor="page" w:x="6614" w:y="13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0,00 Kč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846455</wp:posOffset>
            </wp:positionH>
            <wp:positionV relativeFrom="margin">
              <wp:posOffset>0</wp:posOffset>
            </wp:positionV>
            <wp:extent cx="926465" cy="60325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26465" cy="6032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778" w:left="978" w:right="1350" w:bottom="1020" w:header="35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framePr w:w="2880" w:h="614" w:wrap="none" w:hAnchor="page" w:x="4900" w:y="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TS městu a,$,</w:t>
      </w:r>
      <w:bookmarkEnd w:id="17"/>
      <w:bookmarkEnd w:id="18"/>
    </w:p>
    <w:p>
      <w:pPr>
        <w:widowControl w:val="0"/>
        <w:spacing w:line="360" w:lineRule="exact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894715</wp:posOffset>
            </wp:positionH>
            <wp:positionV relativeFrom="margin">
              <wp:posOffset>0</wp:posOffset>
            </wp:positionV>
            <wp:extent cx="926465" cy="70104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26465" cy="701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  <w:sectPr>
          <w:footerReference w:type="default" r:id="rId15"/>
          <w:footnotePr>
            <w:pos w:val="pageBottom"/>
            <w:numFmt w:val="decimal"/>
            <w:numRestart w:val="continuous"/>
          </w:footnotePr>
          <w:pgSz w:w="11900" w:h="16840"/>
          <w:pgMar w:top="452" w:left="1049" w:right="1178" w:bottom="1187" w:header="24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52" w:left="0" w:right="0" w:bottom="8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09" w:lineRule="auto"/>
        <w:ind w:left="0" w:right="0" w:firstLine="0"/>
        <w:jc w:val="left"/>
      </w:pPr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Využívání nádob na separovaný odpad - sklo bílé a barevné</w:t>
      </w:r>
      <w:bookmarkEnd w:id="19"/>
      <w:bookmarkEnd w:id="2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využívá systému sběru a svozu separovaného odpadu stanoveným obcí využíváním nádob na separovaný odpad.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sklo bílé a barevné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- úhrada za zapojení do systému ve výši 1.000 Kč za rok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zahrnuje náklady na sběr, svoz a likvidaci separovaného odpadu.</w:t>
      </w:r>
    </w:p>
    <w:tbl>
      <w:tblPr>
        <w:tblOverlap w:val="never"/>
        <w:jc w:val="left"/>
        <w:tblLayout w:type="fixed"/>
      </w:tblPr>
      <w:tblGrid>
        <w:gridCol w:w="4315"/>
        <w:gridCol w:w="2707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Fakturovaná cena za využití nádob na sklo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0,00 Kč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2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Nebezpečný odpad</w:t>
      </w:r>
      <w:bookmarkEnd w:id="21"/>
      <w:bookmarkEnd w:id="2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Možnost odevzdání na sběrný dvůr v Bystřici n.P.. Ceny budou účtovány dle aktuálního ceníku nebezpečných odpadů dle odevzdaného množství.</w:t>
      </w:r>
    </w:p>
    <w:p>
      <w:pPr>
        <w:pStyle w:val="Style2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09" w:lineRule="auto"/>
        <w:ind w:left="0" w:right="0" w:firstLine="0"/>
        <w:jc w:val="left"/>
      </w:pPr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odpad</w:t>
      </w:r>
      <w:bookmarkEnd w:id="23"/>
      <w:bookmarkEnd w:id="2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Možnost odevzdání na sběrný dvůr v Bystřici n.P.. Ceny budou účtovány dle aktuálního ceníku sběrného dvora dle odevzdaného množství.</w:t>
      </w:r>
    </w:p>
    <w:p>
      <w:pPr>
        <w:pStyle w:val="Style2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09" w:lineRule="auto"/>
        <w:ind w:left="0" w:right="0" w:firstLine="0"/>
        <w:jc w:val="left"/>
      </w:pPr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Roční hlášení a vedení průběžné evidence odpadů</w:t>
      </w:r>
      <w:bookmarkEnd w:id="25"/>
      <w:bookmarkEnd w:id="2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Zahrnuje možnost vypracování ročního hlášení pro odbor životního prostředí a vedení průběžné evidence odpadů vyprodukovaných objednatelem a odevzdaných zhotoviteli (1 850,00 Kč/rok).</w:t>
      </w:r>
    </w:p>
    <w:tbl>
      <w:tblPr>
        <w:tblOverlap w:val="never"/>
        <w:jc w:val="left"/>
        <w:tblLayout w:type="fixed"/>
      </w:tblPr>
      <w:tblGrid>
        <w:gridCol w:w="4325"/>
        <w:gridCol w:w="2717"/>
      </w:tblGrid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Roční hlášení, průběžná evidence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0,00 Kč</w:t>
            </w:r>
          </w:p>
        </w:tc>
      </w:tr>
      <w:tr>
        <w:trPr>
          <w:trHeight w:val="893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Cena celkem k fakturaci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Cena k fakturaci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8 515,00 Kč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Veškeré ceny zde uvedené jsou bez DPH.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Platnost a účinnost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Příloha je platná ke dni podpisu a účinnost je sjednána od 1.1.2020.</w:t>
      </w:r>
    </w:p>
    <w:p>
      <w:pPr>
        <w:widowControl w:val="0"/>
        <w:spacing w:after="5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0" w:line="240" w:lineRule="auto"/>
        <w:ind w:left="0" w:right="0" w:firstLine="0"/>
        <w:jc w:val="left"/>
        <w:rPr>
          <w:sz w:val="20"/>
          <w:szCs w:val="20"/>
        </w:rPr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4101465</wp:posOffset>
            </wp:positionH>
            <wp:positionV relativeFrom="paragraph">
              <wp:posOffset>88900</wp:posOffset>
            </wp:positionV>
            <wp:extent cx="1060450" cy="250190"/>
            <wp:wrapSquare wrapText="left"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1060450" cy="2501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Bystřici nad Pernštejnem, dne 17.1.2020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590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 objednatele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předseda představenstva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548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Parafa zhc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5980" w:right="0" w:firstLine="0"/>
        <w:jc w:val="left"/>
        <w:rPr>
          <w:sz w:val="48"/>
          <w:szCs w:val="48"/>
        </w:rPr>
      </w:pPr>
      <w:r>
        <w:rPr>
          <w:i/>
          <w:iCs/>
          <w:color w:val="5070BB"/>
          <w:spacing w:val="0"/>
          <w:w w:val="100"/>
          <w:position w:val="0"/>
          <w:sz w:val="48"/>
          <w:szCs w:val="48"/>
          <w:shd w:val="clear" w:color="auto" w:fill="auto"/>
          <w:lang w:val="cs-CZ" w:eastAsia="cs-CZ" w:bidi="cs-CZ"/>
        </w:rPr>
        <w:t>7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52" w:left="1049" w:right="1178" w:bottom="82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2411730</wp:posOffset>
              </wp:positionH>
              <wp:positionV relativeFrom="page">
                <wp:posOffset>9902190</wp:posOffset>
              </wp:positionV>
              <wp:extent cx="1210310" cy="32321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031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Číslo smlouvy: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Dodatek č. 11 Smlouvy o dílo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č. 120/2010/B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89.90000000000001pt;margin-top:779.70000000000005pt;width:95.299999999999997pt;height:25.44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smlouvy: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Dodatek č. 11 Smlouvy o dílo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č. 120/2010/B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4154805</wp:posOffset>
              </wp:positionH>
              <wp:positionV relativeFrom="page">
                <wp:posOffset>9920605</wp:posOffset>
              </wp:positionV>
              <wp:extent cx="1819910" cy="9461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991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Parafa z,</w:t>
                            <w:tab/>
                            <w:t>Parafa ob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27.14999999999998pt;margin-top:781.14999999999998pt;width:143.30000000000001pt;height:7.450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Parafa z,</w:t>
                      <w:tab/>
                      <w:t>Parafa 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1018540</wp:posOffset>
              </wp:positionH>
              <wp:positionV relativeFrom="page">
                <wp:posOffset>10130790</wp:posOffset>
              </wp:positionV>
              <wp:extent cx="856615" cy="9144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0.200000000000003pt;margin-top:797.70000000000005pt;width:67.450000000000003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10332085</wp:posOffset>
              </wp:positionV>
              <wp:extent cx="792480" cy="1003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248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Strana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55.10000000000002pt;margin-top:813.54999999999995pt;width:62.399999999999999pt;height:7.9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2367915</wp:posOffset>
              </wp:positionH>
              <wp:positionV relativeFrom="page">
                <wp:posOffset>9982200</wp:posOffset>
              </wp:positionV>
              <wp:extent cx="1207135" cy="32004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07135" cy="320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Číslo smlouvy: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Dodatek č. 11 Smlouvy o dílo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č. 120/2010/B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86.44999999999999pt;margin-top:786.pt;width:95.049999999999997pt;height:25.199999999999999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smlouvy: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Dodatek č. 11 Smlouvy o dílo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č. 120/2010/B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9988550</wp:posOffset>
              </wp:positionV>
              <wp:extent cx="1813560" cy="9779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356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Parafa </w:t>
                          </w:r>
                          <w:r>
                            <w:rPr>
                              <w:i/>
                              <w:iCs/>
                              <w:color w:val="294779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zhotoyilgl</w:t>
                            <w:tab/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Parafa ob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23.pt;margin-top:786.5pt;width:142.80000000000001pt;height:7.7000000000000002pt;z-index:-18874405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Parafa </w:t>
                    </w:r>
                    <w:r>
                      <w:rPr>
                        <w:i/>
                        <w:iCs/>
                        <w:color w:val="294779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zhotoyilgl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Parafa 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10217150</wp:posOffset>
              </wp:positionV>
              <wp:extent cx="853440" cy="8826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34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7.pt;margin-top:804.5pt;width:67.200000000000003pt;height:6.9500000000000002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5723255</wp:posOffset>
              </wp:positionH>
              <wp:positionV relativeFrom="page">
                <wp:posOffset>10408920</wp:posOffset>
              </wp:positionV>
              <wp:extent cx="795655" cy="9144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5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Strana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(Centem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50.64999999999998pt;margin-top:819.60000000000002pt;width:62.649999999999999pt;height:7.2000000000000002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(Centem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2413000</wp:posOffset>
              </wp:positionH>
              <wp:positionV relativeFrom="page">
                <wp:posOffset>9876155</wp:posOffset>
              </wp:positionV>
              <wp:extent cx="1210310" cy="32321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031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Číslo smlouvy: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Dodatek č. 11 Smlouvy o dílo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č. 120/2010/B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190.pt;margin-top:777.64999999999998pt;width:95.299999999999997pt;height:25.449999999999999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smlouvy: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Dodatek č. 11 Smlouvy o dílo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č. 120/2010/B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5567680</wp:posOffset>
              </wp:positionH>
              <wp:positionV relativeFrom="page">
                <wp:posOffset>9888220</wp:posOffset>
              </wp:positionV>
              <wp:extent cx="377825" cy="9144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Parafa ol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38.39999999999998pt;margin-top:778.60000000000002pt;width:29.75pt;height:7.2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Parafa 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1029335</wp:posOffset>
              </wp:positionH>
              <wp:positionV relativeFrom="page">
                <wp:posOffset>10107930</wp:posOffset>
              </wp:positionV>
              <wp:extent cx="850265" cy="9461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26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81.049999999999997pt;margin-top:795.89999999999998pt;width:66.950000000000003pt;height:7.45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5771515</wp:posOffset>
              </wp:positionH>
              <wp:positionV relativeFrom="page">
                <wp:posOffset>10308590</wp:posOffset>
              </wp:positionV>
              <wp:extent cx="792480" cy="8826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248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Strana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[celkem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54.44999999999999pt;margin-top:811.70000000000005pt;width:62.399999999999999pt;height:6.95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[celkem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/>
      <w:iCs/>
      <w:smallCaps w:val="0"/>
      <w:strike w:val="0"/>
      <w:w w:val="80"/>
      <w:sz w:val="50"/>
      <w:szCs w:val="5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Jiné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Nadpis #3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24">
    <w:name w:val="Nadpis #2_"/>
    <w:basedOn w:val="DefaultParagraphFont"/>
    <w:link w:val="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6">
    <w:name w:val="Číslo nadpisu #3_"/>
    <w:basedOn w:val="DefaultParagraphFont"/>
    <w:link w:val="Styl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8">
    <w:name w:val="Titulek tabulky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/>
      <w:iCs/>
      <w:smallCaps w:val="0"/>
      <w:strike w:val="0"/>
      <w:w w:val="80"/>
      <w:sz w:val="50"/>
      <w:szCs w:val="5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Nadpis #3"/>
    <w:basedOn w:val="Normal"/>
    <w:link w:val="CharStyle21"/>
    <w:pPr>
      <w:widowControl w:val="0"/>
      <w:shd w:val="clear" w:color="auto" w:fill="FFFFFF"/>
      <w:spacing w:line="211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FFFFFF"/>
      <w:spacing w:after="2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5">
    <w:name w:val="Číslo nadpisu #3"/>
    <w:basedOn w:val="Normal"/>
    <w:link w:val="CharStyle26"/>
    <w:pPr>
      <w:widowControl w:val="0"/>
      <w:shd w:val="clear" w:color="auto" w:fill="FFFFFF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7">
    <w:name w:val="Titulek tabulky"/>
    <w:basedOn w:val="Normal"/>
    <w:link w:val="CharStyle2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footer" Target="footer3.xm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/Relationships>
</file>