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80" w:rsidRDefault="00576A80" w:rsidP="00576A80">
      <w:pPr>
        <w:pStyle w:val="Default"/>
      </w:pPr>
    </w:p>
    <w:p w:rsidR="00576A80" w:rsidRDefault="00576A80" w:rsidP="00576A80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Ministerstvo kultury </w:t>
      </w:r>
    </w:p>
    <w:p w:rsidR="00576A80" w:rsidRDefault="00576A80" w:rsidP="00576A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Maltézské nám. 471/1, Praha l – Malá Strana </w:t>
      </w:r>
    </w:p>
    <w:p w:rsidR="00576A80" w:rsidRDefault="00576A80" w:rsidP="00576A8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vydává podle § 14 odst. 4 zákona č.218/2000 Sb., o rozpočtových pravidlech a o změně některých souvisejících zákonů (rozpočtová pravidla), v platném znění </w:t>
      </w:r>
    </w:p>
    <w:p w:rsidR="00576A80" w:rsidRDefault="00576A80" w:rsidP="00576A80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Rozhodnutí č. j. MK 19147/2020 OULK </w:t>
      </w:r>
    </w:p>
    <w:p w:rsidR="00576A80" w:rsidRDefault="00576A80" w:rsidP="00576A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 poskytnutí dotace ze státního rozpočtu ČR na rok 2020. </w:t>
      </w:r>
    </w:p>
    <w:p w:rsidR="00576A80" w:rsidRDefault="00576A80" w:rsidP="00576A8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Označení grantu/rok/číslo žádosti: VISK3/2020/067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792"/>
        <w:gridCol w:w="792"/>
        <w:gridCol w:w="1583"/>
        <w:gridCol w:w="1584"/>
        <w:gridCol w:w="791"/>
        <w:gridCol w:w="792"/>
        <w:gridCol w:w="1584"/>
      </w:tblGrid>
      <w:tr w:rsidR="00576A80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rPr>
                <w:sz w:val="18"/>
                <w:szCs w:val="18"/>
              </w:rPr>
              <w:t xml:space="preserve">Spisová značka: MK-S 2802/2020 OULK </w:t>
            </w:r>
            <w:r>
              <w:t xml:space="preserve">Příjemce dotace: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Knihovna města Mladá Boleslav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IČ: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70565872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Ulice: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Václava Klementa 1229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375" w:type="dxa"/>
            <w:gridSpan w:val="2"/>
          </w:tcPr>
          <w:p w:rsidR="00576A80" w:rsidRDefault="00576A80">
            <w:pPr>
              <w:pStyle w:val="Default"/>
            </w:pPr>
            <w:r>
              <w:t xml:space="preserve">Město: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</w:pPr>
            <w:r>
              <w:t xml:space="preserve">Mladá Boleslav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PSČ: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</w:pPr>
            <w:r>
              <w:t xml:space="preserve">29301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375" w:type="dxa"/>
            <w:gridSpan w:val="2"/>
          </w:tcPr>
          <w:p w:rsidR="00576A80" w:rsidRDefault="00576A80">
            <w:pPr>
              <w:pStyle w:val="Default"/>
            </w:pPr>
            <w:r>
              <w:t xml:space="preserve">Okres: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</w:pPr>
            <w:r>
              <w:t xml:space="preserve">Mladá Boleslav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Kód okresu: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</w:pPr>
            <w:r>
              <w:t xml:space="preserve">207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375" w:type="dxa"/>
            <w:gridSpan w:val="2"/>
          </w:tcPr>
          <w:p w:rsidR="00576A80" w:rsidRDefault="00576A80">
            <w:pPr>
              <w:pStyle w:val="Default"/>
            </w:pPr>
            <w:r>
              <w:t xml:space="preserve">Kraj: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</w:pPr>
            <w:r>
              <w:t xml:space="preserve">Středočeský kraj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Kód kraje: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</w:pPr>
            <w:r>
              <w:t xml:space="preserve">CZ020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Statutární zástupce: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Věra Kovaříková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Název programu: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Veřejné informační služby knihoven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podprogramu: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VISK 3 - Informační centra veřejných knihoven - ICEKNI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Název projektu: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Kamerová lupa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Účelové určení dotace: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Kamerová lupa s hlasovým výstupem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501" w:type="dxa"/>
            <w:gridSpan w:val="8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Zvláštní podmínky čerpání dotace: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Výše dotace: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78000 Kč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Dotace bude poskytnuta: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transférem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přes krajský úřad do rozpočtu obce/města (zřizovatele)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Termín konání projektu: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</w:pPr>
            <w:r>
              <w:t xml:space="preserve">v průběhu roku 2020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501" w:type="dxa"/>
            <w:gridSpan w:val="8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údaje v Kč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167" w:type="dxa"/>
            <w:gridSpan w:val="3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Celkový plánovaný rozpočet projektu: </w:t>
            </w:r>
          </w:p>
        </w:tc>
        <w:tc>
          <w:tcPr>
            <w:tcW w:w="3167" w:type="dxa"/>
            <w:gridSpan w:val="2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Rozpočet dotace: </w:t>
            </w:r>
          </w:p>
        </w:tc>
        <w:tc>
          <w:tcPr>
            <w:tcW w:w="3167" w:type="dxa"/>
            <w:gridSpan w:val="3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Dotace bude zaslána dle platebního kalendáře takto: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3167" w:type="dxa"/>
            <w:gridSpan w:val="3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náklady: </w:t>
            </w:r>
          </w:p>
        </w:tc>
        <w:tc>
          <w:tcPr>
            <w:tcW w:w="3167" w:type="dxa"/>
            <w:gridSpan w:val="2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78000 </w:t>
            </w:r>
          </w:p>
        </w:tc>
        <w:tc>
          <w:tcPr>
            <w:tcW w:w="3167" w:type="dxa"/>
            <w:gridSpan w:val="3"/>
          </w:tcPr>
          <w:p w:rsidR="00576A80" w:rsidRDefault="00576A80">
            <w:pPr>
              <w:pStyle w:val="Default"/>
            </w:pPr>
            <w:r>
              <w:t xml:space="preserve">I. čtvrtletí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375" w:type="dxa"/>
            <w:gridSpan w:val="2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běžné náklady: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0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</w:pPr>
            <w:r>
              <w:t xml:space="preserve">II. čtvrtletí </w:t>
            </w:r>
          </w:p>
        </w:tc>
        <w:tc>
          <w:tcPr>
            <w:tcW w:w="2375" w:type="dxa"/>
            <w:gridSpan w:val="2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78000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501" w:type="dxa"/>
            <w:gridSpan w:val="8"/>
          </w:tcPr>
          <w:p w:rsidR="00576A80" w:rsidRDefault="00576A80">
            <w:pPr>
              <w:pStyle w:val="Default"/>
            </w:pPr>
            <w:r>
              <w:t xml:space="preserve">III. čtvrtletí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9501" w:type="dxa"/>
            <w:gridSpan w:val="8"/>
          </w:tcPr>
          <w:p w:rsidR="00576A80" w:rsidRDefault="00576A80">
            <w:pPr>
              <w:pStyle w:val="Default"/>
            </w:pPr>
            <w:r>
              <w:t xml:space="preserve">IV. čtvrtletí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583" w:type="dxa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náklady: </w:t>
            </w:r>
          </w:p>
        </w:tc>
        <w:tc>
          <w:tcPr>
            <w:tcW w:w="1583" w:type="dxa"/>
            <w:gridSpan w:val="2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112600 </w:t>
            </w:r>
          </w:p>
        </w:tc>
        <w:tc>
          <w:tcPr>
            <w:tcW w:w="1583" w:type="dxa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Celkem: </w:t>
            </w:r>
          </w:p>
        </w:tc>
        <w:tc>
          <w:tcPr>
            <w:tcW w:w="1583" w:type="dxa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78000 </w:t>
            </w:r>
          </w:p>
        </w:tc>
        <w:tc>
          <w:tcPr>
            <w:tcW w:w="1583" w:type="dxa"/>
            <w:gridSpan w:val="2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Celkem: </w:t>
            </w:r>
          </w:p>
        </w:tc>
        <w:tc>
          <w:tcPr>
            <w:tcW w:w="1583" w:type="dxa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78000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750" w:type="dxa"/>
            <w:gridSpan w:val="4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Podíl dotace ze státního rozpočtu na financování projektu (v % jako max. podíl): </w:t>
            </w:r>
          </w:p>
        </w:tc>
        <w:tc>
          <w:tcPr>
            <w:tcW w:w="4750" w:type="dxa"/>
            <w:gridSpan w:val="4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70% z celkových skutečných nákladů na jeho realizaci </w:t>
            </w:r>
          </w:p>
        </w:tc>
      </w:tr>
      <w:tr w:rsidR="00576A8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501" w:type="dxa"/>
            <w:gridSpan w:val="8"/>
          </w:tcPr>
          <w:p w:rsidR="00576A80" w:rsidRDefault="00576A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Nedílnou součástí výroku tohoto rozhodnutí jsou přiložené Podmínky přidělení dotace, povinnosti příjemce dotace a podmínky zúčtování dotace. </w:t>
            </w:r>
          </w:p>
        </w:tc>
      </w:tr>
    </w:tbl>
    <w:p w:rsidR="00E823EB" w:rsidRDefault="00E823EB"/>
    <w:p w:rsidR="00017E83" w:rsidRDefault="00017E83" w:rsidP="00017E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Podmínky přidělení dotace, povinnosti příjemce dotace </w:t>
      </w:r>
    </w:p>
    <w:p w:rsidR="00017E83" w:rsidRDefault="00017E83" w:rsidP="00017E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podmínky zúčtování dotace </w:t>
      </w:r>
    </w:p>
    <w:p w:rsidR="00017E83" w:rsidRDefault="00017E83" w:rsidP="00017E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VISK 3 na rok 2020 </w:t>
      </w:r>
    </w:p>
    <w:p w:rsidR="00017E83" w:rsidRDefault="00017E83" w:rsidP="00017E83">
      <w:pPr>
        <w:pStyle w:val="Default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1. Příjemce je povinen použít dotaci výlučně na účel uvedený v tomto rozhodnutí. Přitom je povinen dodržet výši a skladbu nákladů týkajících se poskytnuté dotace tak, jak jsou v tomto rozhodnutí uvedeny; přitom je oprávněn hradit z dotace i ty náklady projektu, které vznikly v období, na které byla dotace poskytnuta, předtím, než obdržel rozhodnutí o poskytnutí dotace. </w:t>
      </w:r>
    </w:p>
    <w:p w:rsidR="00017E83" w:rsidRDefault="00017E83" w:rsidP="00017E83">
      <w:pPr>
        <w:pStyle w:val="Default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2. Příjemce je povinen </w:t>
      </w:r>
      <w:r>
        <w:rPr>
          <w:b/>
          <w:bCs/>
          <w:sz w:val="22"/>
          <w:szCs w:val="22"/>
        </w:rPr>
        <w:t>celý projekt zrealizovat ve schváleném rozsahu a kvalitě nejpozději do 31. 12. 2020</w:t>
      </w:r>
      <w:r>
        <w:rPr>
          <w:sz w:val="22"/>
          <w:szCs w:val="22"/>
        </w:rPr>
        <w:t xml:space="preserve">. </w:t>
      </w:r>
    </w:p>
    <w:p w:rsidR="00017E83" w:rsidRDefault="00017E83" w:rsidP="00017E83">
      <w:pPr>
        <w:pStyle w:val="Default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Příjemce je povinen použít dotaci nejpozději do 31. 12. 2020</w:t>
      </w:r>
      <w:r>
        <w:rPr>
          <w:sz w:val="22"/>
          <w:szCs w:val="22"/>
        </w:rPr>
        <w:t xml:space="preserve">, přičemž použitím dotace se rozumí zaplacení plateb hrazených z dotace v hotovosti a poukázání plateb hrazených z dotace bezhotovostně. </w:t>
      </w:r>
      <w:r>
        <w:rPr>
          <w:sz w:val="22"/>
          <w:szCs w:val="22"/>
        </w:rPr>
        <w:lastRenderedPageBreak/>
        <w:t xml:space="preserve">Odměny z dohod o provedení práce a z dohod o pracovní činnosti lze však hradit, v souladu se zákonem č. 262/2006 Sb., zákoník práce, v platném znění, nejpozději v lednu 2021. </w:t>
      </w:r>
    </w:p>
    <w:p w:rsidR="00017E83" w:rsidRDefault="00017E83" w:rsidP="00017E83">
      <w:pPr>
        <w:pStyle w:val="Default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4. Příjemce je povinen písemně oznámit Ministerstvu kultury jakoukoli </w:t>
      </w:r>
      <w:r>
        <w:rPr>
          <w:b/>
          <w:bCs/>
          <w:sz w:val="22"/>
          <w:szCs w:val="22"/>
        </w:rPr>
        <w:t xml:space="preserve">změnu projektu </w:t>
      </w:r>
      <w:r>
        <w:rPr>
          <w:sz w:val="22"/>
          <w:szCs w:val="22"/>
        </w:rPr>
        <w:t xml:space="preserve">(včetně zaslání /aktualizovaného rozpočtu projektu), a to předem a bez zbytečného odkladu; není-li možné změnu projektu oznámit předem, je příjemce povinen oznámit změnu bez zbytečného odkladu poté, co se o změně dozví, nejpozději však do 10. 12. 2020. Povinnost podle tohoto bodu se nevztahuje na snížení celkových nákladů projektu v návaznosti na výši přidělené dotace (tj. v případě, kdy je přidělená dotace nižší než požadavek) a nevztahuje se na takové změny rozpočtu projektu, které se nedotýkají </w:t>
      </w:r>
      <w:r>
        <w:rPr>
          <w:b/>
          <w:bCs/>
          <w:sz w:val="22"/>
          <w:szCs w:val="22"/>
        </w:rPr>
        <w:t>struktury dotace stanovené tímto rozhodnutím</w:t>
      </w:r>
      <w:r>
        <w:rPr>
          <w:sz w:val="22"/>
          <w:szCs w:val="22"/>
        </w:rPr>
        <w:t xml:space="preserve">. </w:t>
      </w:r>
    </w:p>
    <w:p w:rsidR="00017E83" w:rsidRDefault="00017E83" w:rsidP="00017E83">
      <w:pPr>
        <w:pStyle w:val="Default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>Z dotace je možné krýt maximálně 70 % celkových skutečných nákladů na realizaci projektu</w:t>
      </w:r>
      <w:r>
        <w:rPr>
          <w:sz w:val="22"/>
          <w:szCs w:val="22"/>
        </w:rPr>
        <w:t xml:space="preserve">. Pokud Ministerstvo kultury poskytne na projekt více dotací (třeba v gesci různých útvarů), tyto dotace se pro účely maximálního podílu podle tohoto bodu sčítají. Minimálně 30 % celkových skutečných nákladů na realizaci projektu je příjemce povinen uhradit z vlastních zdrojů. Příjemce dotace je povinen užívat zařízení a vybavení pořízené z dotace Ministerstva kultury pro stanovené účely HW (mimo server) minimálně po dobu 3 let, server a SW (včetně AKS) minimálně po dobu 5 let, pokud to nevylučují okolnosti hodné zvláštního zřetele. </w:t>
      </w:r>
    </w:p>
    <w:p w:rsidR="00017E83" w:rsidRDefault="00017E83" w:rsidP="00017E83">
      <w:pPr>
        <w:pStyle w:val="Default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6. Příjemce je povinen po obdržení tohoto rozhodnutí uvádět na všech materiálech vytvořených v rámci projektu nebo souvisejících s jeho realizací, že se tento projekt uskutečňuje za finanční podpory Ministerstva kultury. </w:t>
      </w:r>
    </w:p>
    <w:p w:rsidR="00017E83" w:rsidRDefault="00017E83" w:rsidP="00017E83">
      <w:pPr>
        <w:pStyle w:val="Default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7. Příjemce je povinen písemně oznámit Ministerstvu kultury </w:t>
      </w:r>
      <w:r>
        <w:rPr>
          <w:b/>
          <w:bCs/>
          <w:sz w:val="22"/>
          <w:szCs w:val="22"/>
        </w:rPr>
        <w:t xml:space="preserve">změnu všech identifikačních údajů </w:t>
      </w:r>
      <w:r>
        <w:rPr>
          <w:sz w:val="22"/>
          <w:szCs w:val="22"/>
        </w:rPr>
        <w:t xml:space="preserve">uvedených v předložené žádosti v průběhu období, na které byla dotace poskytnuta, a to bez zbytečného odkladu, nejpozději však do 14 dnů ode dne, kdy se o této změně dozvěděl. </w:t>
      </w:r>
    </w:p>
    <w:p w:rsidR="00017E83" w:rsidRDefault="00017E83" w:rsidP="00017E83">
      <w:pPr>
        <w:pStyle w:val="Default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8. Příjemce je povinen zaslat na vyžádání Ministerstvu kultury roční zprávu o svých aktivitách v rozpočtovém období, v němž mu byla dotace poskytnuta. V roční zprávě musí být uveden přehled všech akcí v daném kalendářním roce, přehled o jejich nákladech a výnosech, údaje o dotacích od orgánů státní správy a samosprávy, v případě spolků počet členů. </w:t>
      </w:r>
    </w:p>
    <w:p w:rsidR="00017E83" w:rsidRDefault="00017E83" w:rsidP="00017E83">
      <w:pPr>
        <w:pStyle w:val="Default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9. Příjemce je před případným zánikem povinen přednostně vypořádat vztahy se státním rozpočtem. </w:t>
      </w:r>
    </w:p>
    <w:p w:rsidR="00017E83" w:rsidRDefault="00017E83" w:rsidP="00017E83">
      <w:pPr>
        <w:pStyle w:val="Default"/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10. Příjemce je povinen vést řádné a oddělené sledování příjmů a nákladů dotovaného projektu v účetnictví a umožnit kontrolu vyúčtování dotací a sponzorských darů i od jiných subjektů souvisejících s projektem. Dále je příjemce povinen, pokud jej k tomu Ministerstvo kultury vyzve, předložit fotokopie účetních dokladů prokazujících použití dotace a účetních dokladů prokazujících použití finančních prostředků vynaložených na projekt z jiných zdrojů. Příjemce je povinen čerpat dotaci na základě účetních dokladů obsahujících náležitosti stanovené zákonem č. 563/1991 Sb., o účetnictví, v platném znění. </w:t>
      </w: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b/>
          <w:bCs/>
          <w:sz w:val="22"/>
          <w:szCs w:val="22"/>
        </w:rPr>
        <w:t xml:space="preserve">Příjemce je povinen vyhotovit a zaslat Ministerstvu kultury do 15. 1. 2021 </w:t>
      </w:r>
      <w:r>
        <w:rPr>
          <w:sz w:val="22"/>
          <w:szCs w:val="22"/>
        </w:rPr>
        <w:t xml:space="preserve">(rozhoduje razítko pošty, při osobním doručení razítko podatelny Ministerstva kultury) </w:t>
      </w:r>
      <w:r>
        <w:rPr>
          <w:b/>
          <w:bCs/>
          <w:sz w:val="22"/>
          <w:szCs w:val="22"/>
        </w:rPr>
        <w:t xml:space="preserve">vyúčtování skutečných nákladů a příjmů realizovaného projektu a písemnou závěrečnou zprávu (slovní zhodnocení) o realizaci a výsledcích projektu. </w:t>
      </w:r>
      <w:r>
        <w:rPr>
          <w:sz w:val="22"/>
          <w:szCs w:val="22"/>
        </w:rPr>
        <w:t xml:space="preserve">Přitom je příjemce povinen dodržovat pokyny pro vyúčtování a použít formuláře zveřejněné na webových stránkách Ministerstva kultury - http://www.mkcr.cz v sekci Struktura / Literatura a knihovny / Dotační řízení / Oblast knihoven. </w:t>
      </w:r>
    </w:p>
    <w:p w:rsidR="00017E83" w:rsidRDefault="00017E83" w:rsidP="00017E83">
      <w:pPr>
        <w:pStyle w:val="Default"/>
        <w:rPr>
          <w:sz w:val="22"/>
          <w:szCs w:val="22"/>
        </w:rPr>
      </w:pPr>
    </w:p>
    <w:p w:rsidR="00017E83" w:rsidRDefault="00017E83" w:rsidP="00017E83">
      <w:pPr>
        <w:pStyle w:val="Default"/>
        <w:spacing w:after="104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12. </w:t>
      </w:r>
      <w:r>
        <w:rPr>
          <w:b/>
          <w:bCs/>
          <w:sz w:val="22"/>
          <w:szCs w:val="22"/>
        </w:rPr>
        <w:t>Pokud příjemce vrací dotaci nebo její část v období po 1. 1. 2021</w:t>
      </w:r>
      <w:r>
        <w:rPr>
          <w:sz w:val="22"/>
          <w:szCs w:val="22"/>
        </w:rPr>
        <w:t xml:space="preserve">, je povinen ji zaslat v souladu s vyhláškou č. 367/2015 Sb., o zásadách a lhůtách finančního vypořádání vztahů se státním rozpočtem, státními finančními aktivy a Národním fondem (vyhláška o finančním vypořádání), v platném znění, nejpozději do 15. 2. 2021 na depozitní účet Ministerstva kultury č. 6015-3424001/0710; současně zaslat kopii příkazu k úhradě prokazující vrácení dotace nebo její části a uvést na ní číslo rozhodnutí o poskytnutí dotace. </w:t>
      </w:r>
    </w:p>
    <w:p w:rsidR="00017E83" w:rsidRDefault="00017E83" w:rsidP="00017E83">
      <w:pPr>
        <w:pStyle w:val="Default"/>
        <w:spacing w:after="104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>
        <w:rPr>
          <w:b/>
          <w:bCs/>
          <w:sz w:val="22"/>
          <w:szCs w:val="22"/>
        </w:rPr>
        <w:t xml:space="preserve">Pokud byla příjemci poskytnuta dotace prostřednictvím krajského úřadu nebo hlavního města Prahy formou transferu a </w:t>
      </w:r>
      <w:r>
        <w:rPr>
          <w:sz w:val="22"/>
          <w:szCs w:val="22"/>
        </w:rPr>
        <w:t xml:space="preserve">vrací v období po 1. 1. 2021 nespotřebované finanční prostředky zpět do státního rozpočtu, postupuje v souladu s vyhláškou č. 367/2015 Sb., o zásadách a lhůtách finančního vypořádání vztahů se státním rozpočtem, státními finančními aktivy a Národním fondem </w:t>
      </w:r>
      <w:r>
        <w:rPr>
          <w:sz w:val="22"/>
          <w:szCs w:val="22"/>
        </w:rPr>
        <w:lastRenderedPageBreak/>
        <w:t xml:space="preserve">(vyhláška o finančním vypořádání), v platném znění (vrací nespotřebované finanční prostředky </w:t>
      </w:r>
      <w:r>
        <w:rPr>
          <w:b/>
          <w:bCs/>
          <w:sz w:val="22"/>
          <w:szCs w:val="22"/>
        </w:rPr>
        <w:t xml:space="preserve">prostřednictvím krajského úřadu nebo hlavního města Prahy). Současně je příjemce je povinen zaslat Ministerstvu kultury vyúčtování projektu do 15. 1. 2021 dle pokynů pro vyúčtování a použít formuláře zveřejněné na webových stránkách Ministerstva kultury </w:t>
      </w: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http://www.mkcr.cz v sekci Struktura / Literatura a knihovny / Dotační řízení / Oblast knihoven. </w:t>
      </w:r>
    </w:p>
    <w:p w:rsidR="00017E83" w:rsidRDefault="00017E83" w:rsidP="00017E83">
      <w:pPr>
        <w:pStyle w:val="Default"/>
        <w:spacing w:after="104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>
        <w:rPr>
          <w:b/>
          <w:bCs/>
          <w:sz w:val="22"/>
          <w:szCs w:val="22"/>
        </w:rPr>
        <w:t>V případech, že se projekt neuskuteční nebo je realizován jen částečně</w:t>
      </w:r>
      <w:r>
        <w:rPr>
          <w:sz w:val="22"/>
          <w:szCs w:val="22"/>
        </w:rPr>
        <w:t xml:space="preserve">, je příjemce povinen tuto skutečnost bezodkladně písemně oznámit Ministerstvu kultury, nejpozději však do 30. 11. 2020, a zároveň předložit vyúčtování. Do 15 dnů od tohoto oznámení je příjemce povinen vrátit nečerpané peněžní prostředky - nebo jejich poměrnou část - </w:t>
      </w:r>
      <w:r>
        <w:rPr>
          <w:b/>
          <w:bCs/>
          <w:sz w:val="22"/>
          <w:szCs w:val="22"/>
        </w:rPr>
        <w:t xml:space="preserve">na účet, ze kterého byla příjemci dotace uvolněna </w:t>
      </w:r>
      <w:r>
        <w:rPr>
          <w:sz w:val="22"/>
          <w:szCs w:val="22"/>
        </w:rPr>
        <w:t xml:space="preserve">(obce a organizace zřizované obcí prostřednictvím krajského úřadu) a zaslat Ministerstvu kultury kopii příkazu k úhradě prokazujícího vrácení dotace nebo její části a uvést na ní číslo rozhodnutí o poskytnutí dotace. Náklady hospodárně, účelně a efektivně vynaložené v dobré víře příjemcem na akce nebo dílčí kroky v přímé souvislosti s projektem se považují za náklady vynaložené na účel uvedený v bodě 1 tohoto rozhodnutí. </w:t>
      </w:r>
    </w:p>
    <w:p w:rsidR="00017E83" w:rsidRDefault="00017E83" w:rsidP="00017E83">
      <w:pPr>
        <w:pStyle w:val="Default"/>
        <w:spacing w:after="104"/>
        <w:rPr>
          <w:sz w:val="22"/>
          <w:szCs w:val="22"/>
        </w:rPr>
      </w:pPr>
      <w:r>
        <w:rPr>
          <w:sz w:val="22"/>
          <w:szCs w:val="22"/>
        </w:rPr>
        <w:t xml:space="preserve">15. Příjemce je povinen postupovat v souladu se zákonem č. 134/2016 Sb., o zadávání veřejných zakázek, v platném znění, pokud použije dotaci k úhradě zakázky, která je nadlimitní nebo podlimitní veřejnou zakázkou podle tohoto zákona. </w:t>
      </w:r>
    </w:p>
    <w:p w:rsidR="00017E83" w:rsidRDefault="00017E83" w:rsidP="00017E83">
      <w:pPr>
        <w:pStyle w:val="Default"/>
        <w:spacing w:after="104"/>
        <w:rPr>
          <w:sz w:val="22"/>
          <w:szCs w:val="22"/>
        </w:rPr>
      </w:pPr>
      <w:r>
        <w:rPr>
          <w:sz w:val="22"/>
          <w:szCs w:val="22"/>
        </w:rPr>
        <w:t xml:space="preserve">16. Příjemce je povinen dotaci ze státního rozpočtu používat hospodárně, účelně, efektivně a v souladu s právními předpisy. Pokud bude realizací dotovaného projektu dosaženo zisku, bude tento příjmem státního rozpočtu, a to až do výše poskytnuté dotace. Příjemce je povinen strpět, že Ministerstvo kultury ze závažných důvodů, zejména při důvodném podezření na porušení rozpočtové kázně příjemcem, pozastaví proplácení dotace. </w:t>
      </w:r>
    </w:p>
    <w:p w:rsidR="00017E83" w:rsidRDefault="00017E83" w:rsidP="00017E83">
      <w:pPr>
        <w:pStyle w:val="Default"/>
        <w:spacing w:after="104"/>
        <w:rPr>
          <w:sz w:val="22"/>
          <w:szCs w:val="22"/>
        </w:rPr>
      </w:pPr>
      <w:r>
        <w:rPr>
          <w:sz w:val="22"/>
          <w:szCs w:val="22"/>
        </w:rPr>
        <w:t xml:space="preserve">17. Příjemce je povinen umožnit Ministerstvu kultury provedení kontroly dodržování podmínek stanovených tímto rozhodnutím a poskytnout mu k tomu nezbytnou součinnost. </w:t>
      </w: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r>
        <w:rPr>
          <w:b/>
          <w:bCs/>
          <w:sz w:val="22"/>
          <w:szCs w:val="22"/>
        </w:rPr>
        <w:t xml:space="preserve">Z dotace nelze hradit </w:t>
      </w:r>
      <w:r>
        <w:rPr>
          <w:sz w:val="22"/>
          <w:szCs w:val="22"/>
        </w:rPr>
        <w:t xml:space="preserve">mzdy a platy zaměstnanců, náklady na vyškolení personálu nesouvisející s projektem, náklady na vytvoření a provozování webové stránky, náklady na pořízení nábytku k PC stanicím, elektromagnetické čipy, čipy RFID a náklady na jejich vlepování, náklady spojené s výběrovým řízením na pořízení majetku, veškeré provozní náklady žadatele (nájem kanceláří, telefony, faxy, poštovné, poplatky za provoz knihovního systému jako služba atd.). </w:t>
      </w:r>
    </w:p>
    <w:p w:rsidR="00017E83" w:rsidRDefault="00017E83" w:rsidP="00017E83">
      <w:pPr>
        <w:pStyle w:val="Default"/>
        <w:rPr>
          <w:sz w:val="22"/>
          <w:szCs w:val="22"/>
        </w:rPr>
      </w:pP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dotace dále nelze hradit náklady na pohoštění a občerstvení, dary, náklady spojené se zahraničními cestami zaměstnanců, náklady na zpracování projektu, bankovní poplatky, náklady na účetní a právní služby a odpisy. </w:t>
      </w:r>
      <w:r>
        <w:rPr>
          <w:b/>
          <w:bCs/>
          <w:sz w:val="22"/>
          <w:szCs w:val="22"/>
        </w:rPr>
        <w:t>Z dotace lze hradit nákup PC sestavy nebo notebooku</w:t>
      </w:r>
      <w:r>
        <w:rPr>
          <w:sz w:val="22"/>
          <w:szCs w:val="22"/>
        </w:rPr>
        <w:t xml:space="preserve">, včetně obvyklého hardwarového příslušenství, operačního systému a antivirového programu, </w:t>
      </w:r>
      <w:r>
        <w:rPr>
          <w:b/>
          <w:bCs/>
          <w:sz w:val="22"/>
          <w:szCs w:val="22"/>
        </w:rPr>
        <w:t xml:space="preserve">maximálně do 15 tis. Kč, </w:t>
      </w:r>
      <w:r>
        <w:rPr>
          <w:sz w:val="22"/>
          <w:szCs w:val="22"/>
        </w:rPr>
        <w:t xml:space="preserve">nákup </w:t>
      </w:r>
      <w:r>
        <w:rPr>
          <w:b/>
          <w:bCs/>
          <w:sz w:val="22"/>
          <w:szCs w:val="22"/>
        </w:rPr>
        <w:t xml:space="preserve">dataprojektoru maximálně do 15 tis. Kč, </w:t>
      </w:r>
      <w:r>
        <w:rPr>
          <w:sz w:val="22"/>
          <w:szCs w:val="22"/>
        </w:rPr>
        <w:t xml:space="preserve">nákup </w:t>
      </w:r>
      <w:r>
        <w:rPr>
          <w:b/>
          <w:bCs/>
          <w:sz w:val="22"/>
          <w:szCs w:val="22"/>
        </w:rPr>
        <w:t xml:space="preserve">plátna + stativu maximálně do 3 tis. Kč, nákup TV maximálně do 15 tis. Kč, nákup tabletu maximálně do 5 tis. Kč. </w:t>
      </w:r>
      <w:r>
        <w:rPr>
          <w:sz w:val="22"/>
          <w:szCs w:val="22"/>
        </w:rPr>
        <w:t xml:space="preserve">Na zahájení výpůjček e-knih v českém jazyce bude dotace poskytnuta v návaznosti na počet obyvatel obce následně: do 10 000 obyvatel 1 balíček; 10 000 až 30 000 obyvatel 2 balíčky; více než 30 000 obyvatel 3 balíčky, kdy 1 balíček = 19 600 Kč včetně DPH. </w:t>
      </w: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19. Příjemce nesmí financovat z dotace jiné fyzické nebo právnické osoby, pokud se nejedná o přímou úhradu výdajů spojených s realizací projektu (nelze převádět prostředky jinému subjektu na základě smlouvy o sdružení, o realizaci akce, o spolupořadatelství apod.). Prvotní účetní doklady musí projít účetnictvím příjemce dotace. </w:t>
      </w:r>
    </w:p>
    <w:p w:rsidR="00017E83" w:rsidRDefault="00017E83" w:rsidP="00017E83">
      <w:pPr>
        <w:pStyle w:val="Default"/>
        <w:rPr>
          <w:sz w:val="22"/>
          <w:szCs w:val="22"/>
        </w:rPr>
      </w:pP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20. 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 44a zákona č. 218/2000 Sb., o rozpočtových pravidlech a o změně některých souvisejících zákonů (rozpočtová pravidla), v platném znění, uložit místně příslušný finanční úřad odvod za porušení rozpočtové kázně a penále. </w:t>
      </w:r>
    </w:p>
    <w:p w:rsidR="00017E83" w:rsidRDefault="00017E83" w:rsidP="00017E83">
      <w:pPr>
        <w:pStyle w:val="Default"/>
        <w:rPr>
          <w:sz w:val="22"/>
          <w:szCs w:val="22"/>
        </w:rPr>
      </w:pP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 méně závažné porušení povinností příjemce dotace, za které se uloží odvod ve výši 5% celkové částky dotace, se ve smyslu § 14 odst. 5 zákona č. 218/2000 Sb. považuje: </w:t>
      </w:r>
    </w:p>
    <w:p w:rsidR="00017E83" w:rsidRDefault="00017E83" w:rsidP="00017E83">
      <w:pPr>
        <w:pStyle w:val="Default"/>
        <w:spacing w:after="9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nedodržení struktury rozpisu dotace (bod 1) </w:t>
      </w:r>
    </w:p>
    <w:p w:rsidR="00017E83" w:rsidRDefault="00017E83" w:rsidP="00017E83">
      <w:pPr>
        <w:pStyle w:val="Default"/>
        <w:spacing w:after="9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nedodržení lhůt pro zaslání vyúčtování a písemné závěrečné zprávy (bod 11,12) </w:t>
      </w:r>
    </w:p>
    <w:p w:rsidR="00017E83" w:rsidRDefault="00017E83" w:rsidP="00017E83">
      <w:pPr>
        <w:pStyle w:val="Default"/>
        <w:spacing w:after="9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neoznámení změn identifikačních údajů příjemce (bod 7) </w:t>
      </w:r>
    </w:p>
    <w:p w:rsidR="00017E83" w:rsidRDefault="00017E83" w:rsidP="00017E83">
      <w:pPr>
        <w:pStyle w:val="Default"/>
        <w:spacing w:after="9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nedodržení doby pro užívání zařízení a vybavení pořízené z dotace Ministerstva kultury pro stanovené účely HW (mimo server) minimálně po dobu 3 let, server a SW (včetně AKS) minimálně po dobu 5 let </w:t>
      </w: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porušení povinnosti příjemce uvádět na všech materiálech vytvořených v rámci projektu nebo souvisejících s jeho realizací, že se tento projekt uskutečňuje za finanční podpory Ministerstva kultury (bod 6). </w:t>
      </w:r>
    </w:p>
    <w:p w:rsidR="00017E83" w:rsidRDefault="00017E83" w:rsidP="00017E83">
      <w:pPr>
        <w:pStyle w:val="Default"/>
        <w:rPr>
          <w:sz w:val="22"/>
          <w:szCs w:val="22"/>
        </w:rPr>
      </w:pP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Odůvodnění: </w:t>
      </w:r>
      <w:r>
        <w:rPr>
          <w:sz w:val="22"/>
          <w:szCs w:val="22"/>
        </w:rPr>
        <w:t xml:space="preserve">Dotace je poskytnuta na základě žádosti řádně podané v rámci výzvy vyhlášené v programu Veřejné informační služby knihoven, podprogramu VISK 3 – Informační centra veřejných knihoven. Poskytnutí dotace doporučila odborná komise a o jejím poskytnutí rozhodl ministr kultury svým rozhodnutím ze dne 18. 3. 2020, spis. </w:t>
      </w:r>
      <w:proofErr w:type="gramStart"/>
      <w:r>
        <w:rPr>
          <w:sz w:val="22"/>
          <w:szCs w:val="22"/>
        </w:rPr>
        <w:t>zn.</w:t>
      </w:r>
      <w:proofErr w:type="gramEnd"/>
      <w:r>
        <w:rPr>
          <w:sz w:val="22"/>
          <w:szCs w:val="22"/>
        </w:rPr>
        <w:t xml:space="preserve"> MK-S 1901/2020 OULK. </w:t>
      </w: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Projekt přispívá k naplnění účelu zákona č. 257/2001 Sb., o knihovnách a podmínkách provozování veřejných knihovnických a informačních služeb (knihovní zákon), v platném znění, a obsahem plně odpovídá nařízení vlády č. 288/2002 Sb., kterým se stanoví pravidla poskytování dotací na podporu knihoven, v platném znění. Proto Ministerstvo kultury rozhodlo o poskytnutí dotace ze státního rozpočtu na jeho realizaci. </w:t>
      </w: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Je-li příjemce dotace, krajskou knihovnou, ústřední odbornou knihovnou, specializovanou knihovnou s unikátním fondem, vysokoškolskou knihovnou, knihovnou pověřenou výkonem regionálních funkcí, městskou knihovnou ve městech nad 10 000 obyvatel přispívá do Souborného katalogu ČR; informaci o přispívání zahrne do písemné závěrečné zprávy dle bodu 11. </w:t>
      </w: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Ministerstvo kultury pro úplnost dodává, že je oprávněno zahájit řízení o odnětí dotace, pokud po vydání tohoto rozhodnutí nastanou skutečnosti uvedené v § 15 odst. 1 zákona č. 218/2000 Sb. (například dojde k vázání prostředků státního rozpočtu nebo Ministerstvo kultury zjistí, že údaje, na jejichž základě byla dotace poskytnuta, byly neúplné nebo nepravdivé). </w:t>
      </w: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Hospodárným použitím dotace se rozumí takové její použití, které zajistí splnění účelu dotace s co možná nejnižším a nejefektivnějším vynaložením těchto prostředků, vždy však s plným respektem k povinnosti splnit účel dotace, to jest realizovat projekt ve stanoveném rozsahu a kvalitě. Realizací projektu, v souvislosti s vyhlášením stavu nouze dle usnesení vlády ze dne 12. března 2020 č. 194, se rozumí i přípravné akce či dílčí kroky realizované příjemcem v dobré víře za účelem plného uskutečnění projektu. </w:t>
      </w: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Dále Ministerstvo kultury upozorňuje na povinnosti podle zákona č. 563/1991 Sb., o účetnictví, v platném znění, především na povinnost vést účetnictví v plném rozsahu (podvojné účetnictví). Některé účetní jednotky tuto povinnost nemají. Účetní jednotky vyjmenované v § 9 odst. 4 zákona o účetnictví mohou vést účetnictví ve zjednodušeném rozsahu (například spolky a pobočné spolky, nadační fondy a obecně prospěšné společnosti) a některé účetní jednotky vyjmenované v § 1f odst. 1 zákona o účetnictví mohou vést jednoduché účetnictví (například spolky a pobočné spolky). Musí ovšem splňovat všechny podmínky stanovené zákonem o účetnictví. </w:t>
      </w: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Konečně Ministerstvo kultury upozorňuje, že pokud příjemce vyúčtuje dotaci nesprávně, neúplně nebo opožděně, pokud neprovede s Ministerstvem kultury její finanční vypořádání nebo pokud nevrátí do státního rozpočtu dotaci nebo její část, kterou nepoužil nebo kterou použil v rozporu s tímto rozhodnutím, nesmí mu Ministerstvo kultury jakožto poskytovatel dotací poskytnout dotaci v roce 2020. Tento zákaz vyplývá </w:t>
      </w:r>
    </w:p>
    <w:p w:rsidR="00017E83" w:rsidRDefault="00017E83" w:rsidP="00017E83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 usnesení vlády č. 92 ze dne 1. 2. 2010, ve znění usnesení vlády č. 479 ze dne 19. 6. 2013 a usnesení vlády č. 657 ze dne 6. 8. 2014, zejm. z § 20 odst. 1 nařízení vlády č. 288/2002 Sb. </w:t>
      </w:r>
    </w:p>
    <w:p w:rsidR="00017E83" w:rsidRDefault="00017E83" w:rsidP="00017E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Poučení: </w:t>
      </w:r>
      <w:r>
        <w:rPr>
          <w:sz w:val="22"/>
          <w:szCs w:val="22"/>
        </w:rPr>
        <w:t xml:space="preserve">Proti tomuto rozhodnutí není podle § 14q odst. 2 zákona č. 218/2000 Sb., o rozpočtových pravidlech a o změně některých souvisejících zákonů (rozpočtová pravidla), v platném znění, přípustné odvolání ani rozklad. Toto rozhodnutí nabývá právní moci dnem jeho doručení příjemci.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6"/>
      </w:tblGrid>
      <w:tr w:rsidR="00017E8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396" w:type="dxa"/>
          </w:tcPr>
          <w:p w:rsidR="00017E83" w:rsidRDefault="00017E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Praze dne 31. bř</w:t>
            </w:r>
            <w:r>
              <w:rPr>
                <w:sz w:val="22"/>
                <w:szCs w:val="22"/>
              </w:rPr>
              <w:t xml:space="preserve">ezna 2020 </w:t>
            </w:r>
            <w:proofErr w:type="spellStart"/>
            <w:r>
              <w:rPr>
                <w:sz w:val="22"/>
                <w:szCs w:val="22"/>
              </w:rPr>
              <w:t>xxxxxxxxxxxxxxxxxxxxxx</w:t>
            </w:r>
            <w:proofErr w:type="spellEnd"/>
          </w:p>
        </w:tc>
      </w:tr>
      <w:tr w:rsidR="00017E8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396" w:type="dxa"/>
          </w:tcPr>
          <w:p w:rsidR="00017E83" w:rsidRDefault="00017E8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17E83" w:rsidRDefault="00017E83"/>
    <w:sectPr w:rsidR="00017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A00BEA"/>
    <w:multiLevelType w:val="hybridMultilevel"/>
    <w:tmpl w:val="67D10C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4C0F04"/>
    <w:multiLevelType w:val="hybridMultilevel"/>
    <w:tmpl w:val="FDAE0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C09F6"/>
    <w:multiLevelType w:val="hybridMultilevel"/>
    <w:tmpl w:val="6819EA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7D7629"/>
    <w:multiLevelType w:val="hybridMultilevel"/>
    <w:tmpl w:val="C7B7B0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15724F6"/>
    <w:multiLevelType w:val="hybridMultilevel"/>
    <w:tmpl w:val="1F1518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80"/>
    <w:rsid w:val="00017E83"/>
    <w:rsid w:val="00576A80"/>
    <w:rsid w:val="00E8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8B706"/>
  <w15:chartTrackingRefBased/>
  <w15:docId w15:val="{4F200C02-69B8-4905-9D7B-45C39159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76A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2250</Words>
  <Characters>13280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Kubelková Andrea</dc:creator>
  <cp:keywords/>
  <dc:description/>
  <cp:lastModifiedBy>Kubelková Andrea</cp:lastModifiedBy>
  <cp:revision>3</cp:revision>
  <dcterms:created xsi:type="dcterms:W3CDTF">2020-05-27T05:18:00Z</dcterms:created>
  <dcterms:modified xsi:type="dcterms:W3CDTF">2020-05-27T05:24:00Z</dcterms:modified>
</cp:coreProperties>
</file>