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Ing. Pacáková Jaroslava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+420 224 907 545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jaroslava.pacakova@czechtrade.cz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MAEP, s.r.o.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25045245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Kadaňská 3546/41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43003 Chomutov Chomutov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INOB201700198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 Spielwarenmesse 2017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 Spielwarenmesse 2017/009N. Cena bez DPH 240 000,- Kč.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Veletrh  2017/009N Spielwarenmesse je spolufinancován z OP PIK, projekt NOVUMM - CZ.01.2.111/0.0/0.0/15_023/0005664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290 400,00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31.1.2017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Münchener Str. 330,  Norimberk, DE - Německo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KB Praha 1 č.ú.: 87434011/0100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