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4F573" w14:textId="77777777"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0214F574" w14:textId="77777777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0214F575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14F576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14F577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0214F578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14F579" w14:textId="77777777" w:rsidR="00C37AAD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C37AAD">
        <w:rPr>
          <w:rFonts w:ascii="Arial" w:hAnsi="Arial" w:cs="Arial"/>
          <w:sz w:val="20"/>
          <w:szCs w:val="20"/>
        </w:rPr>
        <w:t>Ditcom</w:t>
      </w:r>
      <w:proofErr w:type="spellEnd"/>
      <w:r w:rsidR="00C37AAD">
        <w:rPr>
          <w:rFonts w:ascii="Arial" w:hAnsi="Arial" w:cs="Arial"/>
          <w:sz w:val="20"/>
          <w:szCs w:val="20"/>
        </w:rPr>
        <w:t xml:space="preserve">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C37AAD" w:rsidRPr="00C37AAD">
        <w:rPr>
          <w:rFonts w:ascii="Arial" w:hAnsi="Arial" w:cs="Arial"/>
          <w:sz w:val="20"/>
          <w:szCs w:val="20"/>
        </w:rPr>
        <w:t>u Městského soudu v</w:t>
      </w:r>
      <w:r w:rsidR="00C37AAD">
        <w:rPr>
          <w:rFonts w:ascii="Arial" w:hAnsi="Arial" w:cs="Arial"/>
          <w:sz w:val="20"/>
          <w:szCs w:val="20"/>
        </w:rPr>
        <w:t> </w:t>
      </w:r>
      <w:r w:rsidR="00C37AAD" w:rsidRPr="00C37AAD">
        <w:rPr>
          <w:rFonts w:ascii="Arial" w:hAnsi="Arial" w:cs="Arial"/>
          <w:sz w:val="20"/>
          <w:szCs w:val="20"/>
        </w:rPr>
        <w:t>Praze</w:t>
      </w:r>
      <w:r w:rsidR="00C37AAD">
        <w:rPr>
          <w:rFonts w:ascii="Arial" w:hAnsi="Arial" w:cs="Arial"/>
          <w:sz w:val="20"/>
          <w:szCs w:val="20"/>
        </w:rPr>
        <w:t>, spisová značka C 89140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7AAD">
        <w:rPr>
          <w:rFonts w:ascii="Arial" w:hAnsi="Arial" w:cs="Arial"/>
          <w:sz w:val="20"/>
          <w:szCs w:val="20"/>
        </w:rPr>
        <w:t>Antala Staška 510/38, 140 00, Praha 4</w:t>
      </w:r>
      <w:r w:rsidRPr="00FA2EB9">
        <w:rPr>
          <w:rFonts w:ascii="Arial" w:hAnsi="Arial" w:cs="Arial"/>
          <w:sz w:val="20"/>
          <w:szCs w:val="20"/>
        </w:rPr>
        <w:br/>
      </w:r>
      <w:r w:rsidR="00C37AAD">
        <w:rPr>
          <w:rFonts w:ascii="Arial" w:hAnsi="Arial" w:cs="Arial"/>
          <w:sz w:val="20"/>
          <w:szCs w:val="20"/>
        </w:rPr>
        <w:t>korespondenční:</w:t>
      </w:r>
      <w:r w:rsidR="00C37AAD">
        <w:rPr>
          <w:rFonts w:ascii="Arial" w:hAnsi="Arial" w:cs="Arial"/>
          <w:sz w:val="20"/>
          <w:szCs w:val="20"/>
        </w:rPr>
        <w:tab/>
        <w:t>Velké Kunratické 1570/3a, 148 00, Praha 4</w:t>
      </w:r>
    </w:p>
    <w:p w14:paraId="0214F57A" w14:textId="79B7A201" w:rsidR="004811F5" w:rsidRDefault="0072023E" w:rsidP="00C37AAD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7AAD">
        <w:rPr>
          <w:rFonts w:ascii="Arial" w:hAnsi="Arial" w:cs="Arial"/>
          <w:sz w:val="20"/>
          <w:szCs w:val="20"/>
        </w:rPr>
        <w:t>26715031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7AAD">
        <w:rPr>
          <w:rFonts w:ascii="Arial" w:hAnsi="Arial" w:cs="Arial"/>
          <w:sz w:val="20"/>
          <w:szCs w:val="20"/>
        </w:rPr>
        <w:t>CZ26715031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37AAD">
        <w:rPr>
          <w:rFonts w:ascii="Arial" w:hAnsi="Arial" w:cs="Arial"/>
          <w:sz w:val="20"/>
          <w:szCs w:val="20"/>
        </w:rPr>
        <w:t>Ing. Ladislav Dušek, Ing. Karel Beneš, Ing. David Beneš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14:paraId="0214F57B" w14:textId="77777777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0214F57C" w14:textId="77777777"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0214F57D" w14:textId="7CF7107F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0214F57E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14F57F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14F580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0214F581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14F582" w14:textId="77777777"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proofErr w:type="spellStart"/>
      <w:r w:rsidR="00112D21" w:rsidRPr="00112D21">
        <w:rPr>
          <w:rFonts w:ascii="Arial" w:hAnsi="Arial" w:cs="Arial"/>
          <w:color w:val="000000"/>
          <w:sz w:val="20"/>
          <w:szCs w:val="20"/>
        </w:rPr>
        <w:t>Load</w:t>
      </w:r>
      <w:proofErr w:type="spellEnd"/>
      <w:r w:rsidR="00112D21" w:rsidRPr="00112D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12D21" w:rsidRPr="00112D21">
        <w:rPr>
          <w:rFonts w:ascii="Arial" w:hAnsi="Arial" w:cs="Arial"/>
          <w:color w:val="000000"/>
          <w:sz w:val="20"/>
          <w:szCs w:val="20"/>
        </w:rPr>
        <w:t>balancer</w:t>
      </w:r>
      <w:proofErr w:type="spellEnd"/>
      <w:r w:rsidR="00112D21" w:rsidRPr="00112D21">
        <w:rPr>
          <w:rFonts w:ascii="Arial" w:hAnsi="Arial" w:cs="Arial"/>
          <w:color w:val="000000"/>
          <w:sz w:val="20"/>
          <w:szCs w:val="20"/>
        </w:rPr>
        <w:t xml:space="preserve"> a SSL VPN koncentrátor (2020)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112D21" w:rsidRPr="00112D21">
        <w:rPr>
          <w:rFonts w:ascii="Arial" w:hAnsi="Arial" w:cs="Arial"/>
          <w:color w:val="000000"/>
          <w:sz w:val="20"/>
          <w:szCs w:val="20"/>
        </w:rPr>
        <w:t>N006/20/V00009998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112D21">
        <w:rPr>
          <w:rStyle w:val="non-editable-field"/>
          <w:rFonts w:ascii="Arial" w:hAnsi="Arial" w:cs="Arial"/>
          <w:color w:val="000000"/>
          <w:sz w:val="20"/>
          <w:szCs w:val="20"/>
        </w:rPr>
        <w:t>29.4.2020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14:paraId="0214F583" w14:textId="77777777"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14:paraId="0214F584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14F585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0214F586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0214F587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14F588" w14:textId="77777777"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14:paraId="0214F589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14F58A" w14:textId="77777777"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0214F58B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14:paraId="0214F590" w14:textId="77777777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14F58C" w14:textId="77777777" w:rsidR="009D414D" w:rsidRDefault="009D414D" w:rsidP="00112D21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14F58D" w14:textId="77777777" w:rsidR="009D414D" w:rsidRDefault="009D414D" w:rsidP="00112D21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14F58E" w14:textId="77777777"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214F58F" w14:textId="77777777"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14:paraId="0214F596" w14:textId="77777777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F591" w14:textId="77777777" w:rsidR="009D414D" w:rsidRDefault="00ED6F56" w:rsidP="00112D21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D414D">
              <w:rPr>
                <w:b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F592" w14:textId="77777777" w:rsidR="00582AE7" w:rsidRDefault="00582AE7" w:rsidP="00582AE7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1x </w:t>
            </w:r>
            <w:proofErr w:type="spellStart"/>
            <w:r>
              <w:rPr>
                <w:rFonts w:ascii="Arial" w:hAnsi="Arial" w:cs="Arial"/>
                <w:sz w:val="20"/>
              </w:rPr>
              <w:t>Load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balancer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SSL VPN koncentrátor </w:t>
            </w:r>
          </w:p>
          <w:p w14:paraId="0214F593" w14:textId="77777777" w:rsidR="009D414D" w:rsidRPr="00165DEF" w:rsidRDefault="00582AE7" w:rsidP="00582AE7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FS BIG-IP i2600 </w:t>
            </w:r>
            <w:proofErr w:type="spellStart"/>
            <w:r>
              <w:rPr>
                <w:rFonts w:ascii="Arial" w:hAnsi="Arial" w:cs="Arial"/>
                <w:sz w:val="20"/>
              </w:rPr>
              <w:t>Local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Traftic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Manager v požadované konfiguraci včetně požadované </w:t>
            </w:r>
            <w:r>
              <w:t xml:space="preserve"> podpory a p</w:t>
            </w:r>
            <w:r>
              <w:rPr>
                <w:rFonts w:ascii="Arial" w:hAnsi="Arial" w:cs="Arial"/>
                <w:sz w:val="20"/>
              </w:rPr>
              <w:t>říslušenství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F594" w14:textId="77777777" w:rsidR="009D414D" w:rsidRPr="00165DEF" w:rsidRDefault="00D869F4" w:rsidP="00112D21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1 649 000,-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F595" w14:textId="77777777" w:rsidR="009D414D" w:rsidRPr="00165DEF" w:rsidRDefault="00D869F4" w:rsidP="00112D21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1 995 290,- Kč</w:t>
            </w:r>
          </w:p>
        </w:tc>
      </w:tr>
    </w:tbl>
    <w:p w14:paraId="0214F597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14F598" w14:textId="77777777"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0214F599" w14:textId="77777777"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0214F59A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14:paraId="0214F59B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0214F59C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14F59D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0214F59E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0214F59F" w14:textId="77777777"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869F4">
        <w:rPr>
          <w:rFonts w:ascii="Arial" w:hAnsi="Arial" w:cs="Arial"/>
          <w:sz w:val="20"/>
          <w:szCs w:val="20"/>
        </w:rPr>
        <w:t>1 649 000,-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14F5A0" w14:textId="77777777"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14:paraId="0214F5A1" w14:textId="77777777"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869F4">
        <w:rPr>
          <w:rFonts w:ascii="Arial" w:hAnsi="Arial" w:cs="Arial"/>
          <w:sz w:val="20"/>
          <w:szCs w:val="20"/>
        </w:rPr>
        <w:t>346 290,-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14:paraId="0214F5A2" w14:textId="77777777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214F5A3" w14:textId="77777777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869F4">
        <w:rPr>
          <w:rFonts w:ascii="Arial" w:hAnsi="Arial" w:cs="Arial"/>
          <w:sz w:val="20"/>
          <w:szCs w:val="20"/>
        </w:rPr>
        <w:t>1 995 290,-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14:paraId="0214F5A4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0214F5A5" w14:textId="77777777"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0214F5A6" w14:textId="77777777"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0214F5A7" w14:textId="77777777"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14:paraId="0214F5A8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0214F5A9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0214F5AA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0214F5AB" w14:textId="77777777"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14:paraId="0214F5AC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14:paraId="0214F5AD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0214F5AE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0214F5AF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0214F5B0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14:paraId="0214F5B1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0214F5B2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0214F5B3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0214F5B4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14:paraId="0214F5B5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0214F5B6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214F5B7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14:paraId="0214F5B8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0214F5B9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0214F5BA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</w:t>
      </w:r>
      <w:r w:rsidRPr="00594411">
        <w:rPr>
          <w:rFonts w:ascii="Arial" w:hAnsi="Arial" w:cs="Arial"/>
          <w:sz w:val="20"/>
          <w:szCs w:val="20"/>
        </w:rPr>
        <w:lastRenderedPageBreak/>
        <w:t xml:space="preserve">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0214F5BB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0214F5BC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0214F5BD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0214F5BE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0214F5BF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0214F5C0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0214F5C1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0214F5C2" w14:textId="77777777"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214F5C3" w14:textId="77777777"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214F5C4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0214F5C5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0214F5C6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14F5C7" w14:textId="77777777"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112D21">
        <w:rPr>
          <w:rFonts w:ascii="Arial" w:hAnsi="Arial" w:cs="Arial"/>
          <w:sz w:val="20"/>
          <w:szCs w:val="20"/>
        </w:rPr>
        <w:t>5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662099">
        <w:rPr>
          <w:rFonts w:ascii="Arial" w:hAnsi="Arial" w:cs="Arial"/>
          <w:sz w:val="20"/>
          <w:szCs w:val="20"/>
        </w:rPr>
        <w:t>let</w:t>
      </w:r>
      <w:r w:rsidR="009059DA">
        <w:rPr>
          <w:rFonts w:ascii="Arial" w:hAnsi="Arial" w:cs="Arial"/>
          <w:sz w:val="20"/>
          <w:szCs w:val="20"/>
        </w:rPr>
        <w:t xml:space="preserve"> s opravou </w:t>
      </w:r>
      <w:r w:rsidR="00112D21">
        <w:rPr>
          <w:rFonts w:ascii="Arial" w:hAnsi="Arial" w:cs="Arial"/>
          <w:sz w:val="20"/>
          <w:szCs w:val="20"/>
        </w:rPr>
        <w:t xml:space="preserve">do dvou </w:t>
      </w:r>
      <w:r w:rsidR="009059DA">
        <w:rPr>
          <w:rFonts w:ascii="Arial" w:hAnsi="Arial" w:cs="Arial"/>
          <w:sz w:val="20"/>
          <w:szCs w:val="20"/>
        </w:rPr>
        <w:t>následující</w:t>
      </w:r>
      <w:r w:rsidR="00112D21">
        <w:rPr>
          <w:rFonts w:ascii="Arial" w:hAnsi="Arial" w:cs="Arial"/>
          <w:sz w:val="20"/>
          <w:szCs w:val="20"/>
        </w:rPr>
        <w:t>ch</w:t>
      </w:r>
      <w:r w:rsidR="009059DA">
        <w:rPr>
          <w:rFonts w:ascii="Arial" w:hAnsi="Arial" w:cs="Arial"/>
          <w:sz w:val="20"/>
          <w:szCs w:val="20"/>
        </w:rPr>
        <w:t xml:space="preserve"> pracovní</w:t>
      </w:r>
      <w:r w:rsidR="00112D21">
        <w:rPr>
          <w:rFonts w:ascii="Arial" w:hAnsi="Arial" w:cs="Arial"/>
          <w:sz w:val="20"/>
          <w:szCs w:val="20"/>
        </w:rPr>
        <w:t>ch</w:t>
      </w:r>
      <w:r w:rsidR="009059DA">
        <w:rPr>
          <w:rFonts w:ascii="Arial" w:hAnsi="Arial" w:cs="Arial"/>
          <w:sz w:val="20"/>
          <w:szCs w:val="20"/>
        </w:rPr>
        <w:t xml:space="preserve"> d</w:t>
      </w:r>
      <w:r w:rsidR="00112D21">
        <w:rPr>
          <w:rFonts w:ascii="Arial" w:hAnsi="Arial" w:cs="Arial"/>
          <w:sz w:val="20"/>
          <w:szCs w:val="20"/>
        </w:rPr>
        <w:t>nů</w:t>
      </w:r>
      <w:r w:rsidR="009059DA">
        <w:rPr>
          <w:rFonts w:ascii="Arial" w:hAnsi="Arial" w:cs="Arial"/>
          <w:sz w:val="20"/>
          <w:szCs w:val="20"/>
        </w:rPr>
        <w:t xml:space="preserve"> v </w:t>
      </w:r>
      <w:r w:rsidR="009059DA" w:rsidRPr="00B64C27">
        <w:rPr>
          <w:rFonts w:ascii="Arial" w:hAnsi="Arial" w:cs="Arial"/>
          <w:sz w:val="20"/>
          <w:szCs w:val="20"/>
        </w:rPr>
        <w:t xml:space="preserve">místě </w:t>
      </w:r>
      <w:r w:rsidR="00943746" w:rsidRPr="00B64C27">
        <w:rPr>
          <w:rFonts w:ascii="Arial" w:hAnsi="Arial" w:cs="Arial"/>
          <w:sz w:val="20"/>
          <w:szCs w:val="20"/>
        </w:rPr>
        <w:t>instalace daného zařízení</w:t>
      </w:r>
      <w:r w:rsidR="009059DA">
        <w:rPr>
          <w:rFonts w:ascii="Arial" w:hAnsi="Arial" w:cs="Arial"/>
          <w:sz w:val="20"/>
          <w:szCs w:val="20"/>
        </w:rPr>
        <w:t>.</w:t>
      </w:r>
    </w:p>
    <w:p w14:paraId="0214F5C8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0214F5C9" w14:textId="77777777"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14F5CA" w14:textId="77777777"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0214F5CB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0214F5CC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0214F5CD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0214F5CE" w14:textId="77777777"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14:paraId="0214F5D1" w14:textId="77777777"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0214F5D2" w14:textId="77777777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19CC5A39" w14:textId="77777777" w:rsidR="00355955" w:rsidRDefault="00355955" w:rsidP="00355955">
      <w:pPr>
        <w:pStyle w:val="Odstavecseseznamem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0214F5D8" w14:textId="7F091089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0214F5D9" w14:textId="77777777"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14:paraId="0214F5DA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0214F5DB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14:paraId="0214F5DC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0214F5DD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0214F5DE" w14:textId="77777777"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14:paraId="0214F5DF" w14:textId="77777777" w:rsidR="00B35DFF" w:rsidRDefault="00B35DFF" w:rsidP="00B35DFF">
      <w:pPr>
        <w:rPr>
          <w:rFonts w:ascii="Arial" w:hAnsi="Arial" w:cs="Arial"/>
          <w:sz w:val="20"/>
          <w:szCs w:val="20"/>
        </w:rPr>
      </w:pPr>
    </w:p>
    <w:p w14:paraId="0214F5E0" w14:textId="77777777"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14:paraId="0214F5E1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0214F5E2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0214F5E3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0214F5E4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14:paraId="0214F5E5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0214F5E6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14:paraId="0214F5E7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0214F5E8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0214F5E9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14:paraId="0214F5EA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0214F5EB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0214F5EC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214F5ED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0214F5EE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214F5EF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214F5F0" w14:textId="77777777"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14:paraId="0214F5F1" w14:textId="77777777"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14:paraId="0214F5F2" w14:textId="77777777"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14:paraId="0214F5F3" w14:textId="77777777" w:rsidR="00F94BA1" w:rsidRDefault="00F94BA1" w:rsidP="00F94BA1"/>
    <w:p w14:paraId="0214F5F4" w14:textId="77777777"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0214F5F5" w14:textId="77777777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0214F5F6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0214F5F7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14F5F8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14:paraId="0214F5F9" w14:textId="77777777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0214F5FA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0214F5FB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0214F5FC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14:paraId="0214F5FD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0214F5FE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0214F5FF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0214F600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0214F601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214F602" w14:textId="77777777"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214F603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214F604" w14:textId="4FADF953"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14:paraId="0214F605" w14:textId="77777777"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0214F606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14:paraId="0214F607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0214F608" w14:textId="77777777"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ED6F56">
        <w:rPr>
          <w:rFonts w:ascii="Arial" w:hAnsi="Arial" w:cs="Arial"/>
          <w:sz w:val="20"/>
          <w:szCs w:val="20"/>
        </w:rPr>
        <w:t>Ing. Ladislav Dušek, Ing. Karel Beneš</w:t>
      </w:r>
    </w:p>
    <w:p w14:paraId="0214F609" w14:textId="77777777"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ED6F56">
        <w:rPr>
          <w:rFonts w:ascii="Arial" w:hAnsi="Arial" w:cs="Arial"/>
          <w:sz w:val="20"/>
          <w:szCs w:val="20"/>
        </w:rPr>
        <w:t xml:space="preserve">jednatelé společnosti </w:t>
      </w:r>
      <w:proofErr w:type="spellStart"/>
      <w:r w:rsidR="00ED6F56">
        <w:rPr>
          <w:rFonts w:ascii="Arial" w:hAnsi="Arial" w:cs="Arial"/>
          <w:sz w:val="20"/>
          <w:szCs w:val="20"/>
        </w:rPr>
        <w:t>Ditcom</w:t>
      </w:r>
      <w:proofErr w:type="spellEnd"/>
      <w:r w:rsidR="00ED6F56">
        <w:rPr>
          <w:rFonts w:ascii="Arial" w:hAnsi="Arial" w:cs="Arial"/>
          <w:sz w:val="20"/>
          <w:szCs w:val="20"/>
        </w:rPr>
        <w:t xml:space="preserve"> s.r.o.</w:t>
      </w:r>
    </w:p>
    <w:p w14:paraId="0214F60A" w14:textId="77777777"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214F60B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14F60C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214F60D" w14:textId="77777777"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tbl>
      <w:tblPr>
        <w:tblW w:w="1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6"/>
        <w:gridCol w:w="2439"/>
        <w:gridCol w:w="1055"/>
      </w:tblGrid>
      <w:tr w:rsidR="00112D21" w:rsidRPr="00112D21" w14:paraId="0214F60F" w14:textId="77777777" w:rsidTr="00112D21">
        <w:trPr>
          <w:trHeight w:val="300"/>
        </w:trPr>
        <w:tc>
          <w:tcPr>
            <w:tcW w:w="111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4F60E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Load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balancer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a SSL VPN koncentrátor</w:t>
            </w:r>
          </w:p>
        </w:tc>
      </w:tr>
      <w:tr w:rsidR="00112D21" w:rsidRPr="00112D21" w14:paraId="0214F61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10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4F61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32412120-1 - Intranetové sítě</w:t>
            </w:r>
          </w:p>
        </w:tc>
      </w:tr>
      <w:tr w:rsidR="00112D21" w:rsidRPr="00112D21" w14:paraId="0214F616" w14:textId="77777777" w:rsidTr="00117D79">
        <w:trPr>
          <w:trHeight w:val="315"/>
        </w:trPr>
        <w:tc>
          <w:tcPr>
            <w:tcW w:w="768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13" w14:textId="77777777" w:rsidR="00112D21" w:rsidRPr="00112D21" w:rsidRDefault="00117D79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P</w:t>
            </w:r>
            <w:r w:rsidR="00112D21" w:rsidRPr="00112D21">
              <w:rPr>
                <w:rFonts w:eastAsia="Times New Roman" w:cs="Calibri"/>
                <w:color w:val="000000"/>
                <w:lang w:eastAsia="cs-CZ"/>
              </w:rPr>
              <w:t>arametr</w:t>
            </w:r>
          </w:p>
        </w:tc>
        <w:tc>
          <w:tcPr>
            <w:tcW w:w="24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1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61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112D21" w:rsidRPr="00112D21" w14:paraId="0214F61A" w14:textId="77777777" w:rsidTr="00117D79">
        <w:trPr>
          <w:trHeight w:val="315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1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jedná se o výměnu stávajícího boxu v rámci clusteru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1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1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1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1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stávající box Zadavatele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1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F5 Big-IP 2000s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1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2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1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12D21">
              <w:rPr>
                <w:rFonts w:eastAsia="Times New Roman" w:cs="Calibri"/>
                <w:lang w:eastAsia="cs-CZ"/>
              </w:rPr>
              <w:t>sériové číslo stávajícího boxu Zadavatele, který bude nahrazen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2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f5-lshr-udee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2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26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2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12D21">
              <w:rPr>
                <w:rFonts w:eastAsia="Times New Roman" w:cs="Calibri"/>
                <w:lang w:eastAsia="cs-CZ"/>
              </w:rPr>
              <w:t>platnost práva na aktualizace bezpečnostních signatur, aktualizace bezpečnostních signatur a technickou podporou výrobce stávajícího boxu Zadavatele platná do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2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21.06.2020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2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2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2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box Zadavatele s kterým musí být garantována 100% kompatibilita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2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F5 Big-IP i2600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2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2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2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12D21">
              <w:rPr>
                <w:rFonts w:eastAsia="Times New Roman" w:cs="Calibri"/>
                <w:lang w:eastAsia="cs-CZ"/>
              </w:rPr>
              <w:t>sériové číslo boxu Zadavatele se kterým musí být zaručena 100% kompatibilita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2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f5-bxsy-wnko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2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32" w14:textId="77777777" w:rsidTr="00117D79">
        <w:trPr>
          <w:trHeight w:val="315"/>
        </w:trPr>
        <w:tc>
          <w:tcPr>
            <w:tcW w:w="768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2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dodavatel ručí za 100% kompatibilitu se stávajícím boxem Zadavatele</w:t>
            </w:r>
          </w:p>
        </w:tc>
        <w:tc>
          <w:tcPr>
            <w:tcW w:w="24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3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3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36" w14:textId="77777777" w:rsidTr="00117D79">
        <w:trPr>
          <w:trHeight w:val="315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3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3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3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3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3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formát zařízení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3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rack-mount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3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3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3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dodání vč. zařízení pro montáž do racku DELL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PowerEdge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4220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Wide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3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3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4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3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velikost zařízení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4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1U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4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112D21" w:rsidRPr="00112D21" w14:paraId="0214F64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4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všechny požadované funkcionality jsou soustředěny do jednoho boxu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4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4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4A" w14:textId="77777777" w:rsidTr="00117D79">
        <w:trPr>
          <w:trHeight w:val="12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4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základní funkcionality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4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Load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balancer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, Reverzní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proxy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, Autentizace/SSO,</w:t>
            </w:r>
            <w:r w:rsidRPr="00112D21">
              <w:rPr>
                <w:rFonts w:eastAsia="Times New Roman" w:cs="Calibri"/>
                <w:color w:val="000000"/>
                <w:lang w:eastAsia="cs-CZ"/>
              </w:rPr>
              <w:br/>
              <w:t>SSL VPN koncentrátor, Web aplikační firewall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4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4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4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je schopno propojení boxů do režimu vysoké dostupnosti (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High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Availability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4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4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5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4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je schopno výkonově i licenčně provozovat konkurenčních SSL VPN tunelů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5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300 tunelů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65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656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5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poskytuje plnohodnotný VPN přístup pro klienty (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Clientless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SSL VPN/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Client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Remote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Access LAN VPN)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5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5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5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5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obsahuje porty, které podporují 1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SFP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5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5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5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5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počet Ethernet portů 10/100/1000 Mbps (1000BASE-T)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5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4 porty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5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66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5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osazené Ethernet SFP moduly jsou doporučené a podporované výrobcem boxu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6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6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6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6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obsahuje porty, které podporují 10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Ethernet SFP+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6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6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6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6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počet 10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portů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6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2 porty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6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66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6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počet osazených 10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portů 10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Gbit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moduly SFP+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6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0 portů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6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12D21" w:rsidRPr="00112D21" w14:paraId="0214F67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6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redundantní napájení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7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7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7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7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počet zdrojů v</w:t>
            </w:r>
            <w:r w:rsidR="00117D79">
              <w:rPr>
                <w:rFonts w:eastAsia="Times New Roman" w:cs="Calibri"/>
                <w:color w:val="000000"/>
                <w:lang w:eastAsia="cs-CZ"/>
              </w:rPr>
              <w:t> </w:t>
            </w:r>
            <w:r w:rsidRPr="00112D21">
              <w:rPr>
                <w:rFonts w:eastAsia="Times New Roman" w:cs="Calibri"/>
                <w:color w:val="000000"/>
                <w:lang w:eastAsia="cs-CZ"/>
              </w:rPr>
              <w:t>boxu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7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2 zdroje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7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67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7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musí obsahovat management linku - Ethernet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7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7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7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7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počet management linek </w:t>
            </w:r>
            <w:r w:rsidR="00117D79"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Ethernet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7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7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68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7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vzdálenou administraci zařízení lze provádět přes management interface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8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GUI + příkazová řádka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8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686" w14:textId="77777777" w:rsidTr="00117D79">
        <w:trPr>
          <w:trHeight w:val="9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8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obsahuje nezávislý servisní procesor umožňující provádění veškerých administrátorských operací (včetně zastavení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bootovacího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procesu) vzdáleně po síti Ethernet (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Lights-out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System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8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68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8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8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celková propustnost zařízení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8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4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upload+download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8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68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8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celková propustnost zařízení - šifrovaný provoz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8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4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upload+download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8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692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8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lze škálovat bez nutnosti výměny pořízeného hardwaru (propustnost L4/L7, počet transakcí za sekundu, počet SSL VPN)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9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9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9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9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plně podporuje IPv6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9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9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9A" w14:textId="77777777" w:rsidTr="00117D79">
        <w:trPr>
          <w:trHeight w:val="300"/>
        </w:trPr>
        <w:tc>
          <w:tcPr>
            <w:tcW w:w="7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9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lastRenderedPageBreak/>
              <w:t xml:space="preserve">zařízení plně podporuje IPv6/IPv4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gateway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9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9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9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9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zpracovává SSL komunikaci na hardwarové úrovni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9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9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A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9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výkon zařízení pro SSL transakce za sekundu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A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2 000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A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6A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A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protokol DTLS (Datagram Transport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Layer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Security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A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A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A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A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autentizaci a SSO prostřednictvím -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Active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Directory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A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A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A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A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autentizaci a SSO prostřednictvím - Kerberos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A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A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B2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A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autentizaci a SSO prostřednictvím - LDAP (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Lightweight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Directory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Access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Protocol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B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B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B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B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autentizaci a SSO prostřednictvím - NTLM  (NT LAN Manager)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B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B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B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B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autentizaci a SSO prostřednictvím -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Radius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B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B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BE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B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autentizaci a SSO prostřednictvím - TACACS+ (Terminal Access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Controller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Access-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Control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System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B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B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C2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B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autentizaci a SSO prostřednictvím - OCSP (OnLine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Certificate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Status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Protocol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C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C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C6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C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autentizaci a SSO prostřednictvím - CRLDP (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Certificate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Revocation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List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Distribution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Point)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C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C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CA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C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SSL certifikáty s elektronickým podpisem dle standardu SHA-2 s podporou TLS 1.1, TLS 1.2 a TLS 1.3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C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6C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6C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C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SNMP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C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verze 1, 2c a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C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6D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C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IPFIX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D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D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D6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F6D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umožňuje odeslat elektronickou zprávu (e-mail) určené osobě při vzniku sledované události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D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D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D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D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umožňuje odeslat log na externí logovací systém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D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D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DE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D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SSL VPN přístup ze zařízení s operačním systémem Windows, které jsou podporované výrobcem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D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D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E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D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SSL VPN přístup ze zařízení s operačním systémem Linux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Ubuntu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a Fedora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E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E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E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E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SSL VPN přístup ze zařízení s operačním systémem Android 8.x a novější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E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E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EA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E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umožňuje vytvořit chráněné prostředí na klientském systému pro zamezení nežádoucího přístupu lokálních procesů ke zpracovávaným datům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E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6E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E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E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publikaci aplikace - Outlook Web Access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E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E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F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E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publikaci aplikace - Outlook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Anywhere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F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F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F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F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publikaci aplikace - Exchange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ActiveSync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F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F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F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F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publikaci aplikace - SharePoint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F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F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6F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6F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podporuje publikaci aplikace - Microsoft RDS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F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6F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02" w14:textId="77777777" w:rsidTr="00117D79">
        <w:trPr>
          <w:trHeight w:val="9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6F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automatickou synchronizaci elektronické pošty, kalendářů a kontaktů aplikace Microsoft Exchange s mobilními zařízeními prostřednictvím protokolu Microsoft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ActiveSync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0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0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0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0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podporovaná verze Microsoft Exchange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0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2016 a novější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0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70A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0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řízení autentizace přístupu prostřednictvím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access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listů (ACL) na Layer4 a Layer7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0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0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0E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0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je schopno dynamické aplikace individuálních ACL jednotlivým klientům nebo skupinám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0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0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1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0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musí poskytnout možnost bezpečné publikace interních aplikací do veřejných sítí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1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1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16" w14:textId="77777777" w:rsidTr="00117D79">
        <w:trPr>
          <w:trHeight w:val="300"/>
        </w:trPr>
        <w:tc>
          <w:tcPr>
            <w:tcW w:w="7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1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lastRenderedPageBreak/>
              <w:t xml:space="preserve">zařízení musí zajistit zakončení SSL spojení mimo vlastní aplikační servery (SSL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off-load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1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1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1A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1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musí umožnit kontrolu koncových zařízení nad přístupem externích uživatelů k interním aplikacím vč. jejich jednotné autentizace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1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1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1E" w14:textId="77777777" w:rsidTr="00117D79">
        <w:trPr>
          <w:trHeight w:val="12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1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musí umožňovat kontrolu koncových zařízení přistupujících k interním aplikacím a službám v</w:t>
            </w:r>
            <w:r w:rsidR="00117D79">
              <w:rPr>
                <w:rFonts w:eastAsia="Times New Roman" w:cs="Calibri"/>
                <w:color w:val="000000"/>
                <w:lang w:eastAsia="cs-CZ"/>
              </w:rPr>
              <w:t> </w:t>
            </w:r>
            <w:r w:rsidRPr="00112D21">
              <w:rPr>
                <w:rFonts w:eastAsia="Times New Roman" w:cs="Calibri"/>
                <w:color w:val="000000"/>
                <w:lang w:eastAsia="cs-CZ"/>
              </w:rPr>
              <w:t>rozsahu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1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stav operačního systému přistupujícího klienta,</w:t>
            </w:r>
            <w:r w:rsidRPr="00112D21">
              <w:rPr>
                <w:rFonts w:eastAsia="Times New Roman" w:cs="Calibri"/>
                <w:color w:val="000000"/>
                <w:lang w:eastAsia="cs-CZ"/>
              </w:rPr>
              <w:br/>
              <w:t>stav antiviru přistupujícího klienta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1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722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1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funguje jako univerzální řešení bezpečnosti všech aplikačních a webových serverů napříč celou agenturou (centrální správa certifikátů)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2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2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26" w14:textId="77777777" w:rsidTr="00117D79">
        <w:trPr>
          <w:trHeight w:val="9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2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řešení umožní publikovat služby Outlook Web Access, Outlook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Anywhere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, Exchange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ActiveSync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, Microsoft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Remote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Desktop Session, SharePoint, Skype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Business, Microsoft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Teams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a Microsoft Dynamics CRM formou předdefinovaných šablon poskytnutých výrobcem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2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2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2A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2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musí umožňovat filtrování jednotlivých URL a blokování IP adresních rozsahů a to nejen podle geografické příslušnosti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2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2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72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2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musí umožňovat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cachování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a kompresi HTTP provozu dle standardů HTTP protokolu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2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2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32" w14:textId="77777777" w:rsidTr="00117D79">
        <w:trPr>
          <w:trHeight w:val="9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2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musí umožňovat rozkládání zátěže mezi různé aplikační a webové servery (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load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balancing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) pro webové servery, Microsoft Dynamics, Microsoft Exchange, Microsoft Skype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Business a Microsoft RDS -  pro interní i externí uživatele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3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3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36" w14:textId="77777777" w:rsidTr="00117D79">
        <w:trPr>
          <w:trHeight w:val="9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3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umožňuje vytváření izolovaných a na sobě nezávislých (IP adresy,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routovací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tabulky atp.) síťových segmentů za účelem úplného oddělení síťového provozu pro různé typy aplikací nebo klientů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3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3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3A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3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je schopno rozkládání zátěže na interní systémy na základě aktuálního stavu koncového systému a procesu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3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3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3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3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je schopno provádět aktivní monitoring dostupnosti služby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3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3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4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3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je schopno provádět pasivní monitoring dostupnosti služby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4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4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4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4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funkcionalitu integrity session při používání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Load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balancingu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4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4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4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4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možnost řízení procesů na základě obsahu komunikace na Layer2 - Layer7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4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4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4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4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je schopno změny obsahu přenášených dat na Layer4 - Layer7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4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4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5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4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je schopno filtrovat provoz (packet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filtering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- ACL) na hardwarové úrovni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5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5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5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5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je schopno řízení šířky pásma (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Bandwidth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management)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5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5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5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5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službu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QoS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Quality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Service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) -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marking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/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preservation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/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mimic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5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5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5E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5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umožňuje doplnění uživatelské funkcionality pomocí skriptů a vestavěného skriptovacího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interpreteru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5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5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62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4F75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umožňuje zaznamenávat statistiky provozu HTTP a HTTPS a vytvářet exportovatelné výstupy včetně grafů, přes jednotlivé služby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6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6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66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6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umožňuje napojení na systémy třetích stran pomocí protokolu ICAP (Internet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Content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Adaptation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Protocol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6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6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6A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6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umožňuje napojení na systémy a aplikace třetích stran prostřednictvím dokumentovaného API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6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6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6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6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umožňuje vytváření SSL VPN tunelů pro konkrétní aplikace (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Application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Tunnels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6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6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7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6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obsahuje podporu služby SSO (Single Sign-On)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7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7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7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7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je schopno poskytovat službu SSO i přes více domén pro všechny aplikace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7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7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7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7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Credential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Caching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7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7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7E" w14:textId="77777777" w:rsidTr="00117D79">
        <w:trPr>
          <w:trHeight w:val="300"/>
        </w:trPr>
        <w:tc>
          <w:tcPr>
            <w:tcW w:w="7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7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lastRenderedPageBreak/>
              <w:t xml:space="preserve">zařízení podporuje možnost zcela vypnout funkcionalitu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Credential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Caching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7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7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8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7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podporuje funkcionalitu Reverse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proxy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současně s SSO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8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8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8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8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obsahuje podporu autentizace pomocí - autentizačních formulářů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8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8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8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8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obsahuje podporu autentizace pomocí - certifikátů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8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8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8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8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obsahuje podporu autentizace pomocí - RSA tokenů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8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8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9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8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obsahuje podporu autentizace pomocí - Smart karet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9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9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9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9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obsahuje podporu autentizace pomocí -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SecurID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9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9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9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9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obsahuje podporu autentizace pomocí - Kerberos SSO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9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9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9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9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obsahuje podporu autentizace pomocí - OAuth2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9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9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A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9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obsahuje podporu autentizace pomocí - Microsoft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Authenticator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A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A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A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A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obsahuje podporu OTP (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one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time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password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>) autentizace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A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A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AA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A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zařízení pracuje jako forward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proxy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a umožňuje řízení přístupu uživatelů k Internetu na základě času a členství v doménových skupinách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A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A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A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A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obsahuje Web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Application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Firewall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A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A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B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A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bezpečnostní model Web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Application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Firewallu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B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negativní i pozitivní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B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B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B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obsahuje Integrovaný XML firewall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B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B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B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B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obsahuje integrovaný aplikační firewall pro protokoly FTP a SMTP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B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B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BE" w14:textId="77777777" w:rsidTr="00117D79">
        <w:trPr>
          <w:trHeight w:val="6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B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musí podporovat logování přístupů k webovým službám, které jsou publikované na zařízení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B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B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C2" w14:textId="77777777" w:rsidTr="00117D79">
        <w:trPr>
          <w:trHeight w:val="12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B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logování přístupů k webovým službám musí obsahovat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C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údaj o čase, doméně a</w:t>
            </w:r>
            <w:r w:rsidRPr="00112D21">
              <w:rPr>
                <w:rFonts w:eastAsia="Times New Roman" w:cs="Calibri"/>
                <w:color w:val="000000"/>
                <w:lang w:eastAsia="cs-CZ"/>
              </w:rPr>
              <w:br/>
              <w:t>uživatelském jméně uživatele včetně neúspěšných pokusů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C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7C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C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možnost konfigurace Web </w:t>
            </w:r>
            <w:proofErr w:type="spellStart"/>
            <w:r w:rsidRPr="00112D21">
              <w:rPr>
                <w:rFonts w:eastAsia="Times New Roman" w:cs="Calibri"/>
                <w:color w:val="000000"/>
                <w:lang w:eastAsia="cs-CZ"/>
              </w:rPr>
              <w:t>Application</w:t>
            </w:r>
            <w:proofErr w:type="spellEnd"/>
            <w:r w:rsidRPr="00112D21">
              <w:rPr>
                <w:rFonts w:eastAsia="Times New Roman" w:cs="Calibri"/>
                <w:color w:val="000000"/>
                <w:lang w:eastAsia="cs-CZ"/>
              </w:rPr>
              <w:t xml:space="preserve"> Firewallu za využití učícího se módu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C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C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C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C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jsou dodávána s právem aktualizace firmwaru po dobu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C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C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CE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C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jsou dodávána s právem aktualizace bezpečnostních signatur od výrobce po dobu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C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C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D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C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nejdřívější datum, od kdy vznikne právo na aktualizaci bezpečnostních signatur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D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07.06.2020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7D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D6" w14:textId="77777777" w:rsidTr="00117D79">
        <w:trPr>
          <w:trHeight w:val="300"/>
        </w:trPr>
        <w:tc>
          <w:tcPr>
            <w:tcW w:w="7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D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jsou dodávána s hardwarovou podporou výrobce na dobu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D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D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D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D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nejdřívější datum, od kdy vznikne právo na hardwarovou podporu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D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07.06.2020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D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DE" w14:textId="77777777" w:rsidTr="00117D79">
        <w:trPr>
          <w:trHeight w:val="300"/>
        </w:trPr>
        <w:tc>
          <w:tcPr>
            <w:tcW w:w="7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D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zařízení jsou dodávána s technickou podporou výrobce na dobu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D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D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E2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D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nejdřívější datum, od kdy vznikne právo na technickou podporu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E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07.06.2020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E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E6" w14:textId="77777777" w:rsidTr="00117D79">
        <w:trPr>
          <w:trHeight w:val="300"/>
        </w:trPr>
        <w:tc>
          <w:tcPr>
            <w:tcW w:w="76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E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režim technické podpory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E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5x8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E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112D21" w:rsidRPr="00112D21" w14:paraId="0214F7EA" w14:textId="77777777" w:rsidTr="00117D79">
        <w:trPr>
          <w:trHeight w:val="300"/>
        </w:trPr>
        <w:tc>
          <w:tcPr>
            <w:tcW w:w="76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E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záruka - rychlost odezvy na nahlášenou závadu do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E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následující pracovní den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4F7E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112D21" w:rsidRPr="00112D21" w14:paraId="0214F7EE" w14:textId="77777777" w:rsidTr="00117D79">
        <w:trPr>
          <w:trHeight w:val="300"/>
        </w:trPr>
        <w:tc>
          <w:tcPr>
            <w:tcW w:w="7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E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záruka - garance odeslání náhradního dílu na místo provozu zařízení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E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do dvou pracovních dnů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4F7E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112D21" w:rsidRPr="00112D21" w14:paraId="0214F7F2" w14:textId="77777777" w:rsidTr="00117D79">
        <w:trPr>
          <w:trHeight w:val="9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EF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b/>
                <w:bCs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F0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F1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F6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F3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nabídka a Prohlášení musí být v češtině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F4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F5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FA" w14:textId="77777777" w:rsidTr="00117D79">
        <w:trPr>
          <w:trHeight w:val="300"/>
        </w:trPr>
        <w:tc>
          <w:tcPr>
            <w:tcW w:w="7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F7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F8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F9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12D21" w:rsidRPr="00112D21" w14:paraId="0214F7FE" w14:textId="77777777" w:rsidTr="00117D79">
        <w:trPr>
          <w:trHeight w:val="615"/>
        </w:trPr>
        <w:tc>
          <w:tcPr>
            <w:tcW w:w="7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7FB" w14:textId="77777777" w:rsidR="00112D21" w:rsidRPr="00112D21" w:rsidRDefault="00112D21" w:rsidP="00112D21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7FC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4F7FD" w14:textId="77777777" w:rsidR="00112D21" w:rsidRPr="00112D21" w:rsidRDefault="00112D21" w:rsidP="00112D21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12D2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0214F7FF" w14:textId="77777777" w:rsidR="00117D79" w:rsidRDefault="00117D79" w:rsidP="00117D79">
      <w:pPr>
        <w:tabs>
          <w:tab w:val="left" w:pos="4080"/>
        </w:tabs>
        <w:ind w:firstLine="0"/>
        <w:rPr>
          <w:lang w:eastAsia="ar-SA"/>
        </w:rPr>
      </w:pPr>
    </w:p>
    <w:p w14:paraId="0214F800" w14:textId="77777777" w:rsidR="00582AE7" w:rsidRDefault="00582AE7">
      <w:pPr>
        <w:spacing w:after="0"/>
        <w:ind w:firstLine="0"/>
        <w:rPr>
          <w:lang w:eastAsia="ar-SA"/>
        </w:rPr>
      </w:pPr>
      <w:r>
        <w:rPr>
          <w:lang w:eastAsia="ar-SA"/>
        </w:rPr>
        <w:br w:type="page"/>
      </w:r>
    </w:p>
    <w:p w14:paraId="0214F801" w14:textId="77777777" w:rsidR="008326A5" w:rsidRDefault="008326A5">
      <w:pPr>
        <w:spacing w:after="0"/>
        <w:ind w:firstLine="0"/>
        <w:rPr>
          <w:lang w:eastAsia="ar-SA"/>
        </w:rPr>
      </w:pPr>
      <w:r>
        <w:rPr>
          <w:lang w:eastAsia="ar-SA"/>
        </w:rPr>
        <w:lastRenderedPageBreak/>
        <w:t>Technická specifikace nabízeného řešení:</w:t>
      </w:r>
    </w:p>
    <w:p w14:paraId="0214F802" w14:textId="77777777" w:rsidR="008326A5" w:rsidRDefault="008326A5">
      <w:pPr>
        <w:spacing w:after="0"/>
        <w:ind w:firstLine="0"/>
        <w:rPr>
          <w:lang w:eastAsia="ar-SA"/>
        </w:rPr>
      </w:pPr>
    </w:p>
    <w:p w14:paraId="0214F803" w14:textId="77777777" w:rsidR="008326A5" w:rsidRDefault="008326A5">
      <w:pPr>
        <w:spacing w:after="0"/>
        <w:ind w:firstLine="0"/>
        <w:rPr>
          <w:lang w:eastAsia="ar-SA"/>
        </w:rPr>
      </w:pPr>
    </w:p>
    <w:tbl>
      <w:tblPr>
        <w:tblW w:w="8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936"/>
        <w:gridCol w:w="4819"/>
        <w:gridCol w:w="160"/>
      </w:tblGrid>
      <w:tr w:rsidR="008326A5" w:rsidRPr="008326A5" w14:paraId="0214F807" w14:textId="77777777" w:rsidTr="008326A5">
        <w:trPr>
          <w:gridAfter w:val="1"/>
          <w:wAfter w:w="160" w:type="dxa"/>
          <w:trHeight w:val="300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F804" w14:textId="77777777" w:rsidR="008326A5" w:rsidRPr="008326A5" w:rsidRDefault="008326A5" w:rsidP="008326A5">
            <w:pPr>
              <w:spacing w:after="0"/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F805" w14:textId="77777777" w:rsidR="008326A5" w:rsidRPr="008326A5" w:rsidRDefault="008326A5" w:rsidP="008326A5">
            <w:pPr>
              <w:spacing w:after="0"/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Part </w:t>
            </w:r>
            <w:proofErr w:type="spellStart"/>
            <w:r w:rsidRPr="008326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Number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F806" w14:textId="77777777" w:rsidR="008326A5" w:rsidRPr="008326A5" w:rsidRDefault="008326A5" w:rsidP="008326A5">
            <w:pPr>
              <w:spacing w:after="0"/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Popis produktu</w:t>
            </w:r>
          </w:p>
        </w:tc>
      </w:tr>
      <w:tr w:rsidR="008326A5" w:rsidRPr="008326A5" w14:paraId="0214F80C" w14:textId="77777777" w:rsidTr="008326A5">
        <w:trPr>
          <w:trHeight w:val="300"/>
          <w:jc w:val="center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F808" w14:textId="77777777" w:rsidR="008326A5" w:rsidRPr="008326A5" w:rsidRDefault="008326A5" w:rsidP="008326A5">
            <w:pPr>
              <w:spacing w:after="0"/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F809" w14:textId="77777777" w:rsidR="008326A5" w:rsidRPr="008326A5" w:rsidRDefault="008326A5" w:rsidP="008326A5">
            <w:pPr>
              <w:spacing w:after="0"/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F80A" w14:textId="77777777" w:rsidR="008326A5" w:rsidRPr="008326A5" w:rsidRDefault="008326A5" w:rsidP="008326A5">
            <w:pPr>
              <w:spacing w:after="0"/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F80B" w14:textId="77777777" w:rsidR="008326A5" w:rsidRPr="008326A5" w:rsidRDefault="008326A5" w:rsidP="008326A5">
            <w:pPr>
              <w:spacing w:after="0"/>
              <w:ind w:firstLine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8326A5" w:rsidRPr="008326A5" w14:paraId="0214F810" w14:textId="77777777" w:rsidTr="008326A5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F80D" w14:textId="77777777" w:rsidR="008326A5" w:rsidRPr="008326A5" w:rsidRDefault="008326A5" w:rsidP="008326A5">
            <w:pPr>
              <w:spacing w:after="0"/>
              <w:ind w:firstLine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0E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  <w:t>LTM-</w:t>
            </w:r>
            <w:proofErr w:type="spellStart"/>
            <w:r w:rsidRPr="008326A5"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  <w:t>Loadbalancing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0214F80F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15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11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12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F5-BIG-LTM-I2600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13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BIG-IP i2600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Local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Traffic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Manager (16 GB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Memory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, Base SSL, Base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Compression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0214F814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1A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16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17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F5-SVC-BIG-STD-L1-3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18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Level 1-3 Standard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Service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for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BIG-IP (5x10)</w:t>
            </w:r>
          </w:p>
        </w:tc>
        <w:tc>
          <w:tcPr>
            <w:tcW w:w="160" w:type="dxa"/>
            <w:vAlign w:val="center"/>
            <w:hideMark/>
          </w:tcPr>
          <w:p w14:paraId="0214F819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1F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1B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1C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F5-SVC-BIG-RMA-2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1D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Next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-Business-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Day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Hardware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Replacement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Service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(RMA)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for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BIG-IP</w:t>
            </w:r>
          </w:p>
        </w:tc>
        <w:tc>
          <w:tcPr>
            <w:tcW w:w="160" w:type="dxa"/>
            <w:vAlign w:val="center"/>
            <w:hideMark/>
          </w:tcPr>
          <w:p w14:paraId="0214F81E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23" w14:textId="77777777" w:rsidTr="008326A5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F820" w14:textId="77777777" w:rsidR="008326A5" w:rsidRPr="008326A5" w:rsidRDefault="008326A5" w:rsidP="008326A5">
            <w:pPr>
              <w:spacing w:after="0"/>
              <w:ind w:firstLine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21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  <w:t xml:space="preserve">ASM </w:t>
            </w:r>
            <w:proofErr w:type="spellStart"/>
            <w:r w:rsidRPr="008326A5"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  <w:t>addon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0214F822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28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24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25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F5-ADD-BIG-ASM-I2XXX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26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BIG-IP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Application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Security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Manager Module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for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i2X00</w:t>
            </w:r>
          </w:p>
        </w:tc>
        <w:tc>
          <w:tcPr>
            <w:tcW w:w="160" w:type="dxa"/>
            <w:vAlign w:val="center"/>
            <w:hideMark/>
          </w:tcPr>
          <w:p w14:paraId="0214F827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2D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29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2A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F5-SVC-BIG-STD-L1-3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2B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Level 1-3 Standard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Service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for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BIG-IP (5x10)</w:t>
            </w:r>
          </w:p>
        </w:tc>
        <w:tc>
          <w:tcPr>
            <w:tcW w:w="160" w:type="dxa"/>
            <w:vAlign w:val="center"/>
            <w:hideMark/>
          </w:tcPr>
          <w:p w14:paraId="0214F82C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31" w14:textId="77777777" w:rsidTr="008326A5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F82E" w14:textId="77777777" w:rsidR="008326A5" w:rsidRPr="008326A5" w:rsidRDefault="008326A5" w:rsidP="008326A5">
            <w:pPr>
              <w:spacing w:after="0"/>
              <w:ind w:firstLine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2F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  <w:t xml:space="preserve">APM </w:t>
            </w:r>
            <w:proofErr w:type="spellStart"/>
            <w:r w:rsidRPr="008326A5"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  <w:t>addon</w:t>
            </w:r>
            <w:proofErr w:type="spellEnd"/>
            <w:r w:rsidRPr="008326A5"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  <w:t xml:space="preserve"> (150 VPN </w:t>
            </w:r>
            <w:proofErr w:type="spellStart"/>
            <w:r w:rsidRPr="008326A5"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  <w:t>included</w:t>
            </w:r>
            <w:proofErr w:type="spellEnd"/>
            <w:r w:rsidRPr="008326A5"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  <w:t xml:space="preserve">) + 150 VPN </w:t>
            </w:r>
            <w:proofErr w:type="spellStart"/>
            <w:r w:rsidRPr="008326A5"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  <w:t>licenses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0214F830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36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32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33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F5-ADD-BIG-APMI26XXB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34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BIG-IP Access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Policy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Manager Base Module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for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i2600</w:t>
            </w:r>
          </w:p>
        </w:tc>
        <w:tc>
          <w:tcPr>
            <w:tcW w:w="160" w:type="dxa"/>
            <w:vAlign w:val="center"/>
            <w:hideMark/>
          </w:tcPr>
          <w:p w14:paraId="0214F835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3B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37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38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F5-SVC-BIG-STD-L1-3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39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Level 1-3 Standard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Service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for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BIG-IP (5x10)</w:t>
            </w:r>
          </w:p>
        </w:tc>
        <w:tc>
          <w:tcPr>
            <w:tcW w:w="160" w:type="dxa"/>
            <w:vAlign w:val="center"/>
            <w:hideMark/>
          </w:tcPr>
          <w:p w14:paraId="0214F83A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40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3C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3D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F5-ADD-BIG-VPN-100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3E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BIG-IP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Add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-on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License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for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Access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Policy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Manager (100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Concurrent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SSL VPN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Users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0214F83F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45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41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42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F5-SVC-BIG-STD-L1-3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43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Level 1-3 Standard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Service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for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BIG-IP (5x10)</w:t>
            </w:r>
          </w:p>
        </w:tc>
        <w:tc>
          <w:tcPr>
            <w:tcW w:w="160" w:type="dxa"/>
            <w:vAlign w:val="center"/>
            <w:hideMark/>
          </w:tcPr>
          <w:p w14:paraId="0214F844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4A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46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47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F5-ADD-BIG-VPN-50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48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BIG-IP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Add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-on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License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for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Access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Policy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Manager (50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Concurrent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SSL VPN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Users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0214F849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4F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4B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4C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F5-SVC-BIG-STD-L1-3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4D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Level 1-3 Standard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Service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for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BIG-IP (5x10)</w:t>
            </w:r>
          </w:p>
        </w:tc>
        <w:tc>
          <w:tcPr>
            <w:tcW w:w="160" w:type="dxa"/>
            <w:vAlign w:val="center"/>
            <w:hideMark/>
          </w:tcPr>
          <w:p w14:paraId="0214F84E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53" w14:textId="77777777" w:rsidTr="008326A5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F850" w14:textId="77777777" w:rsidR="008326A5" w:rsidRPr="008326A5" w:rsidRDefault="008326A5" w:rsidP="008326A5">
            <w:pPr>
              <w:spacing w:after="0"/>
              <w:ind w:firstLine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51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  <w:t xml:space="preserve">HW </w:t>
            </w:r>
            <w:proofErr w:type="spellStart"/>
            <w:r w:rsidRPr="008326A5">
              <w:rPr>
                <w:rFonts w:ascii="Verdana" w:eastAsia="Times New Roman" w:hAnsi="Verdana" w:cs="Calibri"/>
                <w:b/>
                <w:bCs/>
                <w:color w:val="44546A"/>
                <w:sz w:val="20"/>
                <w:szCs w:val="20"/>
                <w:lang w:eastAsia="cs-CZ"/>
              </w:rPr>
              <w:t>options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0214F852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58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54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55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F5-UPG-AC-I2XXX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56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BIG-IP Single AC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Power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Supply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for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i2X00 (250 W, 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Field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Upgrade)</w:t>
            </w:r>
          </w:p>
        </w:tc>
        <w:tc>
          <w:tcPr>
            <w:tcW w:w="160" w:type="dxa"/>
            <w:vAlign w:val="center"/>
            <w:hideMark/>
          </w:tcPr>
          <w:p w14:paraId="0214F857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26A5" w:rsidRPr="008326A5" w14:paraId="0214F85D" w14:textId="77777777" w:rsidTr="008326A5">
        <w:trPr>
          <w:trHeight w:val="450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59" w14:textId="77777777" w:rsidR="008326A5" w:rsidRPr="008326A5" w:rsidRDefault="008326A5" w:rsidP="008326A5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326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5A" w14:textId="77777777" w:rsidR="008326A5" w:rsidRPr="008326A5" w:rsidRDefault="008326A5" w:rsidP="008326A5">
            <w:pPr>
              <w:spacing w:after="0"/>
              <w:ind w:firstLineChars="100" w:firstLine="18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F5-UPG-SFPC-R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4F85B" w14:textId="77777777" w:rsidR="008326A5" w:rsidRPr="008326A5" w:rsidRDefault="008326A5" w:rsidP="008326A5">
            <w:pPr>
              <w:spacing w:after="0"/>
              <w:ind w:firstLine="0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BIG-IP &amp; VIPRION SFP 1000BASE-T Transceiver (</w:t>
            </w:r>
            <w:proofErr w:type="spellStart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Field</w:t>
            </w:r>
            <w:proofErr w:type="spellEnd"/>
            <w:r w:rsidRPr="008326A5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 Upgrade)</w:t>
            </w:r>
          </w:p>
        </w:tc>
        <w:tc>
          <w:tcPr>
            <w:tcW w:w="160" w:type="dxa"/>
            <w:vAlign w:val="center"/>
            <w:hideMark/>
          </w:tcPr>
          <w:p w14:paraId="0214F85C" w14:textId="77777777" w:rsidR="008326A5" w:rsidRPr="008326A5" w:rsidRDefault="008326A5" w:rsidP="008326A5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0214F85E" w14:textId="77777777" w:rsidR="00582AE7" w:rsidRDefault="00582AE7">
      <w:pPr>
        <w:spacing w:after="0"/>
        <w:ind w:firstLine="0"/>
        <w:rPr>
          <w:lang w:eastAsia="ar-SA"/>
        </w:rPr>
      </w:pPr>
      <w:r>
        <w:rPr>
          <w:lang w:eastAsia="ar-SA"/>
        </w:rPr>
        <w:br w:type="page"/>
      </w:r>
    </w:p>
    <w:p w14:paraId="0214F85F" w14:textId="77777777" w:rsidR="00112D21" w:rsidRPr="00117D79" w:rsidRDefault="00112D21" w:rsidP="00117D79">
      <w:pPr>
        <w:tabs>
          <w:tab w:val="left" w:pos="4080"/>
        </w:tabs>
        <w:ind w:firstLine="0"/>
        <w:rPr>
          <w:lang w:eastAsia="ar-SA"/>
        </w:rPr>
        <w:sectPr w:rsidR="00112D21" w:rsidRPr="00117D79" w:rsidSect="00117D79">
          <w:pgSz w:w="11906" w:h="16838"/>
          <w:pgMar w:top="1417" w:right="1417" w:bottom="1276" w:left="426" w:header="708" w:footer="708" w:gutter="0"/>
          <w:pgNumType w:start="1"/>
          <w:cols w:space="708"/>
          <w:titlePg/>
          <w:docGrid w:linePitch="360"/>
        </w:sectPr>
      </w:pPr>
    </w:p>
    <w:p w14:paraId="0214F860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0214F861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62" w14:textId="77777777"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633531">
        <w:rPr>
          <w:rFonts w:ascii="Arial" w:hAnsi="Arial" w:cs="Arial"/>
          <w:sz w:val="20"/>
          <w:szCs w:val="20"/>
        </w:rPr>
        <w:t>Ditcom</w:t>
      </w:r>
      <w:proofErr w:type="spellEnd"/>
      <w:r w:rsidR="00633531">
        <w:rPr>
          <w:rFonts w:ascii="Arial" w:hAnsi="Arial" w:cs="Arial"/>
          <w:sz w:val="20"/>
          <w:szCs w:val="20"/>
        </w:rPr>
        <w:t xml:space="preserve">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3531">
        <w:rPr>
          <w:rFonts w:ascii="Arial" w:hAnsi="Arial" w:cs="Arial"/>
          <w:sz w:val="20"/>
          <w:szCs w:val="20"/>
        </w:rPr>
        <w:t>Antala Staška 510/38, 140 00, Praha 4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3531">
        <w:rPr>
          <w:rFonts w:ascii="Arial" w:hAnsi="Arial" w:cs="Arial"/>
          <w:sz w:val="20"/>
          <w:szCs w:val="20"/>
        </w:rPr>
        <w:t>26715031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3531">
        <w:rPr>
          <w:rFonts w:ascii="Arial" w:hAnsi="Arial" w:cs="Arial"/>
          <w:sz w:val="20"/>
          <w:szCs w:val="20"/>
        </w:rPr>
        <w:t>CZ26715031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0214F863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0214F864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0214F865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0214F866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14:paraId="0214F867" w14:textId="77777777"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proofErr w:type="spellStart"/>
      <w:r w:rsidR="00112D21" w:rsidRPr="00112D21">
        <w:rPr>
          <w:rFonts w:ascii="Arial" w:hAnsi="Arial" w:cs="Arial"/>
          <w:b w:val="0"/>
          <w:color w:val="000000"/>
          <w:sz w:val="20"/>
        </w:rPr>
        <w:t>Load</w:t>
      </w:r>
      <w:proofErr w:type="spellEnd"/>
      <w:r w:rsidR="00112D21" w:rsidRPr="00112D21">
        <w:rPr>
          <w:rFonts w:ascii="Arial" w:hAnsi="Arial" w:cs="Arial"/>
          <w:b w:val="0"/>
          <w:color w:val="000000"/>
          <w:sz w:val="20"/>
        </w:rPr>
        <w:t xml:space="preserve"> </w:t>
      </w:r>
      <w:proofErr w:type="spellStart"/>
      <w:r w:rsidR="00112D21" w:rsidRPr="00112D21">
        <w:rPr>
          <w:rFonts w:ascii="Arial" w:hAnsi="Arial" w:cs="Arial"/>
          <w:b w:val="0"/>
          <w:color w:val="000000"/>
          <w:sz w:val="20"/>
        </w:rPr>
        <w:t>balancer</w:t>
      </w:r>
      <w:proofErr w:type="spellEnd"/>
      <w:r w:rsidR="00112D21" w:rsidRPr="00112D21">
        <w:rPr>
          <w:rFonts w:ascii="Arial" w:hAnsi="Arial" w:cs="Arial"/>
          <w:b w:val="0"/>
          <w:color w:val="000000"/>
          <w:sz w:val="20"/>
        </w:rPr>
        <w:t xml:space="preserve"> a SSL VPN koncentrátor (2020)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112D21" w:rsidRPr="00112D21">
        <w:rPr>
          <w:rFonts w:ascii="Arial" w:hAnsi="Arial" w:cs="Arial"/>
          <w:b w:val="0"/>
          <w:color w:val="000000"/>
          <w:sz w:val="20"/>
        </w:rPr>
        <w:t>N006/20/V00009998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112D21">
        <w:rPr>
          <w:rStyle w:val="non-editable-field"/>
          <w:rFonts w:ascii="Arial" w:hAnsi="Arial" w:cs="Arial"/>
          <w:b w:val="0"/>
          <w:color w:val="000000"/>
          <w:sz w:val="20"/>
        </w:rPr>
        <w:t>29.4.2020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14:paraId="0214F86A" w14:textId="77777777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14F868" w14:textId="77777777" w:rsidR="009C1455" w:rsidRDefault="009C1455" w:rsidP="00112D21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14F869" w14:textId="77777777" w:rsidR="009C1455" w:rsidRDefault="009C1455" w:rsidP="00112D21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14:paraId="0214F86D" w14:textId="77777777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F86B" w14:textId="77777777" w:rsidR="009C1455" w:rsidRDefault="00633531" w:rsidP="00112D21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C1455">
              <w:rPr>
                <w:b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F86C" w14:textId="77777777" w:rsidR="009C1455" w:rsidRPr="00165DEF" w:rsidRDefault="00633531" w:rsidP="00112D21">
            <w:pPr>
              <w:pStyle w:val="Zkladntext"/>
              <w:jc w:val="center"/>
              <w:rPr>
                <w:b/>
                <w:szCs w:val="24"/>
              </w:rPr>
            </w:pPr>
            <w:r w:rsidRPr="00633531">
              <w:rPr>
                <w:rFonts w:ascii="Arial" w:hAnsi="Arial" w:cs="Arial"/>
                <w:sz w:val="20"/>
              </w:rPr>
              <w:t>LTM-</w:t>
            </w:r>
            <w:proofErr w:type="spellStart"/>
            <w:r w:rsidRPr="00633531">
              <w:rPr>
                <w:rFonts w:ascii="Arial" w:hAnsi="Arial" w:cs="Arial"/>
                <w:sz w:val="20"/>
              </w:rPr>
              <w:t>Loadbalancing</w:t>
            </w:r>
            <w:proofErr w:type="spellEnd"/>
          </w:p>
        </w:tc>
      </w:tr>
    </w:tbl>
    <w:p w14:paraId="0214F86E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6F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0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1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2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3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4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5" w14:textId="77777777"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14:paraId="0214F876" w14:textId="77777777"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14:paraId="0214F877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8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9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A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B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C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D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7E" w14:textId="77777777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14:paraId="0214F87F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80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81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82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14F883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0214F885" w14:textId="77777777" w:rsidTr="00112D21">
        <w:trPr>
          <w:trHeight w:val="496"/>
        </w:trPr>
        <w:tc>
          <w:tcPr>
            <w:tcW w:w="9062" w:type="dxa"/>
            <w:gridSpan w:val="3"/>
          </w:tcPr>
          <w:p w14:paraId="0214F884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14:paraId="0214F889" w14:textId="77777777" w:rsidTr="003A12C2">
        <w:trPr>
          <w:trHeight w:val="276"/>
        </w:trPr>
        <w:tc>
          <w:tcPr>
            <w:tcW w:w="2405" w:type="dxa"/>
          </w:tcPr>
          <w:p w14:paraId="0214F886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0214F887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0214F888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14:paraId="0214F88D" w14:textId="77777777" w:rsidTr="003A12C2">
        <w:trPr>
          <w:trHeight w:val="554"/>
        </w:trPr>
        <w:tc>
          <w:tcPr>
            <w:tcW w:w="2405" w:type="dxa"/>
          </w:tcPr>
          <w:p w14:paraId="0214F88A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14F88B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214F88C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14F88E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0214F890" w14:textId="77777777" w:rsidTr="00112D21">
        <w:trPr>
          <w:trHeight w:val="496"/>
        </w:trPr>
        <w:tc>
          <w:tcPr>
            <w:tcW w:w="9062" w:type="dxa"/>
            <w:gridSpan w:val="3"/>
          </w:tcPr>
          <w:p w14:paraId="0214F88F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0214F894" w14:textId="77777777" w:rsidTr="003A12C2">
        <w:trPr>
          <w:trHeight w:val="276"/>
        </w:trPr>
        <w:tc>
          <w:tcPr>
            <w:tcW w:w="2405" w:type="dxa"/>
          </w:tcPr>
          <w:p w14:paraId="0214F891" w14:textId="77777777" w:rsidR="00E20017" w:rsidRPr="003A12C2" w:rsidRDefault="002B6FB7" w:rsidP="00112D21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0214F892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0214F893" w14:textId="77777777" w:rsidR="00E20017" w:rsidRPr="003A12C2" w:rsidRDefault="007B5C62" w:rsidP="00112D21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0214F898" w14:textId="77777777" w:rsidTr="003A12C2">
        <w:trPr>
          <w:trHeight w:val="554"/>
        </w:trPr>
        <w:tc>
          <w:tcPr>
            <w:tcW w:w="2405" w:type="dxa"/>
            <w:vAlign w:val="center"/>
          </w:tcPr>
          <w:p w14:paraId="0214F895" w14:textId="7B584B6F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214F896" w14:textId="6042BCF7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214F897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14F899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F89C" w14:textId="77777777" w:rsidR="00781B91" w:rsidRPr="001B5279" w:rsidRDefault="00781B9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0214F89D" w14:textId="77777777" w:rsidR="00781B91" w:rsidRPr="001B5279" w:rsidRDefault="00781B9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F89E" w14:textId="77777777" w:rsidR="00582AE7" w:rsidRDefault="00582AE7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14F89F" w14:textId="77777777" w:rsidR="00582AE7" w:rsidRDefault="00582A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F8A0" w14:textId="77777777" w:rsidR="00582AE7" w:rsidRDefault="00582AE7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1985">
      <w:rPr>
        <w:rStyle w:val="slostrnky"/>
        <w:noProof/>
      </w:rPr>
      <w:t>5</w:t>
    </w:r>
    <w:r>
      <w:rPr>
        <w:rStyle w:val="slostrnky"/>
      </w:rPr>
      <w:fldChar w:fldCharType="end"/>
    </w:r>
  </w:p>
  <w:p w14:paraId="0214F8A1" w14:textId="77777777" w:rsidR="00582AE7" w:rsidRDefault="00582A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550038"/>
      <w:docPartObj>
        <w:docPartGallery w:val="Page Numbers (Bottom of Page)"/>
        <w:docPartUnique/>
      </w:docPartObj>
    </w:sdtPr>
    <w:sdtEndPr/>
    <w:sdtContent>
      <w:p w14:paraId="0214F8A3" w14:textId="77777777" w:rsidR="00582AE7" w:rsidRDefault="00582A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985">
          <w:rPr>
            <w:noProof/>
          </w:rPr>
          <w:t>1</w:t>
        </w:r>
        <w:r>
          <w:fldChar w:fldCharType="end"/>
        </w:r>
      </w:p>
    </w:sdtContent>
  </w:sdt>
  <w:p w14:paraId="0214F8A4" w14:textId="77777777" w:rsidR="00582AE7" w:rsidRDefault="00582A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4F89A" w14:textId="77777777" w:rsidR="00781B91" w:rsidRPr="001B5279" w:rsidRDefault="00781B9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0214F89B" w14:textId="77777777" w:rsidR="00781B91" w:rsidRPr="001B5279" w:rsidRDefault="00781B9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F8A2" w14:textId="77777777" w:rsidR="00582AE7" w:rsidRPr="00A64068" w:rsidRDefault="00582AE7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7546"/>
    <w:rsid w:val="000C0E8D"/>
    <w:rsid w:val="000D2609"/>
    <w:rsid w:val="000D4A89"/>
    <w:rsid w:val="000D6FCC"/>
    <w:rsid w:val="00101B0F"/>
    <w:rsid w:val="001037CF"/>
    <w:rsid w:val="001126F7"/>
    <w:rsid w:val="00112D21"/>
    <w:rsid w:val="00114F7D"/>
    <w:rsid w:val="00117D79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5955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07F"/>
    <w:rsid w:val="00533C63"/>
    <w:rsid w:val="00537329"/>
    <w:rsid w:val="005468AA"/>
    <w:rsid w:val="00550C30"/>
    <w:rsid w:val="00557DD1"/>
    <w:rsid w:val="00574586"/>
    <w:rsid w:val="005817FC"/>
    <w:rsid w:val="00582AE7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33531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1B9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326A5"/>
    <w:rsid w:val="00843565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1985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E37D2"/>
    <w:rsid w:val="009F0024"/>
    <w:rsid w:val="009F0BC6"/>
    <w:rsid w:val="00A0443A"/>
    <w:rsid w:val="00A15DF7"/>
    <w:rsid w:val="00A20F0B"/>
    <w:rsid w:val="00A222B1"/>
    <w:rsid w:val="00A24E0C"/>
    <w:rsid w:val="00A2561D"/>
    <w:rsid w:val="00A402C2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37AAD"/>
    <w:rsid w:val="00C45737"/>
    <w:rsid w:val="00C507E1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869F4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D6F56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0214F573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31EF5-52CF-4232-860A-206A06D8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3455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Lenka Sokoltová</cp:lastModifiedBy>
  <cp:revision>9</cp:revision>
  <cp:lastPrinted>2013-11-28T10:25:00Z</cp:lastPrinted>
  <dcterms:created xsi:type="dcterms:W3CDTF">2020-04-28T07:51:00Z</dcterms:created>
  <dcterms:modified xsi:type="dcterms:W3CDTF">2020-05-25T18:54:00Z</dcterms:modified>
</cp:coreProperties>
</file>