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D9A47B6" w:rsidR="00B4795D" w:rsidRDefault="00CD7BCE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POSKYTOVÁNÍ PRÁVNÍCH SLUŽEB</w:t>
      </w:r>
    </w:p>
    <w:p w14:paraId="00000002" w14:textId="107715C0" w:rsidR="00B4795D" w:rsidRPr="005A32F2" w:rsidRDefault="00CD7BCE" w:rsidP="005A32F2">
      <w:pPr>
        <w:spacing w:after="0"/>
        <w:jc w:val="center"/>
      </w:pPr>
      <w:r w:rsidRPr="005A32F2">
        <w:t xml:space="preserve">uzavřená níže uvedeného dne v souladu s </w:t>
      </w:r>
      <w:proofErr w:type="spellStart"/>
      <w:r w:rsidRPr="005A32F2">
        <w:t>ust</w:t>
      </w:r>
      <w:proofErr w:type="spellEnd"/>
      <w:r w:rsidRPr="005A32F2">
        <w:t>. § 2430 a násl. zákona č. 89/2012 Sb., občanského zákoníku, ve znění pozdějších předpisů a v souladu se zákonem č. 85/1996 Sb., o advokacii,</w:t>
      </w:r>
      <w:r w:rsidR="00F72373">
        <w:t xml:space="preserve"> ve znění pozdějších předpisů (dále jen „</w:t>
      </w:r>
      <w:r w:rsidR="00F72373" w:rsidRPr="00F72373">
        <w:rPr>
          <w:b/>
        </w:rPr>
        <w:t>zákon o advokacii</w:t>
      </w:r>
      <w:r w:rsidR="00F72373">
        <w:t>“)</w:t>
      </w:r>
      <w:r w:rsidRPr="005A32F2">
        <w:t xml:space="preserve"> mezi následujícími smluvními stranami:</w:t>
      </w:r>
    </w:p>
    <w:p w14:paraId="00000003" w14:textId="77777777" w:rsidR="00B4795D" w:rsidRPr="005A32F2" w:rsidRDefault="00B4795D" w:rsidP="005A32F2">
      <w:pPr>
        <w:spacing w:after="0"/>
        <w:rPr>
          <w:b/>
        </w:rPr>
      </w:pPr>
    </w:p>
    <w:p w14:paraId="00000004" w14:textId="77777777" w:rsidR="00B4795D" w:rsidRPr="005A32F2" w:rsidRDefault="00CD7BCE" w:rsidP="005A32F2">
      <w:pPr>
        <w:spacing w:after="0"/>
        <w:rPr>
          <w:b/>
        </w:rPr>
      </w:pPr>
      <w:r w:rsidRPr="005A32F2">
        <w:rPr>
          <w:b/>
        </w:rPr>
        <w:t xml:space="preserve">Mgr. Markéta </w:t>
      </w:r>
      <w:proofErr w:type="spellStart"/>
      <w:r w:rsidRPr="005A32F2">
        <w:rPr>
          <w:b/>
        </w:rPr>
        <w:t>Koubíková</w:t>
      </w:r>
      <w:proofErr w:type="spellEnd"/>
      <w:r w:rsidRPr="005A32F2">
        <w:rPr>
          <w:b/>
        </w:rPr>
        <w:t>, advokátka</w:t>
      </w:r>
    </w:p>
    <w:p w14:paraId="00000005" w14:textId="14C4E77E" w:rsidR="00B4795D" w:rsidRPr="005A32F2" w:rsidRDefault="00CD7BCE" w:rsidP="005A32F2">
      <w:pPr>
        <w:spacing w:after="0"/>
      </w:pPr>
      <w:r w:rsidRPr="005A32F2">
        <w:t>ev. č. ČAK 15748</w:t>
      </w:r>
    </w:p>
    <w:p w14:paraId="00000006" w14:textId="60F17DED" w:rsidR="00B4795D" w:rsidRPr="005A32F2" w:rsidRDefault="00CD7BCE" w:rsidP="005A32F2">
      <w:pPr>
        <w:spacing w:after="0"/>
      </w:pPr>
      <w:r w:rsidRPr="005A32F2">
        <w:t>IČO: 031 68 930</w:t>
      </w:r>
    </w:p>
    <w:p w14:paraId="00000007" w14:textId="598DAF4D" w:rsidR="00B4795D" w:rsidRPr="005A32F2" w:rsidRDefault="00CD7BCE" w:rsidP="005A32F2">
      <w:pPr>
        <w:spacing w:after="0"/>
      </w:pPr>
      <w:r w:rsidRPr="005A32F2">
        <w:t xml:space="preserve">se sídlem </w:t>
      </w:r>
      <w:r w:rsidR="00457767">
        <w:t>Balbínova 1093/27, Praha 2, PSČ 120 00</w:t>
      </w:r>
    </w:p>
    <w:p w14:paraId="00000008" w14:textId="42BDC14C" w:rsidR="00B4795D" w:rsidRPr="005A32F2" w:rsidRDefault="00CD7BCE" w:rsidP="005A32F2">
      <w:pPr>
        <w:spacing w:after="0"/>
      </w:pPr>
      <w:r w:rsidRPr="005A32F2">
        <w:t>(dále jen „</w:t>
      </w:r>
      <w:r w:rsidRPr="005A32F2">
        <w:rPr>
          <w:b/>
        </w:rPr>
        <w:t>mandatář</w:t>
      </w:r>
      <w:r w:rsidRPr="005A32F2">
        <w:t>“)</w:t>
      </w:r>
    </w:p>
    <w:p w14:paraId="04AD5E16" w14:textId="77777777" w:rsidR="00090117" w:rsidRPr="005A32F2" w:rsidRDefault="00090117" w:rsidP="005A32F2">
      <w:pPr>
        <w:spacing w:after="0"/>
      </w:pPr>
    </w:p>
    <w:p w14:paraId="00000009" w14:textId="77777777" w:rsidR="00B4795D" w:rsidRPr="005A32F2" w:rsidRDefault="00CD7BCE" w:rsidP="005A32F2">
      <w:pPr>
        <w:spacing w:before="120" w:after="0"/>
      </w:pPr>
      <w:r w:rsidRPr="005A32F2">
        <w:t>a</w:t>
      </w:r>
    </w:p>
    <w:p w14:paraId="1CDA17EE" w14:textId="77777777" w:rsidR="00090117" w:rsidRPr="005A32F2" w:rsidRDefault="00090117" w:rsidP="005A32F2">
      <w:pPr>
        <w:spacing w:after="0"/>
        <w:rPr>
          <w:b/>
        </w:rPr>
      </w:pPr>
    </w:p>
    <w:p w14:paraId="782731DF" w14:textId="27AB50E3" w:rsidR="00390628" w:rsidRDefault="00090117" w:rsidP="005A32F2">
      <w:pPr>
        <w:spacing w:after="0"/>
        <w:rPr>
          <w:b/>
        </w:rPr>
      </w:pPr>
      <w:r w:rsidRPr="005A32F2">
        <w:rPr>
          <w:b/>
        </w:rPr>
        <w:t xml:space="preserve">Ústav chemických procesů AV ČR, </w:t>
      </w:r>
      <w:proofErr w:type="spellStart"/>
      <w:r w:rsidRPr="005A32F2">
        <w:rPr>
          <w:b/>
        </w:rPr>
        <w:t>v.v.i</w:t>
      </w:r>
      <w:proofErr w:type="spellEnd"/>
      <w:r w:rsidRPr="005A32F2">
        <w:rPr>
          <w:b/>
        </w:rPr>
        <w:t>.</w:t>
      </w:r>
    </w:p>
    <w:p w14:paraId="7C311269" w14:textId="62FBB963" w:rsidR="007E0AD6" w:rsidRDefault="00536C0D" w:rsidP="005A32F2">
      <w:pPr>
        <w:spacing w:after="0"/>
      </w:pPr>
      <w:r>
        <w:t>IČO 679 85</w:t>
      </w:r>
      <w:r w:rsidR="007E0AD6">
        <w:t> </w:t>
      </w:r>
      <w:r>
        <w:t>858</w:t>
      </w:r>
    </w:p>
    <w:p w14:paraId="0000000C" w14:textId="28771A1A" w:rsidR="00B4795D" w:rsidRDefault="00CD7BCE" w:rsidP="005A32F2">
      <w:pPr>
        <w:spacing w:after="0"/>
      </w:pPr>
      <w:r w:rsidRPr="005A32F2">
        <w:t>se sídlem</w:t>
      </w:r>
      <w:r w:rsidR="00090117" w:rsidRPr="005A32F2">
        <w:t xml:space="preserve"> Rozvojová 1/135</w:t>
      </w:r>
      <w:r w:rsidR="00536C0D">
        <w:t>, Praha 6, PSČ 165 00</w:t>
      </w:r>
    </w:p>
    <w:p w14:paraId="0C83FF42" w14:textId="77777777" w:rsidR="00536C0D" w:rsidRPr="00536C0D" w:rsidRDefault="00536C0D" w:rsidP="00536C0D">
      <w:pPr>
        <w:spacing w:after="0"/>
      </w:pPr>
      <w:r>
        <w:t>z</w:t>
      </w:r>
      <w:r w:rsidRPr="00536C0D">
        <w:t xml:space="preserve">apsaný </w:t>
      </w:r>
      <w:r>
        <w:t>v rejstříku veřejných výzkumných institucí vedeném MŠMT ČR</w:t>
      </w:r>
    </w:p>
    <w:p w14:paraId="0000000E" w14:textId="6E03E63A" w:rsidR="00B4795D" w:rsidRPr="005A32F2" w:rsidRDefault="00CD7BCE" w:rsidP="005A32F2">
      <w:pPr>
        <w:spacing w:after="0"/>
      </w:pPr>
      <w:r w:rsidRPr="005A32F2">
        <w:t>(dále jen „</w:t>
      </w:r>
      <w:r w:rsidRPr="005A32F2">
        <w:rPr>
          <w:b/>
        </w:rPr>
        <w:t>klient</w:t>
      </w:r>
      <w:r w:rsidRPr="005A32F2">
        <w:t>“)</w:t>
      </w:r>
    </w:p>
    <w:p w14:paraId="39F4AD19" w14:textId="77777777" w:rsidR="00D2778A" w:rsidRDefault="00D2778A" w:rsidP="005A32F2">
      <w:pPr>
        <w:keepNext/>
        <w:spacing w:after="0"/>
        <w:jc w:val="center"/>
        <w:rPr>
          <w:b/>
        </w:rPr>
      </w:pPr>
    </w:p>
    <w:p w14:paraId="00000010" w14:textId="7C5091C2" w:rsidR="00B4795D" w:rsidRPr="005A32F2" w:rsidRDefault="00CD7BCE" w:rsidP="005A32F2">
      <w:pPr>
        <w:keepNext/>
        <w:spacing w:after="0"/>
        <w:jc w:val="center"/>
        <w:rPr>
          <w:b/>
        </w:rPr>
      </w:pPr>
      <w:r w:rsidRPr="005A32F2">
        <w:rPr>
          <w:b/>
        </w:rPr>
        <w:t>Článek I</w:t>
      </w:r>
    </w:p>
    <w:p w14:paraId="00000011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Předmět smlouvy a rozsah poskytování služeb mandatáře</w:t>
      </w:r>
    </w:p>
    <w:p w14:paraId="00000012" w14:textId="021A99F0" w:rsidR="00B4795D" w:rsidRPr="005A32F2" w:rsidRDefault="00765360" w:rsidP="00D2778A">
      <w:pPr>
        <w:ind w:left="567" w:hanging="567"/>
      </w:pPr>
      <w:r w:rsidRPr="005A32F2">
        <w:t>1.</w:t>
      </w:r>
      <w:r w:rsidR="0039088F" w:rsidRPr="005A32F2">
        <w:t>1</w:t>
      </w:r>
      <w:r w:rsidR="00CD7BCE" w:rsidRPr="005A32F2">
        <w:tab/>
        <w:t xml:space="preserve">Smluvní strany se dohodly, že mandatář bude za podmínek v této smlouvě uvedených poskytovat klientovi právní služby podle českého práva a klient se zavazuje uhradit mandatáři odměnu a související peněžitá plnění v souladu s touto smlouvou. </w:t>
      </w:r>
    </w:p>
    <w:p w14:paraId="217105FE" w14:textId="7082F19F" w:rsidR="00765360" w:rsidRPr="005A32F2" w:rsidRDefault="00831A62" w:rsidP="00D2778A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contextualSpacing w:val="0"/>
        <w:rPr>
          <w:color w:val="000000"/>
        </w:rPr>
      </w:pPr>
      <w:r w:rsidRPr="005A32F2">
        <w:rPr>
          <w:color w:val="000000"/>
        </w:rPr>
        <w:t>Smluvní strany se dohodly, že mandatář poskytne klientovi právní služby</w:t>
      </w:r>
      <w:r w:rsidR="00090117" w:rsidRPr="005A32F2">
        <w:rPr>
          <w:color w:val="000000"/>
        </w:rPr>
        <w:t>, a to zejmén</w:t>
      </w:r>
      <w:r w:rsidRPr="005A32F2">
        <w:rPr>
          <w:color w:val="000000"/>
        </w:rPr>
        <w:t xml:space="preserve">a: </w:t>
      </w:r>
    </w:p>
    <w:p w14:paraId="0898DB16" w14:textId="52938BBB" w:rsidR="00D2778A" w:rsidRPr="000A1492" w:rsidRDefault="00D2778A" w:rsidP="00D2778A">
      <w:pPr>
        <w:pStyle w:val="Odstavecseseznamem"/>
        <w:numPr>
          <w:ilvl w:val="0"/>
          <w:numId w:val="19"/>
        </w:numPr>
        <w:ind w:left="1276" w:hanging="425"/>
        <w:contextualSpacing w:val="0"/>
      </w:pPr>
      <w:r w:rsidRPr="00C81EDB">
        <w:t xml:space="preserve">komplexní organizační a věcné zajištění zadávacího řízení dle </w:t>
      </w:r>
      <w:r w:rsidR="002F10C9">
        <w:t>zákona č. 134/2016 Sb., o zadávání veřejných zakázek, ve znění pozdějších předpisů (dále jen „</w:t>
      </w:r>
      <w:r w:rsidRPr="002F10C9">
        <w:rPr>
          <w:b/>
        </w:rPr>
        <w:t>ZZVZ</w:t>
      </w:r>
      <w:r w:rsidR="002F10C9">
        <w:t>“)</w:t>
      </w:r>
      <w:r w:rsidRPr="00C81EDB">
        <w:t xml:space="preserve"> a zároveň dle Pravidel pro žadatele a příjemce OP VVV</w:t>
      </w:r>
      <w:r>
        <w:t xml:space="preserve"> </w:t>
      </w:r>
      <w:r w:rsidRPr="00FA4515">
        <w:t>a Metodického dopisu č. 1 k Pravidlům pro žadatele a příjemce – obecná část, verze 5 s účinnosti od 14. 2. 2018</w:t>
      </w:r>
      <w:r>
        <w:t xml:space="preserve"> v </w:t>
      </w:r>
      <w:r w:rsidRPr="000A1492">
        <w:t>jejich platném a účinném znění (dále jen „</w:t>
      </w:r>
      <w:r w:rsidRPr="000A1492">
        <w:rPr>
          <w:b/>
        </w:rPr>
        <w:t>Pravidla</w:t>
      </w:r>
      <w:r w:rsidRPr="000A1492">
        <w:t>“), a to buď postupem dle ZZVZ, nebo dle Pravidel, nebo dle ZZVZ a zároveň Pravidel (ZZVZ a Pravidla dále společně také jen „</w:t>
      </w:r>
      <w:r w:rsidRPr="000A1492">
        <w:rPr>
          <w:b/>
        </w:rPr>
        <w:t>Předpisy</w:t>
      </w:r>
      <w:r w:rsidRPr="000A1492">
        <w:t>“)</w:t>
      </w:r>
      <w:r w:rsidR="00101B80">
        <w:t xml:space="preserve"> v rámci projektu </w:t>
      </w:r>
      <w:r w:rsidR="00101B80" w:rsidRPr="00DB761B">
        <w:t xml:space="preserve">ACTRIS-CZ RI 2, </w:t>
      </w:r>
      <w:proofErr w:type="spellStart"/>
      <w:r w:rsidR="00101B80" w:rsidRPr="00DB761B">
        <w:t>reg</w:t>
      </w:r>
      <w:proofErr w:type="spellEnd"/>
      <w:r w:rsidR="00101B80" w:rsidRPr="00DB761B">
        <w:t xml:space="preserve">. č. </w:t>
      </w:r>
      <w:r w:rsidR="00101B80" w:rsidRPr="00DB761B">
        <w:rPr>
          <w:bCs/>
        </w:rPr>
        <w:t>CZ.02.1.01/0.0/0.0/18_046/0015968</w:t>
      </w:r>
      <w:r w:rsidRPr="000A1492">
        <w:t xml:space="preserve">; </w:t>
      </w:r>
    </w:p>
    <w:p w14:paraId="51586249" w14:textId="48992E70" w:rsidR="00D2778A" w:rsidRPr="003A32E4" w:rsidRDefault="00D2778A" w:rsidP="00D2778A">
      <w:pPr>
        <w:pStyle w:val="Odstavecseseznamem"/>
        <w:numPr>
          <w:ilvl w:val="0"/>
          <w:numId w:val="19"/>
        </w:numPr>
        <w:ind w:left="1276" w:hanging="425"/>
        <w:contextualSpacing w:val="0"/>
      </w:pPr>
      <w:r w:rsidRPr="000A1492">
        <w:t>administrace veřejných zakázek v systému IS KP14+, která</w:t>
      </w:r>
      <w:r>
        <w:t xml:space="preserve"> bude zahrnovat </w:t>
      </w:r>
      <w:r w:rsidRPr="003A32E4">
        <w:t>komunikaci s řídícím orgánem</w:t>
      </w:r>
      <w:r>
        <w:t>, Ministerstvem školství, mládeže a tělovýchovy;</w:t>
      </w:r>
    </w:p>
    <w:p w14:paraId="3AE98785" w14:textId="4CBCD5F2" w:rsidR="00D2778A" w:rsidRDefault="00D2778A" w:rsidP="00D2778A">
      <w:pPr>
        <w:pStyle w:val="Odstavecseseznamem"/>
        <w:numPr>
          <w:ilvl w:val="0"/>
          <w:numId w:val="19"/>
        </w:numPr>
        <w:ind w:left="1276" w:hanging="425"/>
        <w:contextualSpacing w:val="0"/>
      </w:pPr>
      <w:r>
        <w:t>komplexní administrace a zveřejňování veřejných zakázek v systému NEN.</w:t>
      </w:r>
    </w:p>
    <w:p w14:paraId="00000019" w14:textId="41113A23" w:rsidR="00B4795D" w:rsidRPr="005A32F2" w:rsidRDefault="009D2E52" w:rsidP="00D2778A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r w:rsidRPr="005A32F2">
        <w:rPr>
          <w:color w:val="000000"/>
        </w:rPr>
        <w:lastRenderedPageBreak/>
        <w:t>P</w:t>
      </w:r>
      <w:r w:rsidR="00CD7BCE" w:rsidRPr="005A32F2">
        <w:rPr>
          <w:color w:val="000000"/>
        </w:rPr>
        <w:t>rávní služby</w:t>
      </w:r>
      <w:r w:rsidR="00392428">
        <w:rPr>
          <w:color w:val="000000"/>
        </w:rPr>
        <w:t xml:space="preserve"> mandatáře podle čl. 1.2 písm. a)</w:t>
      </w:r>
      <w:r w:rsidR="0016408A">
        <w:rPr>
          <w:color w:val="000000"/>
        </w:rPr>
        <w:t xml:space="preserve"> a c)</w:t>
      </w:r>
      <w:r w:rsidR="00392428">
        <w:rPr>
          <w:color w:val="000000"/>
        </w:rPr>
        <w:t xml:space="preserve"> této smlouvy </w:t>
      </w:r>
      <w:r w:rsidR="00CD7BCE" w:rsidRPr="005A32F2">
        <w:rPr>
          <w:color w:val="000000"/>
        </w:rPr>
        <w:t xml:space="preserve">končí </w:t>
      </w:r>
      <w:r w:rsidR="00C41EAC" w:rsidRPr="005A32F2">
        <w:rPr>
          <w:color w:val="000000"/>
        </w:rPr>
        <w:t xml:space="preserve">zadáním všech veřejných zakázek v rámci Projektu, </w:t>
      </w:r>
      <w:r w:rsidR="00392428">
        <w:rPr>
          <w:color w:val="000000"/>
        </w:rPr>
        <w:t xml:space="preserve">případně </w:t>
      </w:r>
      <w:r w:rsidR="00CD7BCE" w:rsidRPr="005A32F2">
        <w:rPr>
          <w:color w:val="000000"/>
        </w:rPr>
        <w:t xml:space="preserve">rozhodnutím klienta </w:t>
      </w:r>
      <w:r w:rsidR="00C41EAC" w:rsidRPr="005A32F2">
        <w:rPr>
          <w:color w:val="000000"/>
        </w:rPr>
        <w:t xml:space="preserve">veřejné zakázky v rámci Projektu již </w:t>
      </w:r>
      <w:r w:rsidR="00CD7BCE" w:rsidRPr="005A32F2">
        <w:rPr>
          <w:color w:val="000000"/>
        </w:rPr>
        <w:t>nerealizovat</w:t>
      </w:r>
      <w:r w:rsidR="009477B3">
        <w:rPr>
          <w:color w:val="000000"/>
        </w:rPr>
        <w:t xml:space="preserve"> nebo dohodou mandatáře a klienta</w:t>
      </w:r>
      <w:r w:rsidR="00392428">
        <w:rPr>
          <w:color w:val="000000"/>
        </w:rPr>
        <w:t>. Právní služby mandatáře podle čl. 1.2. písm. b) této smlouvy končí ukončením realizace Projektu</w:t>
      </w:r>
      <w:r w:rsidR="004C01E8" w:rsidRPr="005A32F2">
        <w:rPr>
          <w:color w:val="000000"/>
        </w:rPr>
        <w:t xml:space="preserve"> nebo </w:t>
      </w:r>
      <w:r w:rsidR="00CD7BCE" w:rsidRPr="005A32F2">
        <w:rPr>
          <w:color w:val="000000"/>
        </w:rPr>
        <w:t>dohodou mandatáře a klienta. V rámci této smlouvy není mandatář oprávněn vést</w:t>
      </w:r>
      <w:r w:rsidRPr="005A32F2">
        <w:rPr>
          <w:color w:val="000000"/>
        </w:rPr>
        <w:t xml:space="preserve"> jménem klienta správní řízení </w:t>
      </w:r>
      <w:r w:rsidR="00CD7BCE" w:rsidRPr="005A32F2">
        <w:rPr>
          <w:color w:val="000000"/>
        </w:rPr>
        <w:t>případně i v dalších věcech dle domluvy mandatáře a klienta.</w:t>
      </w:r>
      <w:r w:rsidR="004C01E8" w:rsidRPr="005A32F2">
        <w:rPr>
          <w:color w:val="000000"/>
        </w:rPr>
        <w:t xml:space="preserve"> Mandatář nezaručuje klientovi výhradní právo na poskytování právních služeb klientovi.</w:t>
      </w:r>
    </w:p>
    <w:p w14:paraId="0000001B" w14:textId="77777777" w:rsidR="00B4795D" w:rsidRPr="005A32F2" w:rsidRDefault="00B4795D" w:rsidP="005A32F2"/>
    <w:p w14:paraId="0000001C" w14:textId="77777777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t>Článek II</w:t>
      </w:r>
    </w:p>
    <w:p w14:paraId="0000001D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Zadávání úkolů a postup při poskytování služeb</w:t>
      </w:r>
    </w:p>
    <w:p w14:paraId="0000001E" w14:textId="77777777" w:rsidR="00B4795D" w:rsidRPr="005A32F2" w:rsidRDefault="00CD7BCE" w:rsidP="00D2778A">
      <w:pPr>
        <w:ind w:left="567" w:hanging="567"/>
      </w:pPr>
      <w:r w:rsidRPr="005A32F2">
        <w:t>2.1</w:t>
      </w:r>
      <w:r w:rsidRPr="005A32F2">
        <w:tab/>
        <w:t>Klientovi náleží právo zadávat mandatáři jednotlivé úkoly a pokyny.</w:t>
      </w:r>
    </w:p>
    <w:p w14:paraId="0000001F" w14:textId="77777777" w:rsidR="00B4795D" w:rsidRPr="005A32F2" w:rsidRDefault="00CD7BCE" w:rsidP="00D2778A">
      <w:pPr>
        <w:ind w:left="567" w:hanging="567"/>
      </w:pPr>
      <w:r w:rsidRPr="005A32F2">
        <w:t>2.2</w:t>
      </w:r>
      <w:r w:rsidRPr="005A32F2">
        <w:tab/>
        <w:t>Mandatář nenese žádnou odpovědnost za legalitu, věcnou správnost a smysluplnost rozhodnutí a instrukcí klienta a je při své činnosti oprávněn spoléhat se na pravdivost a úplnost všech informací a podkladů od klienta získaných.</w:t>
      </w:r>
    </w:p>
    <w:p w14:paraId="00000020" w14:textId="5F6EC2D3" w:rsidR="00B4795D" w:rsidRDefault="00CD7BCE" w:rsidP="00D2778A">
      <w:pPr>
        <w:ind w:left="567" w:hanging="567"/>
      </w:pPr>
      <w:r w:rsidRPr="005A32F2">
        <w:t>2.3</w:t>
      </w:r>
      <w:r w:rsidRPr="005A32F2">
        <w:tab/>
        <w:t xml:space="preserve">Mandatář nenese především žádnou odpovědnost za věcnou správnost vymezení předmětu a rozsahu požadavků klienta na kvalifikaci veřejné zakázky. </w:t>
      </w:r>
    </w:p>
    <w:p w14:paraId="0868B59E" w14:textId="09B0A8A7" w:rsidR="00F72373" w:rsidRDefault="007561C4" w:rsidP="00D2778A">
      <w:pPr>
        <w:ind w:left="567" w:hanging="567"/>
      </w:pPr>
      <w:r>
        <w:t xml:space="preserve">2.4. </w:t>
      </w:r>
      <w:r>
        <w:tab/>
        <w:t>Mandatář odpovídá klientovi</w:t>
      </w:r>
      <w:r w:rsidR="002D3565">
        <w:t xml:space="preserve"> </w:t>
      </w:r>
      <w:r w:rsidR="00F72373">
        <w:t xml:space="preserve">v rozsahu své profesní odpovědnosti za škodu vzniklou poskytováním právních služeb podle zákona o advokacii, a to do výše limitu pojistného plnění. </w:t>
      </w:r>
    </w:p>
    <w:p w14:paraId="00000021" w14:textId="37C83164" w:rsidR="00B4795D" w:rsidRDefault="00CD7BCE" w:rsidP="00D2778A">
      <w:pPr>
        <w:ind w:left="567" w:hanging="567"/>
      </w:pPr>
      <w:r w:rsidRPr="005A32F2">
        <w:t>2.</w:t>
      </w:r>
      <w:r w:rsidR="007561C4">
        <w:t>5</w:t>
      </w:r>
      <w:r w:rsidRPr="005A32F2">
        <w:tab/>
        <w:t>Mandatář má právo odmítnout poskytnutí právních služeb pouze v odůvodněných případech. Mandatář má povinnost odmítnout poskytnutí právních služeb v případech stanovených právními předpisy, zejména v případě, že by došlo ke střetu zájmů.</w:t>
      </w:r>
    </w:p>
    <w:p w14:paraId="540241C8" w14:textId="77777777" w:rsidR="00CD54A9" w:rsidRPr="005A32F2" w:rsidRDefault="00CD54A9" w:rsidP="00D2778A">
      <w:pPr>
        <w:ind w:left="567" w:hanging="567"/>
      </w:pPr>
    </w:p>
    <w:p w14:paraId="00000022" w14:textId="730CABB8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t>Článek III</w:t>
      </w:r>
    </w:p>
    <w:p w14:paraId="00000023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Odměna, účelně vynaložené náklady a záloha</w:t>
      </w:r>
    </w:p>
    <w:p w14:paraId="00000024" w14:textId="77777777" w:rsidR="00B4795D" w:rsidRPr="005A32F2" w:rsidRDefault="00CD7BCE" w:rsidP="005A32F2">
      <w:pPr>
        <w:ind w:left="567" w:hanging="567"/>
      </w:pPr>
      <w:r w:rsidRPr="005A32F2">
        <w:t>3.1</w:t>
      </w:r>
      <w:r w:rsidRPr="005A32F2">
        <w:tab/>
        <w:t xml:space="preserve">Mandatář prohlašuje, že je plátcem DPH, a klient tuto skutečnost bere na vědomí. </w:t>
      </w:r>
    </w:p>
    <w:p w14:paraId="737530ED" w14:textId="1CB4C0D8" w:rsidR="00040D35" w:rsidRPr="005A32F2" w:rsidRDefault="00CD7BCE" w:rsidP="005A32F2">
      <w:pPr>
        <w:ind w:left="567" w:hanging="567"/>
        <w:rPr>
          <w:snapToGrid w:val="0"/>
        </w:rPr>
      </w:pPr>
      <w:r w:rsidRPr="005A32F2">
        <w:t>3.2</w:t>
      </w:r>
      <w:r w:rsidRPr="005A32F2">
        <w:tab/>
      </w:r>
      <w:r w:rsidR="00040D35" w:rsidRPr="005A32F2">
        <w:rPr>
          <w:snapToGrid w:val="0"/>
        </w:rPr>
        <w:t>Odměna mandatáře za organizační zajištění služeb podle čl. 1.2 této smlouvy</w:t>
      </w:r>
      <w:r w:rsidR="00101B80">
        <w:rPr>
          <w:snapToGrid w:val="0"/>
        </w:rPr>
        <w:t>,</w:t>
      </w:r>
      <w:r w:rsidR="00040D35" w:rsidRPr="005A32F2">
        <w:rPr>
          <w:snapToGrid w:val="0"/>
        </w:rPr>
        <w:t xml:space="preserve"> </w:t>
      </w:r>
      <w:r w:rsidR="00040D35" w:rsidRPr="005A32F2">
        <w:t>hodinová sazba ostatních právních služeb</w:t>
      </w:r>
      <w:r w:rsidR="00101B80">
        <w:t xml:space="preserve"> nebo ostatních služeb </w:t>
      </w:r>
      <w:r w:rsidR="00040D35" w:rsidRPr="005A32F2">
        <w:rPr>
          <w:snapToGrid w:val="0"/>
        </w:rPr>
        <w:t xml:space="preserve">je uvedena v příloze č. 1 této smlouvy. Odměna mandatáře se sjednává jako nejvýše přípustná </w:t>
      </w:r>
      <w:r w:rsidR="00040D35" w:rsidRPr="005A32F2">
        <w:t>a závazná po celou dobu platnosti této smlouvy</w:t>
      </w:r>
      <w:r w:rsidR="00040D35" w:rsidRPr="005A32F2">
        <w:rPr>
          <w:snapToGrid w:val="0"/>
        </w:rPr>
        <w:t>.</w:t>
      </w:r>
      <w:r w:rsidR="00040D35" w:rsidRPr="005A32F2">
        <w:t xml:space="preserve"> </w:t>
      </w:r>
      <w:r w:rsidR="00040D35" w:rsidRPr="005A32F2">
        <w:rPr>
          <w:snapToGrid w:val="0"/>
        </w:rPr>
        <w:t>Změna výše odměny je možná pouze v případě změny sazby DPH, a to o částku odpovídající výši změny DPH.</w:t>
      </w:r>
    </w:p>
    <w:p w14:paraId="030AD0CF" w14:textId="0B34BA6C" w:rsidR="00040D35" w:rsidRPr="005A32F2" w:rsidRDefault="000066AC" w:rsidP="005A32F2">
      <w:pPr>
        <w:tabs>
          <w:tab w:val="left" w:pos="567"/>
          <w:tab w:val="left" w:pos="4678"/>
        </w:tabs>
        <w:rPr>
          <w:snapToGrid w:val="0"/>
        </w:rPr>
      </w:pPr>
      <w:r w:rsidRPr="005A32F2">
        <w:rPr>
          <w:snapToGrid w:val="0"/>
        </w:rPr>
        <w:t xml:space="preserve">3.3 </w:t>
      </w:r>
      <w:r w:rsidRPr="005A32F2">
        <w:rPr>
          <w:snapToGrid w:val="0"/>
        </w:rPr>
        <w:tab/>
      </w:r>
      <w:r w:rsidR="00040D35" w:rsidRPr="005A32F2">
        <w:rPr>
          <w:snapToGrid w:val="0"/>
        </w:rPr>
        <w:t xml:space="preserve">Odměna za </w:t>
      </w:r>
      <w:r w:rsidRPr="005A32F2">
        <w:rPr>
          <w:snapToGrid w:val="0"/>
        </w:rPr>
        <w:t xml:space="preserve">služby podle čl. 1.2 smlouvy </w:t>
      </w:r>
      <w:r w:rsidR="00040D35" w:rsidRPr="005A32F2">
        <w:rPr>
          <w:snapToGrid w:val="0"/>
        </w:rPr>
        <w:t>zahrnuje veškeré náklady poskytovatele, zejména:</w:t>
      </w:r>
    </w:p>
    <w:p w14:paraId="50F94DB2" w14:textId="7777777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left" w:pos="1701"/>
          <w:tab w:val="left" w:pos="4678"/>
        </w:tabs>
        <w:ind w:left="1276" w:hanging="425"/>
        <w:rPr>
          <w:snapToGrid w:val="0"/>
        </w:rPr>
      </w:pPr>
      <w:r w:rsidRPr="005A32F2">
        <w:rPr>
          <w:snapToGrid w:val="0"/>
        </w:rPr>
        <w:t>cestovní náklady;</w:t>
      </w:r>
    </w:p>
    <w:p w14:paraId="07267DDC" w14:textId="7777777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num" w:pos="1560"/>
          <w:tab w:val="left" w:pos="1701"/>
          <w:tab w:val="left" w:pos="4678"/>
        </w:tabs>
        <w:ind w:left="1418" w:hanging="567"/>
        <w:rPr>
          <w:snapToGrid w:val="0"/>
        </w:rPr>
      </w:pPr>
      <w:r w:rsidRPr="005A32F2">
        <w:rPr>
          <w:snapToGrid w:val="0"/>
        </w:rPr>
        <w:t>telekomunikační a poštovní náklady;</w:t>
      </w:r>
    </w:p>
    <w:p w14:paraId="6AB72362" w14:textId="7777777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num" w:pos="1560"/>
          <w:tab w:val="left" w:pos="1701"/>
          <w:tab w:val="left" w:pos="4678"/>
        </w:tabs>
        <w:ind w:left="1418" w:hanging="567"/>
        <w:rPr>
          <w:snapToGrid w:val="0"/>
        </w:rPr>
      </w:pPr>
      <w:r w:rsidRPr="005A32F2">
        <w:rPr>
          <w:snapToGrid w:val="0"/>
        </w:rPr>
        <w:t>mzdové náklady zaměstnanců poskytovatele;</w:t>
      </w:r>
    </w:p>
    <w:p w14:paraId="0ED544DD" w14:textId="7777777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num" w:pos="1560"/>
          <w:tab w:val="left" w:pos="1701"/>
          <w:tab w:val="left" w:pos="4678"/>
        </w:tabs>
        <w:ind w:left="1418" w:hanging="567"/>
        <w:rPr>
          <w:snapToGrid w:val="0"/>
        </w:rPr>
      </w:pPr>
      <w:r w:rsidRPr="005A32F2">
        <w:rPr>
          <w:snapToGrid w:val="0"/>
        </w:rPr>
        <w:t>zveřejnění v Informačním systému VZ;</w:t>
      </w:r>
    </w:p>
    <w:p w14:paraId="26BF9918" w14:textId="7777777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num" w:pos="1560"/>
          <w:tab w:val="left" w:pos="1701"/>
          <w:tab w:val="left" w:pos="4678"/>
        </w:tabs>
        <w:ind w:left="1418" w:hanging="567"/>
        <w:rPr>
          <w:snapToGrid w:val="0"/>
        </w:rPr>
      </w:pPr>
      <w:r w:rsidRPr="005A32F2">
        <w:rPr>
          <w:snapToGrid w:val="0"/>
        </w:rPr>
        <w:t>jiné náklady nezbytné pro řádný průběh zadávacího řízení;</w:t>
      </w:r>
    </w:p>
    <w:p w14:paraId="165DA134" w14:textId="32825347" w:rsidR="00040D35" w:rsidRPr="005A32F2" w:rsidRDefault="00040D35" w:rsidP="00F83BFE">
      <w:pPr>
        <w:numPr>
          <w:ilvl w:val="0"/>
          <w:numId w:val="16"/>
        </w:numPr>
        <w:tabs>
          <w:tab w:val="clear" w:pos="720"/>
          <w:tab w:val="num" w:pos="1276"/>
          <w:tab w:val="num" w:pos="1560"/>
          <w:tab w:val="left" w:pos="1701"/>
          <w:tab w:val="left" w:pos="4678"/>
        </w:tabs>
        <w:ind w:left="1418" w:hanging="567"/>
        <w:rPr>
          <w:snapToGrid w:val="0"/>
        </w:rPr>
      </w:pPr>
      <w:r w:rsidRPr="005A32F2">
        <w:rPr>
          <w:snapToGrid w:val="0"/>
        </w:rPr>
        <w:t>zpracování podkladů k podaným námitkám, návrhům a stanoviskům pro orgány dohledu.</w:t>
      </w:r>
    </w:p>
    <w:p w14:paraId="49CC6064" w14:textId="2F51752A" w:rsidR="00040D35" w:rsidRPr="005A32F2" w:rsidRDefault="000066AC" w:rsidP="005A32F2">
      <w:pPr>
        <w:tabs>
          <w:tab w:val="left" w:pos="567"/>
        </w:tabs>
        <w:spacing w:before="120"/>
        <w:ind w:left="567" w:hanging="567"/>
        <w:rPr>
          <w:snapToGrid w:val="0"/>
        </w:rPr>
      </w:pPr>
      <w:r w:rsidRPr="005A32F2">
        <w:rPr>
          <w:snapToGrid w:val="0"/>
        </w:rPr>
        <w:t xml:space="preserve">3.4 </w:t>
      </w:r>
      <w:r w:rsidRPr="005A32F2">
        <w:rPr>
          <w:snapToGrid w:val="0"/>
        </w:rPr>
        <w:tab/>
      </w:r>
      <w:r w:rsidR="00040D35" w:rsidRPr="005A32F2">
        <w:rPr>
          <w:snapToGrid w:val="0"/>
        </w:rPr>
        <w:t xml:space="preserve">Odměna za ostatní právní služby poskytované </w:t>
      </w:r>
      <w:r w:rsidR="00C67438" w:rsidRPr="005A32F2">
        <w:rPr>
          <w:snapToGrid w:val="0"/>
        </w:rPr>
        <w:t>mandatářem</w:t>
      </w:r>
      <w:r w:rsidR="00040D35" w:rsidRPr="005A32F2">
        <w:rPr>
          <w:snapToGrid w:val="0"/>
        </w:rPr>
        <w:t xml:space="preserve"> na základě objednávky </w:t>
      </w:r>
      <w:r w:rsidR="00C67438" w:rsidRPr="005A32F2">
        <w:rPr>
          <w:snapToGrid w:val="0"/>
        </w:rPr>
        <w:t>klienta</w:t>
      </w:r>
      <w:r w:rsidR="00040D35" w:rsidRPr="005A32F2">
        <w:rPr>
          <w:snapToGrid w:val="0"/>
        </w:rPr>
        <w:t xml:space="preserve"> bude stanovena na základě počtu hodin skutečně odpracovaných při poskytování ostatních právních služeb v rámci sjednaného předmětu plnění a sjednané jednotkové ceny za jednu hodinu takových ostatních právních služeb.</w:t>
      </w:r>
    </w:p>
    <w:p w14:paraId="0000002A" w14:textId="77777777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lastRenderedPageBreak/>
        <w:t>Článek IV</w:t>
      </w:r>
    </w:p>
    <w:p w14:paraId="0000002B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Vyúčtování a úhrady</w:t>
      </w:r>
    </w:p>
    <w:p w14:paraId="0000002C" w14:textId="38407974" w:rsidR="00B4795D" w:rsidRPr="005A32F2" w:rsidRDefault="00CD7BCE" w:rsidP="005A32F2">
      <w:pPr>
        <w:ind w:left="567" w:hanging="567"/>
      </w:pPr>
      <w:r w:rsidRPr="005A32F2">
        <w:t>4.1</w:t>
      </w:r>
      <w:r w:rsidRPr="005A32F2">
        <w:tab/>
        <w:t xml:space="preserve">Strany se dohodly, že služby specifikované v odst. 1.2 této smlouvy uhradí mandatář </w:t>
      </w:r>
      <w:r w:rsidR="00390628" w:rsidRPr="005A32F2">
        <w:t>na základě vystavené faktury mandatářem.</w:t>
      </w:r>
      <w:r w:rsidRPr="005A32F2">
        <w:t xml:space="preserve"> </w:t>
      </w:r>
      <w:r w:rsidR="00390628" w:rsidRPr="005A32F2">
        <w:t>Faktura bude doručena</w:t>
      </w:r>
      <w:r w:rsidRPr="005A32F2">
        <w:t xml:space="preserve"> k rukám klienta. Klient je povinen řádné faktury hradit do dne jejich splatnosti.</w:t>
      </w:r>
    </w:p>
    <w:p w14:paraId="1218F2C1" w14:textId="47828FAB" w:rsidR="005A32F2" w:rsidRPr="005A32F2" w:rsidRDefault="000066AC" w:rsidP="00CD54A9">
      <w:pPr>
        <w:tabs>
          <w:tab w:val="left" w:pos="567"/>
          <w:tab w:val="left" w:pos="4678"/>
        </w:tabs>
        <w:spacing w:before="120"/>
        <w:ind w:left="567" w:hanging="567"/>
        <w:rPr>
          <w:snapToGrid w:val="0"/>
        </w:rPr>
      </w:pPr>
      <w:r w:rsidRPr="005A32F2">
        <w:rPr>
          <w:snapToGrid w:val="0"/>
        </w:rPr>
        <w:t xml:space="preserve">4.2 </w:t>
      </w:r>
      <w:r w:rsidRPr="005A32F2">
        <w:rPr>
          <w:snapToGrid w:val="0"/>
        </w:rPr>
        <w:tab/>
      </w:r>
      <w:r w:rsidR="00040D35" w:rsidRPr="005A32F2">
        <w:rPr>
          <w:snapToGrid w:val="0"/>
        </w:rPr>
        <w:t xml:space="preserve">Odměna za </w:t>
      </w:r>
      <w:r w:rsidR="00040D35" w:rsidRPr="005A32F2">
        <w:t>službu poskytnutou podle odst. 1.2</w:t>
      </w:r>
      <w:r w:rsidRPr="005A32F2">
        <w:t xml:space="preserve"> </w:t>
      </w:r>
      <w:r w:rsidR="00040D35" w:rsidRPr="005A32F2">
        <w:t xml:space="preserve">této smlouvy </w:t>
      </w:r>
      <w:r w:rsidR="00040D35" w:rsidRPr="005A32F2">
        <w:rPr>
          <w:snapToGrid w:val="0"/>
        </w:rPr>
        <w:t>bude mandatáři klientem uhrazena bankovním převodem v české měně na základě daňového dokladu</w:t>
      </w:r>
      <w:r w:rsidR="004C01E8" w:rsidRPr="005A32F2">
        <w:rPr>
          <w:snapToGrid w:val="0"/>
        </w:rPr>
        <w:t xml:space="preserve"> vystaveného mandatářem. </w:t>
      </w:r>
    </w:p>
    <w:p w14:paraId="0000002E" w14:textId="111817CB" w:rsidR="00B4795D" w:rsidRPr="005A32F2" w:rsidRDefault="000066AC" w:rsidP="00CD54A9">
      <w:pPr>
        <w:tabs>
          <w:tab w:val="left" w:pos="567"/>
          <w:tab w:val="left" w:pos="4678"/>
        </w:tabs>
        <w:spacing w:before="120"/>
        <w:ind w:left="567" w:hanging="567"/>
      </w:pPr>
      <w:r w:rsidRPr="005A32F2">
        <w:rPr>
          <w:snapToGrid w:val="0"/>
        </w:rPr>
        <w:t xml:space="preserve">4.3 </w:t>
      </w:r>
      <w:r w:rsidRPr="005A32F2">
        <w:rPr>
          <w:snapToGrid w:val="0"/>
        </w:rPr>
        <w:tab/>
      </w:r>
      <w:r w:rsidR="00CD7BCE" w:rsidRPr="005A32F2">
        <w:t>Faktury budou mít náležitosti daňového dokladu a budou v příloze obsahovat stručný popis poskytnutých služeb v příslušném období zakázce. Na žádost klienta mandatář poskytne podrobnější vysvětlení k jakékoliv části faktury.</w:t>
      </w:r>
    </w:p>
    <w:p w14:paraId="0000002F" w14:textId="40BFC88B" w:rsidR="00B4795D" w:rsidRPr="005A32F2" w:rsidRDefault="00CD7BCE" w:rsidP="005A32F2">
      <w:pPr>
        <w:ind w:left="567" w:hanging="567"/>
      </w:pPr>
      <w:r w:rsidRPr="005A32F2">
        <w:t>4.</w:t>
      </w:r>
      <w:r w:rsidR="00CD54A9">
        <w:t>4</w:t>
      </w:r>
      <w:r w:rsidRPr="005A32F2">
        <w:tab/>
        <w:t>Faktury mandatáře jsou splatné ke dni uvedenému ve faktuře, nikoliv však dříve než deset (10) dní po doručení příslušné faktury.</w:t>
      </w:r>
    </w:p>
    <w:p w14:paraId="00000030" w14:textId="77777777" w:rsidR="00B4795D" w:rsidRPr="005A32F2" w:rsidRDefault="00B4795D" w:rsidP="005A32F2">
      <w:pPr>
        <w:ind w:left="567" w:hanging="567"/>
      </w:pPr>
    </w:p>
    <w:p w14:paraId="00000031" w14:textId="77777777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t>Článek V</w:t>
      </w:r>
    </w:p>
    <w:p w14:paraId="00000032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Předpisy o advokacii</w:t>
      </w:r>
    </w:p>
    <w:p w14:paraId="00000033" w14:textId="5EFB2F6D" w:rsidR="00B4795D" w:rsidRPr="005A32F2" w:rsidRDefault="00CD7BCE" w:rsidP="005A32F2">
      <w:pPr>
        <w:ind w:left="567" w:hanging="567"/>
      </w:pPr>
      <w:r w:rsidRPr="005A32F2">
        <w:t>5.1</w:t>
      </w:r>
      <w:r w:rsidRPr="005A32F2">
        <w:tab/>
        <w:t>Mandatář odpovídá klientovi za škody v rozsahu stanoveném právními předpisy o advokacii</w:t>
      </w:r>
      <w:r w:rsidR="000C5923">
        <w:t>, tj. mandatář odpovídá klientovi za škodu, kterou mu způsobí v souvislosti s výkonem advokacie</w:t>
      </w:r>
      <w:r w:rsidRPr="005A32F2">
        <w:t>.</w:t>
      </w:r>
      <w:r w:rsidR="000C5923">
        <w:t xml:space="preserve"> Mandatář odpovídá i za škodu, kterou způsobenou klientovi i tehdy, byla-li škoda způsobena v souvislosti s výkonem advokacie jeho zástupcem. </w:t>
      </w:r>
      <w:r w:rsidRPr="005A32F2">
        <w:t>Výše náhrady škody je však omezena výší dostupného pojistného plnění za takovéto škody podle příslušné pojistné smlouvy uzavřené mezi mandatářem a příslušným pojistitelem na základě právních předpisů upravujících výkon advokacie. Mandatář je na žádost klienta povinen osvědčit existenci a výši pojistného krytí.</w:t>
      </w:r>
    </w:p>
    <w:p w14:paraId="00000034" w14:textId="77777777" w:rsidR="00B4795D" w:rsidRPr="005A32F2" w:rsidRDefault="00CD7BCE" w:rsidP="005A32F2">
      <w:pPr>
        <w:ind w:left="567" w:hanging="567"/>
      </w:pPr>
      <w:r w:rsidRPr="005A32F2">
        <w:t>5.2</w:t>
      </w:r>
      <w:r w:rsidRPr="005A32F2">
        <w:tab/>
        <w:t>Mandatář je vázán povinností mlčenlivosti v rozsahu stanoveném právními předpisy o advokacii.</w:t>
      </w:r>
    </w:p>
    <w:p w14:paraId="7F8462C3" w14:textId="0EB77F5D" w:rsidR="00E31B35" w:rsidRPr="005A32F2" w:rsidRDefault="00CD7BCE" w:rsidP="005A32F2">
      <w:pPr>
        <w:ind w:left="567" w:hanging="567"/>
      </w:pPr>
      <w:r w:rsidRPr="005A32F2">
        <w:t>5.3</w:t>
      </w:r>
      <w:r w:rsidRPr="005A32F2">
        <w:tab/>
        <w:t>Na způsob poskytování právních služeb a práva a povinnosti mandatáře a klienta se v záležitostech touto smlouvou neupravených použijí právní předpisy České republiky upravující poskytování právní pomoci advokáty.</w:t>
      </w:r>
    </w:p>
    <w:p w14:paraId="20F4C87F" w14:textId="77777777" w:rsidR="00157DF5" w:rsidRDefault="00157DF5" w:rsidP="005A32F2">
      <w:pPr>
        <w:keepNext/>
        <w:spacing w:before="120"/>
        <w:jc w:val="center"/>
        <w:rPr>
          <w:b/>
        </w:rPr>
      </w:pPr>
    </w:p>
    <w:p w14:paraId="00000036" w14:textId="7F41F8DA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t>Článek VI</w:t>
      </w:r>
    </w:p>
    <w:p w14:paraId="00000037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Trvání smlouvy</w:t>
      </w:r>
    </w:p>
    <w:p w14:paraId="00000038" w14:textId="77777777" w:rsidR="00B4795D" w:rsidRPr="005A32F2" w:rsidRDefault="00CD7BCE" w:rsidP="005A32F2">
      <w:pPr>
        <w:ind w:left="567" w:hanging="567"/>
      </w:pPr>
      <w:r w:rsidRPr="005A32F2">
        <w:t>6.1</w:t>
      </w:r>
      <w:r w:rsidRPr="005A32F2">
        <w:tab/>
        <w:t>Tato smlouva se uzavírá na dobu neurčitou. Klient může smlouvu vypovědět i bez uvedení důvodu písemnou výpovědí či zápisem o výpovědi v místě sídla mandatáře. Mandatář je v případě výpovědi povinen neprodleně předat klientovi spisovou dokumentaci k jednotlivým případům a předložit závěrečnou fakturu. Mandatář je oprávněn smlouvu vypovědět zejména dojde-li k narušení nezbytné důvěry mezi ním a klientem nebo neposkytl-li klient potřebnou součinnost na základě doručené výzvy k poskytnutí součinnosti, a to do 10 dnů ode dne doručení této výzvy. Klient se zavazuje spisovou dokumentaci převzít a uhradit závěrečnou fakturu nejpozději dle její splatnosti.</w:t>
      </w:r>
    </w:p>
    <w:p w14:paraId="00000039" w14:textId="77777777" w:rsidR="00B4795D" w:rsidRPr="005A32F2" w:rsidRDefault="00B4795D" w:rsidP="005A32F2">
      <w:pPr>
        <w:ind w:left="567" w:hanging="567"/>
      </w:pPr>
    </w:p>
    <w:p w14:paraId="0000003A" w14:textId="77777777" w:rsidR="00B4795D" w:rsidRPr="005A32F2" w:rsidRDefault="00CD7BCE" w:rsidP="005A32F2">
      <w:pPr>
        <w:keepNext/>
        <w:spacing w:before="120"/>
        <w:jc w:val="center"/>
        <w:rPr>
          <w:b/>
        </w:rPr>
      </w:pPr>
      <w:r w:rsidRPr="005A32F2">
        <w:rPr>
          <w:b/>
        </w:rPr>
        <w:lastRenderedPageBreak/>
        <w:t>Článek VII</w:t>
      </w:r>
    </w:p>
    <w:p w14:paraId="0000003B" w14:textId="77777777" w:rsidR="00B4795D" w:rsidRPr="005A32F2" w:rsidRDefault="00CD7BCE" w:rsidP="005A32F2">
      <w:pPr>
        <w:keepNext/>
        <w:jc w:val="center"/>
        <w:rPr>
          <w:b/>
        </w:rPr>
      </w:pPr>
      <w:r w:rsidRPr="005A32F2">
        <w:rPr>
          <w:b/>
        </w:rPr>
        <w:t>Závěrečná ustanovení</w:t>
      </w:r>
    </w:p>
    <w:p w14:paraId="2C25836B" w14:textId="01B54E6C" w:rsidR="001335E3" w:rsidRDefault="00CD7BCE" w:rsidP="005A32F2">
      <w:pPr>
        <w:ind w:left="567" w:hanging="567"/>
      </w:pPr>
      <w:r w:rsidRPr="005A32F2">
        <w:t>7.1</w:t>
      </w:r>
      <w:r w:rsidRPr="005A32F2">
        <w:tab/>
      </w:r>
      <w:r w:rsidR="001335E3" w:rsidRPr="00916B4D">
        <w:t xml:space="preserve">Tato smlouva </w:t>
      </w:r>
      <w:r w:rsidR="00157619">
        <w:t xml:space="preserve">nabývá </w:t>
      </w:r>
      <w:r w:rsidR="001335E3" w:rsidRPr="00916B4D">
        <w:t>platnost</w:t>
      </w:r>
      <w:r w:rsidR="00157619">
        <w:t>i</w:t>
      </w:r>
      <w:r w:rsidR="001335E3" w:rsidRPr="00916B4D">
        <w:t xml:space="preserve"> dnem podpisu oběma smluvními stranami a účinnosti dnem uveřejnění registru smluv</w:t>
      </w:r>
      <w:r w:rsidR="00157619">
        <w:t xml:space="preserve"> ve smyslu zákona č. 340/2015 Sb., o zvláštních podmínkách účinnosti některých smluv, uveřejňování těchto smluv a o registru smluv (zákon o registru smluv), ve znění pozdějších předpisů (dále jen „zákon o registru smluv“)</w:t>
      </w:r>
      <w:r w:rsidR="001335E3" w:rsidRPr="00916B4D">
        <w:t>.</w:t>
      </w:r>
    </w:p>
    <w:p w14:paraId="0000003C" w14:textId="65574A4E" w:rsidR="00B4795D" w:rsidRDefault="001335E3" w:rsidP="005A32F2">
      <w:pPr>
        <w:ind w:left="567" w:hanging="567"/>
      </w:pPr>
      <w:r>
        <w:t>7.2</w:t>
      </w:r>
      <w:r>
        <w:tab/>
      </w:r>
      <w:r w:rsidR="00A06592">
        <w:t>Mandatář</w:t>
      </w:r>
      <w:r w:rsidR="00A06592" w:rsidRPr="00916B4D">
        <w:t xml:space="preserve"> bere na vědomí, že </w:t>
      </w:r>
      <w:r w:rsidR="00A06592">
        <w:t>klient</w:t>
      </w:r>
      <w:r w:rsidR="00A06592" w:rsidRPr="00916B4D">
        <w:t xml:space="preserve"> je povinen uveřejnit tuto smlouvu</w:t>
      </w:r>
      <w:r w:rsidR="00157619">
        <w:t xml:space="preserve"> v souladu se zákonem o registru smluv </w:t>
      </w:r>
      <w:r w:rsidR="00A06592" w:rsidRPr="00916B4D">
        <w:t xml:space="preserve">a </w:t>
      </w:r>
      <w:r w:rsidR="00157DF5">
        <w:t>zákonem č. 134/2016 Sb., o zadávání veřejných zakázek, ve znění pozdějších předpisů</w:t>
      </w:r>
      <w:r w:rsidR="00A06592" w:rsidRPr="00916B4D">
        <w:t>.</w:t>
      </w:r>
    </w:p>
    <w:p w14:paraId="6797D699" w14:textId="409245DA" w:rsidR="00025BD0" w:rsidRPr="005A32F2" w:rsidRDefault="00025BD0" w:rsidP="005A32F2">
      <w:pPr>
        <w:ind w:left="567" w:hanging="567"/>
      </w:pPr>
      <w:r>
        <w:t>7.3</w:t>
      </w:r>
      <w:r>
        <w:tab/>
        <w:t>Mandatář není opráv</w:t>
      </w:r>
      <w:r w:rsidR="0004596F">
        <w:t xml:space="preserve">něn postoupit pohledávku, která vznikne na základě této smlouvy nebo v souvislosti s ní na třetí osou. Klient není oprávněn postoupit tuto smlouvy ani z části třetí osobě. </w:t>
      </w:r>
    </w:p>
    <w:p w14:paraId="0000003E" w14:textId="4CB3EF96" w:rsidR="00B4795D" w:rsidRPr="005A32F2" w:rsidRDefault="00CD7BCE" w:rsidP="005A32F2">
      <w:pPr>
        <w:ind w:left="567" w:hanging="567"/>
      </w:pPr>
      <w:r w:rsidRPr="005A32F2">
        <w:t>7.</w:t>
      </w:r>
      <w:r w:rsidR="001335E3">
        <w:t>4</w:t>
      </w:r>
      <w:r w:rsidRPr="005A32F2">
        <w:tab/>
        <w:t>Tato smlouva je uzavřena a podepsána ve 2 (dvou) stejnopisech v českém jazyce, každý s platností originálu, z nichž každá ze stran obdrží po 1 (jednom) stejnopise.</w:t>
      </w:r>
    </w:p>
    <w:p w14:paraId="0000003F" w14:textId="2DFB36D8" w:rsidR="00B4795D" w:rsidRPr="005A32F2" w:rsidRDefault="00CD7BCE" w:rsidP="005A32F2">
      <w:pPr>
        <w:ind w:left="567" w:hanging="567"/>
      </w:pPr>
      <w:r w:rsidRPr="005A32F2">
        <w:t>7.</w:t>
      </w:r>
      <w:r w:rsidR="001335E3">
        <w:t>5</w:t>
      </w:r>
      <w:r w:rsidRPr="005A32F2">
        <w:tab/>
        <w:t>Tato smlouva může být měněna pouze vzestupně číslovanými dodatky v písemné formě.</w:t>
      </w:r>
    </w:p>
    <w:p w14:paraId="00000040" w14:textId="1973BEC8" w:rsidR="00B4795D" w:rsidRPr="005A32F2" w:rsidRDefault="00CD7BCE" w:rsidP="005A32F2">
      <w:pPr>
        <w:ind w:left="567" w:hanging="567"/>
      </w:pPr>
      <w:r w:rsidRPr="005A32F2">
        <w:t>7.</w:t>
      </w:r>
      <w:r w:rsidR="001335E3">
        <w:t>6</w:t>
      </w:r>
      <w:r w:rsidRPr="005A32F2">
        <w:tab/>
        <w:t>Smluvní strany tímto prohlašují a potvrzují, že veškerá ustanovení a podmínky této smlouvy byly dohodnuty mezi smluvními stranami svobodně, vážně a určitě, nikoliv v tísni a za nápadně nevýhodných podmínek a na důkaz toho připojují své podpisy:</w:t>
      </w:r>
    </w:p>
    <w:p w14:paraId="00000041" w14:textId="77777777" w:rsidR="00B4795D" w:rsidRPr="005A32F2" w:rsidRDefault="00B4795D" w:rsidP="005A32F2">
      <w:pPr>
        <w:ind w:left="567" w:hanging="567"/>
      </w:pPr>
    </w:p>
    <w:p w14:paraId="00000042" w14:textId="324A391C" w:rsidR="00B4795D" w:rsidRPr="005A32F2" w:rsidRDefault="00CD7BCE" w:rsidP="005A32F2">
      <w:pPr>
        <w:ind w:left="567" w:hanging="567"/>
      </w:pPr>
      <w:r w:rsidRPr="005A32F2">
        <w:t xml:space="preserve">V Praze dne </w:t>
      </w:r>
      <w:r w:rsidR="007E0AD6">
        <w:t>15.5.2020</w:t>
      </w:r>
      <w:r w:rsidRPr="005A32F2">
        <w:tab/>
      </w:r>
      <w:r w:rsidRPr="005A32F2">
        <w:tab/>
      </w:r>
      <w:r w:rsidRPr="005A32F2">
        <w:tab/>
      </w:r>
      <w:r w:rsidRPr="005A32F2">
        <w:tab/>
      </w:r>
      <w:r w:rsidRPr="005A32F2">
        <w:tab/>
        <w:t xml:space="preserve">V Praze dne </w:t>
      </w:r>
      <w:r w:rsidR="007E0AD6">
        <w:t>19.5.2020</w:t>
      </w:r>
    </w:p>
    <w:p w14:paraId="00000043" w14:textId="7C198416" w:rsidR="00B4795D" w:rsidRDefault="00B4795D" w:rsidP="005A32F2"/>
    <w:p w14:paraId="79ED2897" w14:textId="77777777" w:rsidR="00DC6697" w:rsidRPr="005A32F2" w:rsidRDefault="00DC6697" w:rsidP="005A32F2"/>
    <w:p w14:paraId="00000044" w14:textId="77777777" w:rsidR="00B4795D" w:rsidRPr="005A32F2" w:rsidRDefault="00CD7BCE" w:rsidP="005A32F2">
      <w:pPr>
        <w:ind w:left="567" w:hanging="567"/>
      </w:pPr>
      <w:r w:rsidRPr="005A32F2">
        <w:t>………………………………………………</w:t>
      </w:r>
      <w:r w:rsidRPr="005A32F2">
        <w:tab/>
      </w:r>
      <w:r w:rsidRPr="005A32F2">
        <w:tab/>
      </w:r>
      <w:r w:rsidRPr="005A32F2">
        <w:tab/>
        <w:t>………………………………………………………</w:t>
      </w:r>
    </w:p>
    <w:p w14:paraId="73DBAB94" w14:textId="1F077ACF" w:rsidR="00C6122D" w:rsidRPr="005A32F2" w:rsidRDefault="00CD7BCE" w:rsidP="005A32F2">
      <w:pPr>
        <w:rPr>
          <w:b/>
        </w:rPr>
      </w:pPr>
      <w:r w:rsidRPr="005A32F2">
        <w:rPr>
          <w:b/>
        </w:rPr>
        <w:t xml:space="preserve">Mgr. Markéta </w:t>
      </w:r>
      <w:proofErr w:type="spellStart"/>
      <w:r w:rsidRPr="005A32F2">
        <w:rPr>
          <w:b/>
        </w:rPr>
        <w:t>Koubíková</w:t>
      </w:r>
      <w:proofErr w:type="spellEnd"/>
      <w:r w:rsidRPr="005A32F2">
        <w:rPr>
          <w:b/>
        </w:rPr>
        <w:t>, advokátka</w:t>
      </w:r>
      <w:r w:rsidRPr="005A32F2">
        <w:tab/>
      </w:r>
      <w:r w:rsidRPr="005A32F2">
        <w:tab/>
        <w:t xml:space="preserve"> </w:t>
      </w:r>
      <w:r w:rsidR="00087C4B" w:rsidRPr="005A32F2">
        <w:tab/>
      </w:r>
      <w:r w:rsidR="00087C4B" w:rsidRPr="005A32F2">
        <w:rPr>
          <w:b/>
        </w:rPr>
        <w:t xml:space="preserve">Ústav chemických procesů AV ČR, </w:t>
      </w:r>
      <w:proofErr w:type="spellStart"/>
      <w:r w:rsidR="00087C4B" w:rsidRPr="005A32F2">
        <w:rPr>
          <w:b/>
        </w:rPr>
        <w:t>v.v.i</w:t>
      </w:r>
      <w:proofErr w:type="spellEnd"/>
      <w:r w:rsidR="00087C4B" w:rsidRPr="005A32F2">
        <w:rPr>
          <w:b/>
        </w:rPr>
        <w:t>.</w:t>
      </w:r>
    </w:p>
    <w:p w14:paraId="00000045" w14:textId="647DB47F" w:rsidR="00B4795D" w:rsidRPr="005A32F2" w:rsidRDefault="00087C4B" w:rsidP="005A32F2">
      <w:pPr>
        <w:ind w:left="4950" w:hanging="4950"/>
      </w:pPr>
      <w:r w:rsidRPr="005A32F2">
        <w:rPr>
          <w:b/>
        </w:rPr>
        <w:tab/>
      </w:r>
      <w:bookmarkStart w:id="0" w:name="_GoBack"/>
      <w:bookmarkEnd w:id="0"/>
    </w:p>
    <w:p w14:paraId="00000046" w14:textId="77777777" w:rsidR="00B4795D" w:rsidRPr="005A32F2" w:rsidRDefault="00B4795D" w:rsidP="005A32F2"/>
    <w:p w14:paraId="10F7C374" w14:textId="77777777" w:rsidR="00EF2FC8" w:rsidRDefault="00EF2FC8">
      <w:bookmarkStart w:id="1" w:name="_gjdgxs" w:colFirst="0" w:colLast="0"/>
      <w:bookmarkEnd w:id="1"/>
      <w:r>
        <w:br w:type="page"/>
      </w:r>
    </w:p>
    <w:p w14:paraId="00000047" w14:textId="465A4AE3" w:rsidR="00B4795D" w:rsidRPr="00EF2FC8" w:rsidRDefault="009D613F">
      <w:pPr>
        <w:rPr>
          <w:b/>
        </w:rPr>
      </w:pPr>
      <w:r w:rsidRPr="00EF2FC8">
        <w:rPr>
          <w:b/>
        </w:rPr>
        <w:lastRenderedPageBreak/>
        <w:t>Příloha č. 1:</w:t>
      </w:r>
    </w:p>
    <w:p w14:paraId="29F3BE4D" w14:textId="40B229E9" w:rsidR="009D613F" w:rsidRDefault="00EF2FC8">
      <w:r>
        <w:t xml:space="preserve">Cena za </w:t>
      </w:r>
      <w:r w:rsidR="00CE710F">
        <w:t>služby podle čl. 1.2 smlouvy</w:t>
      </w:r>
      <w: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CD54A9" w:rsidRPr="001E7FDF" w14:paraId="156A30A2" w14:textId="77777777" w:rsidTr="00CD54A9">
        <w:tc>
          <w:tcPr>
            <w:tcW w:w="2263" w:type="dxa"/>
            <w:vAlign w:val="center"/>
          </w:tcPr>
          <w:p w14:paraId="414A62AE" w14:textId="7777777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b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b/>
                <w:sz w:val="20"/>
                <w:lang w:eastAsia="cs-CZ"/>
              </w:rPr>
              <w:t>druh zadávacího / výběrového řízení</w:t>
            </w:r>
          </w:p>
        </w:tc>
        <w:tc>
          <w:tcPr>
            <w:tcW w:w="2268" w:type="dxa"/>
            <w:vAlign w:val="center"/>
          </w:tcPr>
          <w:p w14:paraId="2D89F144" w14:textId="77777777" w:rsidR="00B135C2" w:rsidRDefault="00B135C2" w:rsidP="00B135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E7FDF">
              <w:rPr>
                <w:b/>
                <w:sz w:val="20"/>
                <w:szCs w:val="20"/>
              </w:rPr>
              <w:t xml:space="preserve">cena v Kč </w:t>
            </w:r>
          </w:p>
          <w:p w14:paraId="0B2A6F03" w14:textId="1FF997EB" w:rsidR="00CD54A9" w:rsidRPr="001E7FDF" w:rsidRDefault="00B135C2" w:rsidP="00B135C2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b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b/>
                <w:sz w:val="20"/>
              </w:rPr>
              <w:t>(bez DPH)</w:t>
            </w:r>
          </w:p>
        </w:tc>
        <w:tc>
          <w:tcPr>
            <w:tcW w:w="2268" w:type="dxa"/>
            <w:vAlign w:val="center"/>
          </w:tcPr>
          <w:p w14:paraId="1ABA8D74" w14:textId="77777777" w:rsidR="00B135C2" w:rsidRDefault="00B135C2" w:rsidP="00B135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E7FDF">
              <w:rPr>
                <w:b/>
                <w:sz w:val="20"/>
                <w:szCs w:val="20"/>
              </w:rPr>
              <w:t xml:space="preserve">DPH </w:t>
            </w:r>
            <w:r>
              <w:rPr>
                <w:b/>
                <w:sz w:val="20"/>
                <w:szCs w:val="20"/>
              </w:rPr>
              <w:t xml:space="preserve">v Kč </w:t>
            </w:r>
          </w:p>
          <w:p w14:paraId="49E5F776" w14:textId="01D153DE" w:rsidR="00CD54A9" w:rsidRPr="001E7FDF" w:rsidRDefault="00B135C2" w:rsidP="00B135C2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b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b/>
                <w:sz w:val="20"/>
              </w:rPr>
              <w:t>(sazba 21 %)</w:t>
            </w:r>
          </w:p>
        </w:tc>
        <w:tc>
          <w:tcPr>
            <w:tcW w:w="2268" w:type="dxa"/>
            <w:vAlign w:val="center"/>
          </w:tcPr>
          <w:p w14:paraId="2B0B8DA7" w14:textId="77777777" w:rsidR="00B135C2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b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b/>
                <w:sz w:val="20"/>
                <w:lang w:eastAsia="cs-CZ"/>
              </w:rPr>
              <w:t>cena v</w:t>
            </w:r>
            <w:r w:rsidR="00B135C2">
              <w:rPr>
                <w:rFonts w:ascii="Arial" w:hAnsi="Arial" w:cs="Arial"/>
                <w:b/>
                <w:sz w:val="20"/>
                <w:lang w:eastAsia="cs-CZ"/>
              </w:rPr>
              <w:t> </w:t>
            </w:r>
            <w:r w:rsidRPr="001E7FDF">
              <w:rPr>
                <w:rFonts w:ascii="Arial" w:hAnsi="Arial" w:cs="Arial"/>
                <w:b/>
                <w:sz w:val="20"/>
                <w:lang w:eastAsia="cs-CZ"/>
              </w:rPr>
              <w:t>Kč</w:t>
            </w:r>
            <w:r w:rsidR="00B135C2">
              <w:rPr>
                <w:rFonts w:ascii="Arial" w:hAnsi="Arial" w:cs="Arial"/>
                <w:b/>
                <w:sz w:val="20"/>
                <w:lang w:eastAsia="cs-CZ"/>
              </w:rPr>
              <w:t xml:space="preserve"> </w:t>
            </w:r>
          </w:p>
          <w:p w14:paraId="1653517F" w14:textId="200997A6" w:rsidR="00CD54A9" w:rsidRPr="001E7FDF" w:rsidRDefault="00B135C2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b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b/>
                <w:sz w:val="20"/>
              </w:rPr>
              <w:t>(včetně DPH)</w:t>
            </w:r>
          </w:p>
        </w:tc>
      </w:tr>
      <w:tr w:rsidR="00CD54A9" w:rsidRPr="001E7FDF" w14:paraId="34878C43" w14:textId="77777777" w:rsidTr="00CD54A9">
        <w:trPr>
          <w:trHeight w:val="759"/>
        </w:trPr>
        <w:tc>
          <w:tcPr>
            <w:tcW w:w="2263" w:type="dxa"/>
            <w:vAlign w:val="center"/>
          </w:tcPr>
          <w:p w14:paraId="25D872DF" w14:textId="7777777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sz w:val="20"/>
                <w:lang w:eastAsia="cs-CZ"/>
              </w:rPr>
              <w:t>otevřené řízení podle § 56 ZZVZ (nadlimitní režim)</w:t>
            </w:r>
          </w:p>
        </w:tc>
        <w:tc>
          <w:tcPr>
            <w:tcW w:w="2268" w:type="dxa"/>
            <w:vAlign w:val="center"/>
          </w:tcPr>
          <w:p w14:paraId="6747345C" w14:textId="7777777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sz w:val="20"/>
                <w:lang w:eastAsia="cs-CZ"/>
              </w:rPr>
              <w:t>63 000</w:t>
            </w:r>
          </w:p>
        </w:tc>
        <w:tc>
          <w:tcPr>
            <w:tcW w:w="2268" w:type="dxa"/>
            <w:vAlign w:val="center"/>
          </w:tcPr>
          <w:p w14:paraId="60EDB136" w14:textId="70BD91CE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13 230</w:t>
            </w:r>
          </w:p>
        </w:tc>
        <w:tc>
          <w:tcPr>
            <w:tcW w:w="2268" w:type="dxa"/>
            <w:vAlign w:val="center"/>
          </w:tcPr>
          <w:p w14:paraId="19B449FF" w14:textId="2F9C5B8A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76 230</w:t>
            </w:r>
          </w:p>
        </w:tc>
      </w:tr>
      <w:tr w:rsidR="00CD54A9" w:rsidRPr="001E7FDF" w14:paraId="36A800DF" w14:textId="77777777" w:rsidTr="00CD54A9">
        <w:tc>
          <w:tcPr>
            <w:tcW w:w="2263" w:type="dxa"/>
            <w:vAlign w:val="center"/>
          </w:tcPr>
          <w:p w14:paraId="4F1CAAE6" w14:textId="7777777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sz w:val="20"/>
                <w:lang w:eastAsia="cs-CZ"/>
              </w:rPr>
              <w:t>otevřené řízení podle § 56 ZZVZ (podlimitní režim)</w:t>
            </w:r>
          </w:p>
        </w:tc>
        <w:tc>
          <w:tcPr>
            <w:tcW w:w="2268" w:type="dxa"/>
            <w:vAlign w:val="center"/>
          </w:tcPr>
          <w:p w14:paraId="1F7DEE0C" w14:textId="7777777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sz w:val="20"/>
                <w:lang w:eastAsia="cs-CZ"/>
              </w:rPr>
              <w:t>52 000</w:t>
            </w:r>
          </w:p>
        </w:tc>
        <w:tc>
          <w:tcPr>
            <w:tcW w:w="2268" w:type="dxa"/>
            <w:vAlign w:val="center"/>
          </w:tcPr>
          <w:p w14:paraId="5A70C975" w14:textId="78E5E7BC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10 920</w:t>
            </w:r>
          </w:p>
        </w:tc>
        <w:tc>
          <w:tcPr>
            <w:tcW w:w="2268" w:type="dxa"/>
            <w:vAlign w:val="center"/>
          </w:tcPr>
          <w:p w14:paraId="33ED6E2A" w14:textId="6866EB58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62 920</w:t>
            </w:r>
          </w:p>
        </w:tc>
      </w:tr>
      <w:tr w:rsidR="00CD54A9" w:rsidRPr="001E7FDF" w14:paraId="2428B25F" w14:textId="77777777" w:rsidTr="00CD54A9">
        <w:tc>
          <w:tcPr>
            <w:tcW w:w="2263" w:type="dxa"/>
            <w:vAlign w:val="center"/>
          </w:tcPr>
          <w:p w14:paraId="66364D04" w14:textId="7777777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sz w:val="20"/>
                <w:lang w:eastAsia="cs-CZ"/>
              </w:rPr>
              <w:t>zjednodušené podlimitní řízení podle § 53 ZZVZ</w:t>
            </w:r>
          </w:p>
        </w:tc>
        <w:tc>
          <w:tcPr>
            <w:tcW w:w="2268" w:type="dxa"/>
            <w:vAlign w:val="center"/>
          </w:tcPr>
          <w:p w14:paraId="3BE6A41F" w14:textId="7777777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sz w:val="20"/>
                <w:lang w:eastAsia="cs-CZ"/>
              </w:rPr>
              <w:t>48 000</w:t>
            </w:r>
          </w:p>
        </w:tc>
        <w:tc>
          <w:tcPr>
            <w:tcW w:w="2268" w:type="dxa"/>
            <w:vAlign w:val="center"/>
          </w:tcPr>
          <w:p w14:paraId="3311EDE5" w14:textId="4B2E542B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10 080</w:t>
            </w:r>
          </w:p>
        </w:tc>
        <w:tc>
          <w:tcPr>
            <w:tcW w:w="2268" w:type="dxa"/>
            <w:vAlign w:val="center"/>
          </w:tcPr>
          <w:p w14:paraId="51E047A0" w14:textId="350F3536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58 080</w:t>
            </w:r>
          </w:p>
        </w:tc>
      </w:tr>
      <w:tr w:rsidR="00CD54A9" w:rsidRPr="001E7FDF" w14:paraId="55AF63C0" w14:textId="77777777" w:rsidTr="00CD54A9">
        <w:tc>
          <w:tcPr>
            <w:tcW w:w="2263" w:type="dxa"/>
            <w:vAlign w:val="center"/>
          </w:tcPr>
          <w:p w14:paraId="484FB9E8" w14:textId="7777777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sz w:val="20"/>
                <w:lang w:eastAsia="cs-CZ"/>
              </w:rPr>
              <w:t>otevřená výzva</w:t>
            </w:r>
          </w:p>
        </w:tc>
        <w:tc>
          <w:tcPr>
            <w:tcW w:w="2268" w:type="dxa"/>
            <w:vAlign w:val="center"/>
          </w:tcPr>
          <w:p w14:paraId="36F372F1" w14:textId="7777777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sz w:val="20"/>
                <w:lang w:eastAsia="cs-CZ"/>
              </w:rPr>
              <w:t>23 000</w:t>
            </w:r>
          </w:p>
        </w:tc>
        <w:tc>
          <w:tcPr>
            <w:tcW w:w="2268" w:type="dxa"/>
            <w:vAlign w:val="center"/>
          </w:tcPr>
          <w:p w14:paraId="2E0C3471" w14:textId="08879641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4 830</w:t>
            </w:r>
          </w:p>
        </w:tc>
        <w:tc>
          <w:tcPr>
            <w:tcW w:w="2268" w:type="dxa"/>
            <w:vAlign w:val="center"/>
          </w:tcPr>
          <w:p w14:paraId="2544A65F" w14:textId="25D6F86E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27 830</w:t>
            </w:r>
          </w:p>
        </w:tc>
      </w:tr>
      <w:tr w:rsidR="00CD54A9" w:rsidRPr="001E7FDF" w14:paraId="3FCDC767" w14:textId="77777777" w:rsidTr="00CD54A9">
        <w:tc>
          <w:tcPr>
            <w:tcW w:w="2263" w:type="dxa"/>
            <w:vAlign w:val="center"/>
          </w:tcPr>
          <w:p w14:paraId="4492A367" w14:textId="7777777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sz w:val="20"/>
                <w:lang w:eastAsia="cs-CZ"/>
              </w:rPr>
              <w:t>uzavřená výzva</w:t>
            </w:r>
          </w:p>
        </w:tc>
        <w:tc>
          <w:tcPr>
            <w:tcW w:w="2268" w:type="dxa"/>
            <w:vAlign w:val="center"/>
          </w:tcPr>
          <w:p w14:paraId="5CCBFFBC" w14:textId="7777777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sz w:val="20"/>
                <w:lang w:eastAsia="cs-CZ"/>
              </w:rPr>
              <w:t>18 000</w:t>
            </w:r>
          </w:p>
        </w:tc>
        <w:tc>
          <w:tcPr>
            <w:tcW w:w="2268" w:type="dxa"/>
            <w:vAlign w:val="center"/>
          </w:tcPr>
          <w:p w14:paraId="4A67DD13" w14:textId="330764DA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3 780</w:t>
            </w:r>
          </w:p>
        </w:tc>
        <w:tc>
          <w:tcPr>
            <w:tcW w:w="2268" w:type="dxa"/>
            <w:vAlign w:val="center"/>
          </w:tcPr>
          <w:p w14:paraId="0D98F3CD" w14:textId="640C2207" w:rsidR="00CD54A9" w:rsidRPr="001E7FDF" w:rsidRDefault="00CD54A9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sz w:val="20"/>
                <w:lang w:eastAsia="cs-CZ"/>
              </w:rPr>
            </w:pPr>
            <w:r>
              <w:rPr>
                <w:rFonts w:ascii="Arial" w:hAnsi="Arial" w:cs="Arial"/>
                <w:sz w:val="20"/>
                <w:lang w:eastAsia="cs-CZ"/>
              </w:rPr>
              <w:t>21 780</w:t>
            </w:r>
          </w:p>
        </w:tc>
      </w:tr>
    </w:tbl>
    <w:p w14:paraId="0DFE9A94" w14:textId="75460B0B" w:rsidR="00CD54A9" w:rsidRDefault="00CD54A9"/>
    <w:p w14:paraId="69EBE651" w14:textId="19EF9E13" w:rsidR="00CD54A9" w:rsidRDefault="00CD54A9"/>
    <w:p w14:paraId="10D0E19C" w14:textId="69669CFC" w:rsidR="002A001C" w:rsidRDefault="00CD54A9" w:rsidP="002A001C">
      <w:pPr>
        <w:rPr>
          <w:b/>
        </w:rPr>
      </w:pPr>
      <w:r>
        <w:rPr>
          <w:b/>
        </w:rPr>
        <w:t>H</w:t>
      </w:r>
      <w:r w:rsidR="002A001C">
        <w:rPr>
          <w:b/>
        </w:rPr>
        <w:t xml:space="preserve">odinová sazba </w:t>
      </w:r>
      <w:r w:rsidR="002A001C" w:rsidRPr="00EF2FC8">
        <w:rPr>
          <w:b/>
        </w:rPr>
        <w:t>podle smlouvy: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11"/>
        <w:gridCol w:w="2552"/>
        <w:gridCol w:w="2552"/>
        <w:gridCol w:w="2552"/>
      </w:tblGrid>
      <w:tr w:rsidR="00B135C2" w14:paraId="718B05BD" w14:textId="77777777" w:rsidTr="00E57218">
        <w:tc>
          <w:tcPr>
            <w:tcW w:w="1411" w:type="dxa"/>
          </w:tcPr>
          <w:p w14:paraId="6D76C8E1" w14:textId="77777777" w:rsidR="00B135C2" w:rsidRPr="00690EE3" w:rsidRDefault="00B135C2" w:rsidP="00B135C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D36BBF4" w14:textId="77777777" w:rsidR="00B135C2" w:rsidRPr="00690EE3" w:rsidRDefault="00B135C2" w:rsidP="00B135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0EE3">
              <w:rPr>
                <w:b/>
                <w:sz w:val="20"/>
                <w:szCs w:val="20"/>
              </w:rPr>
              <w:t xml:space="preserve">cena v Kč </w:t>
            </w:r>
          </w:p>
          <w:p w14:paraId="01054F63" w14:textId="27D5524A" w:rsidR="00B135C2" w:rsidRPr="00690EE3" w:rsidRDefault="00B135C2" w:rsidP="00B135C2">
            <w:pPr>
              <w:jc w:val="center"/>
              <w:rPr>
                <w:b/>
                <w:sz w:val="20"/>
                <w:szCs w:val="20"/>
              </w:rPr>
            </w:pPr>
            <w:r w:rsidRPr="00690EE3">
              <w:rPr>
                <w:b/>
                <w:sz w:val="20"/>
                <w:szCs w:val="20"/>
              </w:rPr>
              <w:t>(bez DPH)</w:t>
            </w:r>
          </w:p>
        </w:tc>
        <w:tc>
          <w:tcPr>
            <w:tcW w:w="2552" w:type="dxa"/>
            <w:vAlign w:val="center"/>
          </w:tcPr>
          <w:p w14:paraId="6EC4E7F1" w14:textId="77777777" w:rsidR="00B135C2" w:rsidRPr="00690EE3" w:rsidRDefault="00B135C2" w:rsidP="00B135C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90EE3">
              <w:rPr>
                <w:b/>
                <w:sz w:val="20"/>
                <w:szCs w:val="20"/>
              </w:rPr>
              <w:t xml:space="preserve">DPH v Kč </w:t>
            </w:r>
          </w:p>
          <w:p w14:paraId="43C32EF4" w14:textId="1302FF8A" w:rsidR="00B135C2" w:rsidRPr="00690EE3" w:rsidRDefault="00B135C2" w:rsidP="00B135C2">
            <w:pPr>
              <w:jc w:val="center"/>
              <w:rPr>
                <w:b/>
                <w:sz w:val="20"/>
                <w:szCs w:val="20"/>
              </w:rPr>
            </w:pPr>
            <w:r w:rsidRPr="00690EE3">
              <w:rPr>
                <w:b/>
                <w:sz w:val="20"/>
                <w:szCs w:val="20"/>
              </w:rPr>
              <w:t>(sazba 21 %)</w:t>
            </w:r>
          </w:p>
        </w:tc>
        <w:tc>
          <w:tcPr>
            <w:tcW w:w="2552" w:type="dxa"/>
            <w:vAlign w:val="center"/>
          </w:tcPr>
          <w:p w14:paraId="51D708DB" w14:textId="77777777" w:rsidR="00B135C2" w:rsidRPr="00690EE3" w:rsidRDefault="00B135C2" w:rsidP="00B135C2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b/>
                <w:sz w:val="20"/>
                <w:lang w:eastAsia="cs-CZ"/>
              </w:rPr>
            </w:pPr>
            <w:r w:rsidRPr="00690EE3">
              <w:rPr>
                <w:rFonts w:ascii="Arial" w:hAnsi="Arial" w:cs="Arial"/>
                <w:b/>
                <w:sz w:val="20"/>
                <w:lang w:eastAsia="cs-CZ"/>
              </w:rPr>
              <w:t xml:space="preserve">cena v Kč </w:t>
            </w:r>
          </w:p>
          <w:p w14:paraId="31ED2401" w14:textId="417BA694" w:rsidR="00B135C2" w:rsidRPr="00690EE3" w:rsidRDefault="00B135C2" w:rsidP="00B135C2">
            <w:pPr>
              <w:jc w:val="center"/>
              <w:rPr>
                <w:b/>
                <w:sz w:val="20"/>
                <w:szCs w:val="20"/>
              </w:rPr>
            </w:pPr>
            <w:r w:rsidRPr="00690EE3">
              <w:rPr>
                <w:b/>
                <w:sz w:val="20"/>
                <w:szCs w:val="20"/>
              </w:rPr>
              <w:t>(včetně DPH)</w:t>
            </w:r>
          </w:p>
        </w:tc>
      </w:tr>
      <w:tr w:rsidR="002A001C" w14:paraId="69C6224B" w14:textId="77777777" w:rsidTr="00E57218">
        <w:tc>
          <w:tcPr>
            <w:tcW w:w="1411" w:type="dxa"/>
          </w:tcPr>
          <w:p w14:paraId="7D681985" w14:textId="0A3EEC5B" w:rsidR="002A001C" w:rsidRPr="00690EE3" w:rsidRDefault="002A001C" w:rsidP="00E57218">
            <w:pPr>
              <w:jc w:val="center"/>
              <w:rPr>
                <w:sz w:val="20"/>
                <w:szCs w:val="20"/>
              </w:rPr>
            </w:pPr>
            <w:r w:rsidRPr="00690EE3">
              <w:rPr>
                <w:b/>
                <w:sz w:val="20"/>
                <w:szCs w:val="20"/>
              </w:rPr>
              <w:t>hodinová sazba</w:t>
            </w:r>
          </w:p>
        </w:tc>
        <w:tc>
          <w:tcPr>
            <w:tcW w:w="2552" w:type="dxa"/>
            <w:vAlign w:val="center"/>
          </w:tcPr>
          <w:p w14:paraId="1DA7F8E2" w14:textId="1E9026F0" w:rsidR="002A001C" w:rsidRPr="00690EE3" w:rsidRDefault="002A001C" w:rsidP="00E57218">
            <w:pPr>
              <w:jc w:val="center"/>
              <w:rPr>
                <w:sz w:val="20"/>
                <w:szCs w:val="20"/>
              </w:rPr>
            </w:pPr>
            <w:r w:rsidRPr="00690EE3">
              <w:rPr>
                <w:sz w:val="20"/>
                <w:szCs w:val="20"/>
              </w:rPr>
              <w:t>1 000</w:t>
            </w:r>
          </w:p>
        </w:tc>
        <w:tc>
          <w:tcPr>
            <w:tcW w:w="2552" w:type="dxa"/>
            <w:vAlign w:val="center"/>
          </w:tcPr>
          <w:p w14:paraId="5003A96D" w14:textId="2BA4ECB1" w:rsidR="002A001C" w:rsidRPr="00690EE3" w:rsidRDefault="002A001C" w:rsidP="00E57218">
            <w:pPr>
              <w:jc w:val="center"/>
              <w:rPr>
                <w:sz w:val="20"/>
                <w:szCs w:val="20"/>
              </w:rPr>
            </w:pPr>
            <w:r w:rsidRPr="00690EE3">
              <w:rPr>
                <w:sz w:val="20"/>
                <w:szCs w:val="20"/>
              </w:rPr>
              <w:t>210</w:t>
            </w:r>
          </w:p>
        </w:tc>
        <w:tc>
          <w:tcPr>
            <w:tcW w:w="2552" w:type="dxa"/>
            <w:vAlign w:val="center"/>
          </w:tcPr>
          <w:p w14:paraId="3787A4B2" w14:textId="3CF3318A" w:rsidR="002A001C" w:rsidRPr="00690EE3" w:rsidRDefault="002A001C" w:rsidP="00E57218">
            <w:pPr>
              <w:jc w:val="center"/>
              <w:rPr>
                <w:sz w:val="20"/>
                <w:szCs w:val="20"/>
              </w:rPr>
            </w:pPr>
            <w:r w:rsidRPr="00690EE3">
              <w:rPr>
                <w:sz w:val="20"/>
                <w:szCs w:val="20"/>
              </w:rPr>
              <w:t>1 210</w:t>
            </w:r>
          </w:p>
        </w:tc>
      </w:tr>
    </w:tbl>
    <w:p w14:paraId="1A0FDBFA" w14:textId="74B9746C" w:rsidR="002A001C" w:rsidRDefault="002A001C" w:rsidP="002A001C">
      <w:pPr>
        <w:rPr>
          <w:b/>
        </w:rPr>
      </w:pPr>
    </w:p>
    <w:p w14:paraId="3E2068A7" w14:textId="78992C4A" w:rsidR="00101B80" w:rsidRDefault="00101B80" w:rsidP="00101B80">
      <w:pPr>
        <w:rPr>
          <w:b/>
        </w:rPr>
      </w:pPr>
      <w:r>
        <w:rPr>
          <w:b/>
        </w:rPr>
        <w:t>Ostatní služby</w:t>
      </w:r>
      <w:r w:rsidRPr="00EF2FC8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6408A" w:rsidRPr="001E7FDF" w14:paraId="1100BBA6" w14:textId="77777777" w:rsidTr="002646B4">
        <w:tc>
          <w:tcPr>
            <w:tcW w:w="2265" w:type="dxa"/>
            <w:vAlign w:val="center"/>
          </w:tcPr>
          <w:p w14:paraId="774B5B7F" w14:textId="77777777" w:rsidR="0016408A" w:rsidRPr="001E7FDF" w:rsidRDefault="0016408A" w:rsidP="00264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1021551" w14:textId="77777777" w:rsidR="0016408A" w:rsidRDefault="0016408A" w:rsidP="002646B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E7FDF">
              <w:rPr>
                <w:b/>
                <w:sz w:val="20"/>
                <w:szCs w:val="20"/>
              </w:rPr>
              <w:t xml:space="preserve">cena v Kč </w:t>
            </w:r>
          </w:p>
          <w:p w14:paraId="67F899C4" w14:textId="77777777" w:rsidR="0016408A" w:rsidRPr="001E7FDF" w:rsidRDefault="0016408A" w:rsidP="002646B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E7FDF">
              <w:rPr>
                <w:b/>
                <w:sz w:val="20"/>
                <w:szCs w:val="20"/>
              </w:rPr>
              <w:t>(bez DPH)</w:t>
            </w:r>
          </w:p>
        </w:tc>
        <w:tc>
          <w:tcPr>
            <w:tcW w:w="2266" w:type="dxa"/>
            <w:vAlign w:val="center"/>
          </w:tcPr>
          <w:p w14:paraId="472FF022" w14:textId="77777777" w:rsidR="0016408A" w:rsidRDefault="0016408A" w:rsidP="002646B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E7FDF">
              <w:rPr>
                <w:b/>
                <w:sz w:val="20"/>
                <w:szCs w:val="20"/>
              </w:rPr>
              <w:t xml:space="preserve">DPH </w:t>
            </w:r>
            <w:r>
              <w:rPr>
                <w:b/>
                <w:sz w:val="20"/>
                <w:szCs w:val="20"/>
              </w:rPr>
              <w:t xml:space="preserve">v Kč </w:t>
            </w:r>
          </w:p>
          <w:p w14:paraId="151C32D4" w14:textId="77777777" w:rsidR="0016408A" w:rsidRPr="001E7FDF" w:rsidRDefault="0016408A" w:rsidP="002646B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E7FDF">
              <w:rPr>
                <w:b/>
                <w:sz w:val="20"/>
                <w:szCs w:val="20"/>
              </w:rPr>
              <w:t>(sazba 21 %)</w:t>
            </w:r>
          </w:p>
        </w:tc>
        <w:tc>
          <w:tcPr>
            <w:tcW w:w="2266" w:type="dxa"/>
            <w:vAlign w:val="center"/>
          </w:tcPr>
          <w:p w14:paraId="75D6A6C2" w14:textId="77777777" w:rsidR="0016408A" w:rsidRDefault="0016408A" w:rsidP="002646B4">
            <w:pPr>
              <w:pStyle w:val="Textodstavce"/>
              <w:numPr>
                <w:ilvl w:val="0"/>
                <w:numId w:val="0"/>
              </w:numPr>
              <w:tabs>
                <w:tab w:val="clear" w:pos="851"/>
                <w:tab w:val="center" w:pos="4536"/>
                <w:tab w:val="right" w:pos="9072"/>
              </w:tabs>
              <w:suppressAutoHyphens w:val="0"/>
              <w:spacing w:before="0" w:line="276" w:lineRule="auto"/>
              <w:jc w:val="center"/>
              <w:outlineLvl w:val="9"/>
              <w:rPr>
                <w:rFonts w:ascii="Arial" w:hAnsi="Arial" w:cs="Arial"/>
                <w:b/>
                <w:sz w:val="20"/>
                <w:lang w:eastAsia="cs-CZ"/>
              </w:rPr>
            </w:pPr>
            <w:r w:rsidRPr="001E7FDF">
              <w:rPr>
                <w:rFonts w:ascii="Arial" w:hAnsi="Arial" w:cs="Arial"/>
                <w:b/>
                <w:sz w:val="20"/>
                <w:lang w:eastAsia="cs-CZ"/>
              </w:rPr>
              <w:t>cena v</w:t>
            </w:r>
            <w:r>
              <w:rPr>
                <w:rFonts w:ascii="Arial" w:hAnsi="Arial" w:cs="Arial"/>
                <w:b/>
                <w:sz w:val="20"/>
                <w:lang w:eastAsia="cs-CZ"/>
              </w:rPr>
              <w:t> </w:t>
            </w:r>
            <w:r w:rsidRPr="001E7FDF">
              <w:rPr>
                <w:rFonts w:ascii="Arial" w:hAnsi="Arial" w:cs="Arial"/>
                <w:b/>
                <w:sz w:val="20"/>
                <w:lang w:eastAsia="cs-CZ"/>
              </w:rPr>
              <w:t>Kč</w:t>
            </w:r>
            <w:r>
              <w:rPr>
                <w:rFonts w:ascii="Arial" w:hAnsi="Arial" w:cs="Arial"/>
                <w:b/>
                <w:sz w:val="20"/>
                <w:lang w:eastAsia="cs-CZ"/>
              </w:rPr>
              <w:t xml:space="preserve"> </w:t>
            </w:r>
          </w:p>
          <w:p w14:paraId="46C86613" w14:textId="77777777" w:rsidR="0016408A" w:rsidRPr="001E7FDF" w:rsidRDefault="0016408A" w:rsidP="002646B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E7FDF">
              <w:rPr>
                <w:b/>
                <w:sz w:val="20"/>
                <w:szCs w:val="20"/>
              </w:rPr>
              <w:t>(včetně DPH)</w:t>
            </w:r>
          </w:p>
        </w:tc>
      </w:tr>
      <w:tr w:rsidR="00C76BF5" w:rsidRPr="001E7FDF" w14:paraId="2C942744" w14:textId="77777777" w:rsidTr="002646B4">
        <w:tc>
          <w:tcPr>
            <w:tcW w:w="2265" w:type="dxa"/>
            <w:vAlign w:val="center"/>
          </w:tcPr>
          <w:p w14:paraId="642B937D" w14:textId="77777777" w:rsidR="00C76BF5" w:rsidRPr="001E7FDF" w:rsidRDefault="00C76BF5" w:rsidP="00C76B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jednací řízení bez uveřejnění (podlimitní / nadlimitní režim</w:t>
            </w:r>
          </w:p>
        </w:tc>
        <w:tc>
          <w:tcPr>
            <w:tcW w:w="2265" w:type="dxa"/>
            <w:vAlign w:val="center"/>
          </w:tcPr>
          <w:p w14:paraId="76C6077C" w14:textId="0E93E694" w:rsidR="00C76BF5" w:rsidRPr="001E7FDF" w:rsidRDefault="00C76BF5" w:rsidP="00C76B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2266" w:type="dxa"/>
            <w:vAlign w:val="center"/>
          </w:tcPr>
          <w:p w14:paraId="261A2186" w14:textId="6306B8D2" w:rsidR="00C76BF5" w:rsidRPr="001E7FDF" w:rsidRDefault="00C76BF5" w:rsidP="00C76B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</w:t>
            </w:r>
          </w:p>
        </w:tc>
        <w:tc>
          <w:tcPr>
            <w:tcW w:w="2266" w:type="dxa"/>
            <w:vAlign w:val="center"/>
          </w:tcPr>
          <w:p w14:paraId="5384E6B9" w14:textId="0EC90AE5" w:rsidR="00C76BF5" w:rsidRPr="001E7FDF" w:rsidRDefault="00C76BF5" w:rsidP="00C76B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30 250</w:t>
            </w:r>
          </w:p>
        </w:tc>
      </w:tr>
      <w:tr w:rsidR="00C76BF5" w:rsidRPr="001E7FDF" w14:paraId="66130E59" w14:textId="77777777" w:rsidTr="002646B4">
        <w:tc>
          <w:tcPr>
            <w:tcW w:w="2265" w:type="dxa"/>
            <w:vAlign w:val="center"/>
          </w:tcPr>
          <w:p w14:paraId="4AB3304C" w14:textId="77777777" w:rsidR="00C76BF5" w:rsidRPr="001E7FDF" w:rsidRDefault="00C76BF5" w:rsidP="00C76B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řízení pro zadání veřejné zakázky ve zjednodušeném režimu (podlimitní / nadlimitní veřejná zakázka)</w:t>
            </w:r>
          </w:p>
        </w:tc>
        <w:tc>
          <w:tcPr>
            <w:tcW w:w="2265" w:type="dxa"/>
            <w:vAlign w:val="center"/>
          </w:tcPr>
          <w:p w14:paraId="5750B038" w14:textId="72A0B037" w:rsidR="00C76BF5" w:rsidRPr="001E7FDF" w:rsidRDefault="00C76BF5" w:rsidP="00C76B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2266" w:type="dxa"/>
            <w:vAlign w:val="center"/>
          </w:tcPr>
          <w:p w14:paraId="4D8541AA" w14:textId="6CD273ED" w:rsidR="00C76BF5" w:rsidRPr="00C76BF5" w:rsidRDefault="00C76BF5" w:rsidP="009F4495">
            <w:pPr>
              <w:pStyle w:val="Odstavecseseznamem"/>
              <w:numPr>
                <w:ilvl w:val="0"/>
                <w:numId w:val="23"/>
              </w:numPr>
              <w:spacing w:line="276" w:lineRule="auto"/>
              <w:ind w:left="29" w:right="736" w:firstLine="425"/>
              <w:jc w:val="center"/>
              <w:rPr>
                <w:color w:val="000000"/>
                <w:sz w:val="20"/>
                <w:szCs w:val="20"/>
              </w:rPr>
            </w:pPr>
            <w:r w:rsidRPr="00C76BF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6" w:type="dxa"/>
            <w:vAlign w:val="center"/>
          </w:tcPr>
          <w:p w14:paraId="0C34F120" w14:textId="0042CB5B" w:rsidR="00C76BF5" w:rsidRPr="00C76BF5" w:rsidRDefault="00C76BF5" w:rsidP="00C76BF5">
            <w:pPr>
              <w:spacing w:line="276" w:lineRule="auto"/>
              <w:ind w:left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48 400</w:t>
            </w:r>
          </w:p>
        </w:tc>
      </w:tr>
      <w:tr w:rsidR="00C76BF5" w:rsidRPr="001E7FDF" w14:paraId="38FE9968" w14:textId="77777777" w:rsidTr="002646B4">
        <w:tc>
          <w:tcPr>
            <w:tcW w:w="2265" w:type="dxa"/>
            <w:vAlign w:val="center"/>
          </w:tcPr>
          <w:p w14:paraId="70B65692" w14:textId="76073364" w:rsidR="00C76BF5" w:rsidRDefault="00C76BF5" w:rsidP="00C76B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příprava zprávy / žádost v rámci projektu</w:t>
            </w:r>
          </w:p>
        </w:tc>
        <w:tc>
          <w:tcPr>
            <w:tcW w:w="2265" w:type="dxa"/>
            <w:vAlign w:val="center"/>
          </w:tcPr>
          <w:p w14:paraId="1E242217" w14:textId="071683F1" w:rsidR="00C76BF5" w:rsidRDefault="00C76BF5" w:rsidP="00C76B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2266" w:type="dxa"/>
            <w:vAlign w:val="center"/>
          </w:tcPr>
          <w:p w14:paraId="6B3C9A5A" w14:textId="26872DFA" w:rsidR="00C76BF5" w:rsidRDefault="00C76BF5" w:rsidP="00C76BF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3 150</w:t>
            </w:r>
          </w:p>
        </w:tc>
        <w:tc>
          <w:tcPr>
            <w:tcW w:w="2266" w:type="dxa"/>
            <w:vAlign w:val="center"/>
          </w:tcPr>
          <w:p w14:paraId="0EFA7246" w14:textId="0BB1A4A0" w:rsidR="00C76BF5" w:rsidRPr="00C76BF5" w:rsidRDefault="00C76BF5" w:rsidP="00C76BF5">
            <w:pPr>
              <w:spacing w:line="276" w:lineRule="auto"/>
              <w:ind w:left="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C76BF5">
              <w:rPr>
                <w:color w:val="000000"/>
                <w:sz w:val="20"/>
                <w:szCs w:val="20"/>
              </w:rPr>
              <w:t>8 150</w:t>
            </w:r>
          </w:p>
        </w:tc>
      </w:tr>
    </w:tbl>
    <w:p w14:paraId="41B92849" w14:textId="77777777" w:rsidR="0016408A" w:rsidRPr="00EF2FC8" w:rsidRDefault="0016408A" w:rsidP="002A001C">
      <w:pPr>
        <w:rPr>
          <w:b/>
        </w:rPr>
      </w:pPr>
    </w:p>
    <w:p w14:paraId="401B05E0" w14:textId="77777777" w:rsidR="00EF2FC8" w:rsidRDefault="00EF2FC8" w:rsidP="00EF2FC8"/>
    <w:p w14:paraId="70D088C3" w14:textId="77777777" w:rsidR="00EF2FC8" w:rsidRDefault="00EF2FC8"/>
    <w:sectPr w:rsidR="00EF2FC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3AE1D" w14:textId="77777777" w:rsidR="00981E39" w:rsidRDefault="00981E39">
      <w:pPr>
        <w:spacing w:after="0" w:line="240" w:lineRule="auto"/>
      </w:pPr>
      <w:r>
        <w:separator/>
      </w:r>
    </w:p>
  </w:endnote>
  <w:endnote w:type="continuationSeparator" w:id="0">
    <w:p w14:paraId="6260BF64" w14:textId="77777777" w:rsidR="00981E39" w:rsidRDefault="0098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77777777" w:rsidR="00B4795D" w:rsidRDefault="00CD7B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6592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25BA4" w14:textId="77777777" w:rsidR="00981E39" w:rsidRDefault="00981E39">
      <w:pPr>
        <w:spacing w:after="0" w:line="240" w:lineRule="auto"/>
      </w:pPr>
      <w:r>
        <w:separator/>
      </w:r>
    </w:p>
  </w:footnote>
  <w:footnote w:type="continuationSeparator" w:id="0">
    <w:p w14:paraId="4A557042" w14:textId="77777777" w:rsidR="00981E39" w:rsidRDefault="0098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608F8" w14:textId="0069F5CD" w:rsidR="004B77DA" w:rsidRDefault="004B77DA" w:rsidP="00D277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left"/>
      <w:rPr>
        <w:b/>
        <w:color w:val="000000"/>
      </w:rPr>
    </w:pPr>
    <w:r>
      <w:rPr>
        <w:b/>
        <w:color w:val="000000"/>
      </w:rPr>
      <w:t xml:space="preserve"> </w:t>
    </w:r>
    <w:r>
      <w:rPr>
        <w:b/>
        <w:noProof/>
        <w:color w:val="000000"/>
      </w:rPr>
      <w:t xml:space="preserve">      </w:t>
    </w:r>
    <w:r w:rsidR="00D2778A" w:rsidRPr="00D25507">
      <w:rPr>
        <w:noProof/>
      </w:rPr>
      <w:drawing>
        <wp:inline distT="0" distB="0" distL="0" distR="0" wp14:anchorId="370AF12F" wp14:editId="39D36061">
          <wp:extent cx="4610100" cy="1028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2CFFD" w14:textId="77777777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b/>
        <w:color w:val="000000"/>
      </w:rPr>
    </w:pPr>
    <w:r>
      <w:rPr>
        <w:b/>
        <w:color w:val="000000"/>
      </w:rPr>
      <w:t xml:space="preserve">Mgr. Markéta </w:t>
    </w:r>
    <w:proofErr w:type="spellStart"/>
    <w:r>
      <w:rPr>
        <w:b/>
        <w:color w:val="000000"/>
      </w:rPr>
      <w:t>Koubíková</w:t>
    </w:r>
    <w:proofErr w:type="spellEnd"/>
    <w:r>
      <w:rPr>
        <w:b/>
        <w:color w:val="000000"/>
      </w:rPr>
      <w:t>, advokátka</w:t>
    </w:r>
  </w:p>
  <w:p w14:paraId="3431D1BC" w14:textId="3BDB4C3F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color w:val="000000"/>
      </w:rPr>
    </w:pPr>
    <w:r>
      <w:rPr>
        <w:color w:val="000000"/>
      </w:rPr>
      <w:t>IČ</w:t>
    </w:r>
    <w:r w:rsidR="00E835E8">
      <w:rPr>
        <w:color w:val="000000"/>
      </w:rPr>
      <w:t>O</w:t>
    </w:r>
    <w:r>
      <w:rPr>
        <w:color w:val="000000"/>
      </w:rPr>
      <w:t xml:space="preserve">: 03168930, </w:t>
    </w:r>
    <w:r w:rsidR="00457767">
      <w:rPr>
        <w:color w:val="000000"/>
      </w:rPr>
      <w:t>Balbínova 1093/27, Praha 2, PSČ 120 00,</w:t>
    </w:r>
  </w:p>
  <w:p w14:paraId="7647F54E" w14:textId="77777777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color w:val="000000"/>
      </w:rPr>
    </w:pPr>
    <w:r>
      <w:rPr>
        <w:color w:val="000000"/>
      </w:rPr>
      <w:t>v seznamu advokátů vedeném ČAK zapsána pod ev. č. 15748</w:t>
    </w:r>
  </w:p>
  <w:p w14:paraId="419AB3A3" w14:textId="77777777" w:rsidR="004B77DA" w:rsidRDefault="004B77DA" w:rsidP="004B77DA">
    <w:pPr>
      <w:pBdr>
        <w:top w:val="nil"/>
        <w:left w:val="nil"/>
        <w:bottom w:val="single" w:sz="12" w:space="6" w:color="000000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color w:val="000000"/>
      </w:rPr>
    </w:pPr>
    <w:r>
      <w:rPr>
        <w:color w:val="000000"/>
      </w:rPr>
      <w:t>ID datové schránky ug2kxab</w:t>
    </w:r>
  </w:p>
  <w:p w14:paraId="66EA4942" w14:textId="77777777" w:rsidR="004B77DA" w:rsidRDefault="004B77DA" w:rsidP="004B7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05E"/>
    <w:multiLevelType w:val="hybridMultilevel"/>
    <w:tmpl w:val="0ED8C29A"/>
    <w:lvl w:ilvl="0" w:tplc="0D3C3A5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58BE"/>
    <w:multiLevelType w:val="hybridMultilevel"/>
    <w:tmpl w:val="9C888C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A2875"/>
    <w:multiLevelType w:val="hybridMultilevel"/>
    <w:tmpl w:val="8242842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E239E2"/>
    <w:multiLevelType w:val="hybridMultilevel"/>
    <w:tmpl w:val="A8705F6E"/>
    <w:lvl w:ilvl="0" w:tplc="D69822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1124D"/>
    <w:multiLevelType w:val="hybridMultilevel"/>
    <w:tmpl w:val="13BA3934"/>
    <w:lvl w:ilvl="0" w:tplc="A7645A48">
      <w:start w:val="2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4943"/>
    <w:multiLevelType w:val="hybridMultilevel"/>
    <w:tmpl w:val="466631C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932B5"/>
    <w:multiLevelType w:val="multilevel"/>
    <w:tmpl w:val="2DFEF8E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2665" w:hanging="2268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8A75A57"/>
    <w:multiLevelType w:val="hybridMultilevel"/>
    <w:tmpl w:val="86CCD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772C"/>
    <w:multiLevelType w:val="hybridMultilevel"/>
    <w:tmpl w:val="420C1F1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316100"/>
    <w:multiLevelType w:val="multilevel"/>
    <w:tmpl w:val="F59C0D3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591E"/>
    <w:multiLevelType w:val="multilevel"/>
    <w:tmpl w:val="3BF4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882362"/>
    <w:multiLevelType w:val="multilevel"/>
    <w:tmpl w:val="51489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DD1596"/>
    <w:multiLevelType w:val="multilevel"/>
    <w:tmpl w:val="8F08980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2665" w:hanging="2268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2B11E0B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E06DD4"/>
    <w:multiLevelType w:val="hybridMultilevel"/>
    <w:tmpl w:val="42260AAA"/>
    <w:lvl w:ilvl="0" w:tplc="CC7AD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B548A7"/>
    <w:multiLevelType w:val="hybridMultilevel"/>
    <w:tmpl w:val="F104E0C0"/>
    <w:lvl w:ilvl="0" w:tplc="0D3C3A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E13C6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9D6D75"/>
    <w:multiLevelType w:val="multilevel"/>
    <w:tmpl w:val="70143B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8C20B71"/>
    <w:multiLevelType w:val="hybridMultilevel"/>
    <w:tmpl w:val="732CD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C4460"/>
    <w:multiLevelType w:val="hybridMultilevel"/>
    <w:tmpl w:val="0ED8C29A"/>
    <w:lvl w:ilvl="0" w:tplc="0D3C3A5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417BB"/>
    <w:multiLevelType w:val="multilevel"/>
    <w:tmpl w:val="0D3E737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7EFE23B1"/>
    <w:multiLevelType w:val="hybridMultilevel"/>
    <w:tmpl w:val="3F08A384"/>
    <w:lvl w:ilvl="0" w:tplc="DF58E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4"/>
  </w:num>
  <w:num w:numId="5">
    <w:abstractNumId w:val="17"/>
  </w:num>
  <w:num w:numId="6">
    <w:abstractNumId w:val="11"/>
  </w:num>
  <w:num w:numId="7">
    <w:abstractNumId w:val="10"/>
  </w:num>
  <w:num w:numId="8">
    <w:abstractNumId w:val="14"/>
  </w:num>
  <w:num w:numId="9">
    <w:abstractNumId w:val="21"/>
  </w:num>
  <w:num w:numId="10">
    <w:abstractNumId w:val="13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6"/>
  </w:num>
  <w:num w:numId="16">
    <w:abstractNumId w:val="3"/>
  </w:num>
  <w:num w:numId="17">
    <w:abstractNumId w:val="6"/>
  </w:num>
  <w:num w:numId="18">
    <w:abstractNumId w:val="8"/>
  </w:num>
  <w:num w:numId="19">
    <w:abstractNumId w:val="7"/>
  </w:num>
  <w:num w:numId="20">
    <w:abstractNumId w:val="5"/>
  </w:num>
  <w:num w:numId="21">
    <w:abstractNumId w:val="19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5D"/>
    <w:rsid w:val="000066AC"/>
    <w:rsid w:val="00022BD0"/>
    <w:rsid w:val="00023D71"/>
    <w:rsid w:val="00025BD0"/>
    <w:rsid w:val="00040D35"/>
    <w:rsid w:val="0004596F"/>
    <w:rsid w:val="00057221"/>
    <w:rsid w:val="00064CAB"/>
    <w:rsid w:val="00087C4B"/>
    <w:rsid w:val="00090117"/>
    <w:rsid w:val="000A18FE"/>
    <w:rsid w:val="000C5923"/>
    <w:rsid w:val="00101B80"/>
    <w:rsid w:val="00107280"/>
    <w:rsid w:val="001335E3"/>
    <w:rsid w:val="001372D3"/>
    <w:rsid w:val="00157619"/>
    <w:rsid w:val="00157DF5"/>
    <w:rsid w:val="0016408A"/>
    <w:rsid w:val="00167C61"/>
    <w:rsid w:val="001C5433"/>
    <w:rsid w:val="001F2D73"/>
    <w:rsid w:val="002053BF"/>
    <w:rsid w:val="002A001C"/>
    <w:rsid w:val="002C35BF"/>
    <w:rsid w:val="002D3565"/>
    <w:rsid w:val="002E1CFC"/>
    <w:rsid w:val="002E593F"/>
    <w:rsid w:val="002F10C9"/>
    <w:rsid w:val="002F7397"/>
    <w:rsid w:val="00351097"/>
    <w:rsid w:val="003632A9"/>
    <w:rsid w:val="00390628"/>
    <w:rsid w:val="0039088F"/>
    <w:rsid w:val="00392428"/>
    <w:rsid w:val="003D10FE"/>
    <w:rsid w:val="003D1D39"/>
    <w:rsid w:val="003E5477"/>
    <w:rsid w:val="0041231D"/>
    <w:rsid w:val="004205C8"/>
    <w:rsid w:val="00445430"/>
    <w:rsid w:val="00457767"/>
    <w:rsid w:val="004663D7"/>
    <w:rsid w:val="00481CED"/>
    <w:rsid w:val="004B77DA"/>
    <w:rsid w:val="004C01E8"/>
    <w:rsid w:val="004D6E86"/>
    <w:rsid w:val="004D79A5"/>
    <w:rsid w:val="004F0D37"/>
    <w:rsid w:val="004F371B"/>
    <w:rsid w:val="005202C3"/>
    <w:rsid w:val="00536C0D"/>
    <w:rsid w:val="00596632"/>
    <w:rsid w:val="005A32F2"/>
    <w:rsid w:val="005C1CBE"/>
    <w:rsid w:val="0061734F"/>
    <w:rsid w:val="00632F26"/>
    <w:rsid w:val="00633966"/>
    <w:rsid w:val="00690330"/>
    <w:rsid w:val="00690EE3"/>
    <w:rsid w:val="006B2DD2"/>
    <w:rsid w:val="006E1764"/>
    <w:rsid w:val="00706C80"/>
    <w:rsid w:val="00722262"/>
    <w:rsid w:val="007561C4"/>
    <w:rsid w:val="007612D7"/>
    <w:rsid w:val="00765360"/>
    <w:rsid w:val="00765C1B"/>
    <w:rsid w:val="00774434"/>
    <w:rsid w:val="0078456D"/>
    <w:rsid w:val="00785359"/>
    <w:rsid w:val="00796786"/>
    <w:rsid w:val="007B0D93"/>
    <w:rsid w:val="007B7D0B"/>
    <w:rsid w:val="007C7143"/>
    <w:rsid w:val="007E0AD6"/>
    <w:rsid w:val="00831A62"/>
    <w:rsid w:val="00832AEA"/>
    <w:rsid w:val="00873997"/>
    <w:rsid w:val="00882C21"/>
    <w:rsid w:val="0089404F"/>
    <w:rsid w:val="008A3DB5"/>
    <w:rsid w:val="00916432"/>
    <w:rsid w:val="009477B3"/>
    <w:rsid w:val="0095439C"/>
    <w:rsid w:val="00981E39"/>
    <w:rsid w:val="009C4DFE"/>
    <w:rsid w:val="009D2E52"/>
    <w:rsid w:val="009D613F"/>
    <w:rsid w:val="009E5CE8"/>
    <w:rsid w:val="009F4495"/>
    <w:rsid w:val="00A06592"/>
    <w:rsid w:val="00A06921"/>
    <w:rsid w:val="00A1580F"/>
    <w:rsid w:val="00A3155E"/>
    <w:rsid w:val="00AC529A"/>
    <w:rsid w:val="00AD7CDF"/>
    <w:rsid w:val="00B135C2"/>
    <w:rsid w:val="00B40F18"/>
    <w:rsid w:val="00B4795D"/>
    <w:rsid w:val="00BA0F93"/>
    <w:rsid w:val="00BB01B0"/>
    <w:rsid w:val="00BD4673"/>
    <w:rsid w:val="00C13F2D"/>
    <w:rsid w:val="00C23561"/>
    <w:rsid w:val="00C23598"/>
    <w:rsid w:val="00C4057E"/>
    <w:rsid w:val="00C41EAC"/>
    <w:rsid w:val="00C6122D"/>
    <w:rsid w:val="00C67438"/>
    <w:rsid w:val="00C76BF5"/>
    <w:rsid w:val="00C80C8B"/>
    <w:rsid w:val="00CB1CFF"/>
    <w:rsid w:val="00CD1888"/>
    <w:rsid w:val="00CD54A9"/>
    <w:rsid w:val="00CD7BCE"/>
    <w:rsid w:val="00CE710F"/>
    <w:rsid w:val="00D21C96"/>
    <w:rsid w:val="00D2778A"/>
    <w:rsid w:val="00D5064E"/>
    <w:rsid w:val="00D678AB"/>
    <w:rsid w:val="00DC6697"/>
    <w:rsid w:val="00E16FC4"/>
    <w:rsid w:val="00E209A8"/>
    <w:rsid w:val="00E31B35"/>
    <w:rsid w:val="00E40EAE"/>
    <w:rsid w:val="00E529B7"/>
    <w:rsid w:val="00E835E8"/>
    <w:rsid w:val="00E92C6B"/>
    <w:rsid w:val="00EE509B"/>
    <w:rsid w:val="00EF2FC8"/>
    <w:rsid w:val="00F010F0"/>
    <w:rsid w:val="00F13E18"/>
    <w:rsid w:val="00F72373"/>
    <w:rsid w:val="00F8230C"/>
    <w:rsid w:val="00F83BFE"/>
    <w:rsid w:val="00F97C71"/>
    <w:rsid w:val="00FB4B95"/>
    <w:rsid w:val="00FC4B06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BB8A"/>
  <w15:docId w15:val="{8C7A869B-791E-4999-B136-50F972BF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cs-CZ" w:eastAsia="cs-CZ" w:bidi="ar-SA"/>
      </w:rPr>
    </w:rPrDefault>
    <w:pPrDefault>
      <w:pPr>
        <w:spacing w:after="120" w:line="33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7B7D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D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D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D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D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D0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azené,Nad,List Paragraph,Odstavec cíl se seznamem,Odstavec se seznamem5,Odstavec_muj,Odrážky,Conclusion de partie,Odstavec se seznamem2,Fiche List Paragraph,Odstavec1,Dot pt,List Paragraph Char Char Char,Indicator Text,LISTA,3"/>
    <w:basedOn w:val="Normln"/>
    <w:link w:val="OdstavecseseznamemChar"/>
    <w:uiPriority w:val="34"/>
    <w:qFormat/>
    <w:rsid w:val="007653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117"/>
  </w:style>
  <w:style w:type="paragraph" w:styleId="Zpat">
    <w:name w:val="footer"/>
    <w:basedOn w:val="Normln"/>
    <w:link w:val="ZpatChar"/>
    <w:uiPriority w:val="99"/>
    <w:unhideWhenUsed/>
    <w:rsid w:val="0009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117"/>
  </w:style>
  <w:style w:type="table" w:styleId="Mkatabulky">
    <w:name w:val="Table Grid"/>
    <w:basedOn w:val="Normlntabulka"/>
    <w:uiPriority w:val="39"/>
    <w:rsid w:val="009D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azka1">
    <w:name w:val="Odrazka 1"/>
    <w:basedOn w:val="Normln"/>
    <w:qFormat/>
    <w:rsid w:val="003E5477"/>
    <w:pPr>
      <w:numPr>
        <w:numId w:val="11"/>
      </w:numPr>
      <w:spacing w:before="60" w:after="60" w:line="276" w:lineRule="auto"/>
    </w:pPr>
    <w:rPr>
      <w:rFonts w:ascii="Calibri" w:eastAsia="Times New Roman" w:hAnsi="Calibri" w:cs="Times New Roman"/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3E5477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Standardnpsmoodstavce"/>
    <w:link w:val="Odrazka2"/>
    <w:rsid w:val="003E5477"/>
    <w:rPr>
      <w:rFonts w:ascii="Calibri" w:eastAsia="Times New Roman" w:hAnsi="Calibri" w:cs="Times New Roman"/>
      <w:sz w:val="22"/>
      <w:szCs w:val="24"/>
    </w:rPr>
  </w:style>
  <w:style w:type="paragraph" w:customStyle="1" w:styleId="Odrazka3">
    <w:name w:val="Odrazka 3"/>
    <w:basedOn w:val="Odrazka2"/>
    <w:rsid w:val="003E5477"/>
    <w:pPr>
      <w:numPr>
        <w:ilvl w:val="2"/>
      </w:numPr>
      <w:tabs>
        <w:tab w:val="clear" w:pos="1304"/>
        <w:tab w:val="num" w:pos="360"/>
      </w:tabs>
      <w:ind w:left="1191" w:hanging="397"/>
    </w:pPr>
  </w:style>
  <w:style w:type="character" w:customStyle="1" w:styleId="OdstavecseseznamemChar">
    <w:name w:val="Odstavec se seznamem Char"/>
    <w:aliases w:val="Odsazené Char,Nad Char,List Paragraph Char,Odstavec cíl se seznamem Char,Odstavec se seznamem5 Char,Odstavec_muj Char,Odrážky Char,Conclusion de partie Char,Odstavec se seznamem2 Char,Fiche List Paragraph Char,Odstavec1 Char"/>
    <w:basedOn w:val="Standardnpsmoodstavce"/>
    <w:link w:val="Odstavecseseznamem"/>
    <w:uiPriority w:val="34"/>
    <w:locked/>
    <w:rsid w:val="003E5477"/>
  </w:style>
  <w:style w:type="paragraph" w:customStyle="1" w:styleId="Textodstavce">
    <w:name w:val="Text odstavce"/>
    <w:basedOn w:val="Normln"/>
    <w:rsid w:val="00CD54A9"/>
    <w:pPr>
      <w:numPr>
        <w:ilvl w:val="6"/>
        <w:numId w:val="20"/>
      </w:numPr>
      <w:tabs>
        <w:tab w:val="left" w:pos="851"/>
      </w:tabs>
      <w:suppressAutoHyphens/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ŘLP ČR, s.p., Navigační 787, Jeneč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knoblochova</dc:creator>
  <cp:lastModifiedBy>MK</cp:lastModifiedBy>
  <cp:revision>3</cp:revision>
  <dcterms:created xsi:type="dcterms:W3CDTF">2020-05-22T06:55:00Z</dcterms:created>
  <dcterms:modified xsi:type="dcterms:W3CDTF">2020-05-22T06:56:00Z</dcterms:modified>
</cp:coreProperties>
</file>