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726BBC">
        <w:rPr>
          <w:rFonts w:ascii="Arial" w:hAnsi="Arial" w:cs="Arial"/>
          <w:b/>
          <w:sz w:val="22"/>
          <w:szCs w:val="22"/>
        </w:rPr>
        <w:t>500</w:t>
      </w:r>
      <w:r w:rsidRPr="00386410">
        <w:rPr>
          <w:rFonts w:ascii="Arial" w:hAnsi="Arial" w:cs="Arial"/>
          <w:b/>
          <w:sz w:val="22"/>
          <w:szCs w:val="22"/>
        </w:rPr>
        <w:t>/20</w:t>
      </w:r>
      <w:r w:rsidR="007A6EC7">
        <w:rPr>
          <w:rFonts w:ascii="Arial" w:hAnsi="Arial" w:cs="Arial"/>
          <w:b/>
          <w:sz w:val="22"/>
          <w:szCs w:val="22"/>
        </w:rPr>
        <w:t>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roofErr w:type="spellStart"/>
      <w:r w:rsidRPr="00386410">
        <w:rPr>
          <w:rFonts w:ascii="Arial" w:hAnsi="Arial" w:cs="Arial"/>
          <w:b/>
          <w:sz w:val="22"/>
          <w:szCs w:val="22"/>
        </w:rPr>
        <w:t>xx</w:t>
      </w:r>
      <w:proofErr w:type="spellEnd"/>
      <w:r w:rsidRPr="00386410">
        <w:rPr>
          <w:rFonts w:ascii="Arial" w:hAnsi="Arial" w:cs="Arial"/>
          <w:b/>
          <w:sz w:val="22"/>
          <w:szCs w:val="22"/>
        </w:rPr>
        <w:t>/20</w:t>
      </w:r>
      <w:r w:rsidR="007A6EC7">
        <w:rPr>
          <w:rFonts w:ascii="Arial" w:hAnsi="Arial" w:cs="Arial"/>
          <w:b/>
          <w:sz w:val="22"/>
          <w:szCs w:val="22"/>
        </w:rPr>
        <w:t>20</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AA4FB0">
        <w:rPr>
          <w:rFonts w:ascii="Arial" w:hAnsi="Arial" w:cs="Arial"/>
          <w:b/>
          <w:sz w:val="26"/>
          <w:szCs w:val="26"/>
        </w:rPr>
        <w:t xml:space="preserve">MVE EK – </w:t>
      </w:r>
      <w:proofErr w:type="spellStart"/>
      <w:r w:rsidR="00AA4FB0">
        <w:rPr>
          <w:rFonts w:ascii="Arial" w:hAnsi="Arial" w:cs="Arial"/>
          <w:b/>
          <w:sz w:val="26"/>
          <w:szCs w:val="26"/>
        </w:rPr>
        <w:t>vlnovcové</w:t>
      </w:r>
      <w:proofErr w:type="spellEnd"/>
      <w:r w:rsidR="00AA4FB0">
        <w:rPr>
          <w:rFonts w:ascii="Arial" w:hAnsi="Arial" w:cs="Arial"/>
          <w:b/>
          <w:sz w:val="26"/>
          <w:szCs w:val="26"/>
        </w:rPr>
        <w:t xml:space="preserve"> kompenzátory </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E54143"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AA4FB0">
        <w:rPr>
          <w:rFonts w:ascii="Arial" w:hAnsi="Arial" w:cs="Arial"/>
          <w:b/>
          <w:sz w:val="22"/>
          <w:szCs w:val="22"/>
        </w:rPr>
        <w:t>TEBA Montáže s.r.o.</w:t>
      </w:r>
    </w:p>
    <w:p w:rsidR="003755DC" w:rsidRPr="00386410" w:rsidRDefault="00AA4FB0" w:rsidP="003755DC">
      <w:pPr>
        <w:tabs>
          <w:tab w:val="left" w:pos="3960"/>
        </w:tabs>
        <w:jc w:val="both"/>
        <w:rPr>
          <w:rFonts w:ascii="Arial" w:hAnsi="Arial" w:cs="Arial"/>
          <w:sz w:val="22"/>
          <w:szCs w:val="22"/>
        </w:rPr>
      </w:pPr>
      <w:r>
        <w:rPr>
          <w:rFonts w:ascii="Arial" w:hAnsi="Arial" w:cs="Arial"/>
          <w:sz w:val="22"/>
          <w:szCs w:val="22"/>
        </w:rPr>
        <w:tab/>
        <w:t>Javorová 1814, 432 01 Kadaň</w:t>
      </w:r>
    </w:p>
    <w:p w:rsidR="003755DC" w:rsidRPr="00AA4FB0"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A4FB0">
        <w:rPr>
          <w:rFonts w:ascii="Arial" w:hAnsi="Arial" w:cs="Arial"/>
          <w:sz w:val="22"/>
          <w:szCs w:val="22"/>
        </w:rPr>
        <w:t>02475600</w:t>
      </w:r>
    </w:p>
    <w:p w:rsidR="003755DC" w:rsidRPr="00AA4FB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AA4FB0">
        <w:rPr>
          <w:rFonts w:ascii="Arial" w:hAnsi="Arial" w:cs="Arial"/>
          <w:sz w:val="22"/>
          <w:szCs w:val="22"/>
        </w:rPr>
        <w:t>CZ02475600</w:t>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AA4FB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AA4FB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7F79D6" w:rsidRDefault="003755DC" w:rsidP="007F79D6">
      <w:pPr>
        <w:tabs>
          <w:tab w:val="left" w:pos="3969"/>
        </w:tabs>
        <w:jc w:val="both"/>
        <w:rPr>
          <w:rFonts w:ascii="Arial" w:hAnsi="Arial" w:cs="Arial"/>
          <w:sz w:val="22"/>
          <w:szCs w:val="22"/>
        </w:rPr>
      </w:pPr>
      <w:r w:rsidRPr="00386410">
        <w:rPr>
          <w:rFonts w:ascii="Arial" w:hAnsi="Arial" w:cs="Arial"/>
          <w:sz w:val="22"/>
          <w:szCs w:val="22"/>
        </w:rPr>
        <w:tab/>
      </w:r>
    </w:p>
    <w:p w:rsidR="00E54143" w:rsidRDefault="007F79D6" w:rsidP="003755DC">
      <w:pPr>
        <w:tabs>
          <w:tab w:val="left" w:pos="3960"/>
        </w:tabs>
        <w:jc w:val="both"/>
        <w:rPr>
          <w:rFonts w:ascii="Arial" w:hAnsi="Arial" w:cs="Arial"/>
          <w:sz w:val="22"/>
          <w:szCs w:val="22"/>
        </w:rPr>
      </w:pPr>
      <w:r>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7F79D6">
        <w:rPr>
          <w:rFonts w:ascii="Arial" w:hAnsi="Arial" w:cs="Arial"/>
          <w:b/>
          <w:sz w:val="22"/>
          <w:szCs w:val="22"/>
        </w:rPr>
        <w:tab/>
      </w:r>
      <w:r w:rsidRPr="00386410">
        <w:rPr>
          <w:rFonts w:ascii="Arial" w:hAnsi="Arial" w:cs="Arial"/>
          <w:sz w:val="22"/>
          <w:szCs w:val="22"/>
        </w:rPr>
        <w:tab/>
      </w:r>
    </w:p>
    <w:p w:rsidR="003755DC" w:rsidRPr="007F79D6"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7F79D6">
        <w:rPr>
          <w:rFonts w:ascii="Arial" w:hAnsi="Arial" w:cs="Arial"/>
          <w:sz w:val="22"/>
          <w:szCs w:val="22"/>
        </w:rPr>
        <w:t xml:space="preserve"> u Krajského soudu v Ústí nad Labem</w:t>
      </w:r>
      <w:r w:rsidR="003755DC" w:rsidRPr="00386410">
        <w:rPr>
          <w:rFonts w:ascii="Arial" w:hAnsi="Arial" w:cs="Arial"/>
          <w:sz w:val="22"/>
          <w:szCs w:val="22"/>
        </w:rPr>
        <w:t>, v</w:t>
      </w:r>
      <w:r w:rsidR="007F79D6">
        <w:rPr>
          <w:rFonts w:ascii="Arial" w:hAnsi="Arial" w:cs="Arial"/>
          <w:sz w:val="22"/>
          <w:szCs w:val="22"/>
        </w:rPr>
        <w:t> </w:t>
      </w:r>
      <w:r w:rsidR="003755DC" w:rsidRPr="00386410">
        <w:rPr>
          <w:rFonts w:ascii="Arial" w:hAnsi="Arial" w:cs="Arial"/>
          <w:sz w:val="22"/>
          <w:szCs w:val="22"/>
        </w:rPr>
        <w:t>oddílu</w:t>
      </w:r>
      <w:r w:rsidR="007F79D6">
        <w:rPr>
          <w:rFonts w:ascii="Arial" w:hAnsi="Arial" w:cs="Arial"/>
          <w:sz w:val="22"/>
          <w:szCs w:val="22"/>
        </w:rPr>
        <w:t xml:space="preserve"> C</w:t>
      </w:r>
      <w:r w:rsidR="003755DC" w:rsidRPr="00386410">
        <w:rPr>
          <w:rFonts w:ascii="Arial" w:hAnsi="Arial" w:cs="Arial"/>
          <w:sz w:val="22"/>
          <w:szCs w:val="22"/>
        </w:rPr>
        <w:t>, vložce č.</w:t>
      </w:r>
      <w:r w:rsidR="007F79D6">
        <w:rPr>
          <w:rFonts w:ascii="Arial" w:hAnsi="Arial" w:cs="Arial"/>
          <w:sz w:val="22"/>
          <w:szCs w:val="22"/>
        </w:rPr>
        <w:t>: 33 659.</w:t>
      </w:r>
      <w:r w:rsidR="003755DC" w:rsidRPr="00386410">
        <w:rPr>
          <w:rFonts w:ascii="Arial" w:hAnsi="Arial" w:cs="Arial"/>
          <w:sz w:val="22"/>
          <w:szCs w:val="22"/>
        </w:rPr>
        <w:t xml:space="preserve"> </w:t>
      </w:r>
    </w:p>
    <w:p w:rsidR="003755DC" w:rsidRPr="00E623BD" w:rsidRDefault="003755DC" w:rsidP="003755DC">
      <w:pPr>
        <w:jc w:val="both"/>
        <w:rPr>
          <w:rFonts w:ascii="Arial" w:hAnsi="Arial" w:cs="Arial"/>
          <w:i/>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381AFB" w:rsidRPr="00381AFB" w:rsidRDefault="002F6A7D" w:rsidP="00381AFB">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00661EDA" w:rsidRPr="005338F0">
        <w:rPr>
          <w:rFonts w:cs="Arial"/>
          <w:sz w:val="22"/>
          <w:szCs w:val="22"/>
        </w:rPr>
        <w:t xml:space="preserve"> se zavazuje provést uvedené dílo</w:t>
      </w:r>
      <w:r w:rsidR="007F79D6">
        <w:rPr>
          <w:rFonts w:cs="Arial"/>
          <w:sz w:val="22"/>
          <w:szCs w:val="22"/>
        </w:rPr>
        <w:t xml:space="preserve"> „MVE EK – vlnovkové kompenzátory“</w:t>
      </w:r>
      <w:r w:rsidR="00661EDA" w:rsidRPr="005338F0">
        <w:rPr>
          <w:rFonts w:cs="Arial"/>
          <w:sz w:val="22"/>
          <w:szCs w:val="22"/>
        </w:rPr>
        <w:t xml:space="preserve"> v rozsahu Výzvy k podání nabídky do </w:t>
      </w:r>
      <w:r w:rsidR="007F79D6">
        <w:rPr>
          <w:rFonts w:cs="Arial"/>
          <w:sz w:val="22"/>
          <w:szCs w:val="22"/>
        </w:rPr>
        <w:t>poptávkového</w:t>
      </w:r>
      <w:r w:rsidR="00661EDA" w:rsidRPr="005338F0">
        <w:rPr>
          <w:rFonts w:cs="Arial"/>
          <w:sz w:val="22"/>
          <w:szCs w:val="22"/>
        </w:rPr>
        <w:t xml:space="preserve"> řízení</w:t>
      </w:r>
      <w:r w:rsidR="00C16025">
        <w:rPr>
          <w:rFonts w:cs="Arial"/>
          <w:sz w:val="22"/>
          <w:szCs w:val="22"/>
        </w:rPr>
        <w:t xml:space="preserve"> </w:t>
      </w:r>
      <w:proofErr w:type="gramStart"/>
      <w:r w:rsidR="00C16025">
        <w:rPr>
          <w:rFonts w:cs="Arial"/>
          <w:sz w:val="22"/>
          <w:szCs w:val="22"/>
        </w:rPr>
        <w:t>č.j.</w:t>
      </w:r>
      <w:proofErr w:type="gramEnd"/>
      <w:r w:rsidR="007F79D6">
        <w:rPr>
          <w:rFonts w:cs="Arial"/>
          <w:sz w:val="22"/>
          <w:szCs w:val="22"/>
        </w:rPr>
        <w:t>: POH/16918/2020</w:t>
      </w:r>
      <w:r w:rsidR="00661EDA" w:rsidRPr="005338F0">
        <w:rPr>
          <w:rFonts w:cs="Arial"/>
          <w:sz w:val="22"/>
          <w:szCs w:val="22"/>
        </w:rPr>
        <w:t xml:space="preserve"> vypsaného objednatelem a přijaté nabídky </w:t>
      </w:r>
      <w:r w:rsidR="00F25697">
        <w:rPr>
          <w:rFonts w:cs="Arial"/>
          <w:sz w:val="22"/>
          <w:szCs w:val="22"/>
        </w:rPr>
        <w:t>zhotovitele</w:t>
      </w:r>
      <w:r w:rsidR="00661EDA" w:rsidRPr="005338F0">
        <w:rPr>
          <w:rFonts w:cs="Arial"/>
          <w:sz w:val="22"/>
          <w:szCs w:val="22"/>
        </w:rPr>
        <w:t xml:space="preserve"> k výběrovému řízení</w:t>
      </w:r>
      <w:r w:rsidR="00C16025">
        <w:rPr>
          <w:rFonts w:cs="Arial"/>
          <w:sz w:val="22"/>
          <w:szCs w:val="22"/>
        </w:rPr>
        <w:t xml:space="preserve"> ze dne</w:t>
      </w:r>
      <w:r w:rsidR="00F6029B">
        <w:rPr>
          <w:rFonts w:cs="Arial"/>
          <w:sz w:val="22"/>
          <w:szCs w:val="22"/>
        </w:rPr>
        <w:t xml:space="preserve"> </w:t>
      </w:r>
      <w:proofErr w:type="gramStart"/>
      <w:r w:rsidR="00F6029B">
        <w:rPr>
          <w:rFonts w:cs="Arial"/>
          <w:sz w:val="22"/>
          <w:szCs w:val="22"/>
        </w:rPr>
        <w:t>22.04.2020</w:t>
      </w:r>
      <w:proofErr w:type="gramEnd"/>
      <w:r w:rsidR="00F6029B">
        <w:rPr>
          <w:rFonts w:cs="Arial"/>
          <w:sz w:val="22"/>
          <w:szCs w:val="22"/>
        </w:rPr>
        <w:t>, která je nedílnou součástí smlouvy jako</w:t>
      </w:r>
      <w:r w:rsidR="00381AFB">
        <w:rPr>
          <w:rFonts w:cs="Arial"/>
          <w:sz w:val="22"/>
          <w:szCs w:val="22"/>
        </w:rPr>
        <w:t xml:space="preserve"> příloha č. 1.</w:t>
      </w:r>
      <w:r w:rsidR="00F6029B">
        <w:rPr>
          <w:rFonts w:cs="Arial"/>
          <w:sz w:val="22"/>
          <w:szCs w:val="22"/>
        </w:rPr>
        <w:t xml:space="preserve"> </w:t>
      </w:r>
      <w:r w:rsidR="00D42100">
        <w:rPr>
          <w:rFonts w:cs="Arial"/>
          <w:sz w:val="22"/>
          <w:szCs w:val="22"/>
        </w:rPr>
        <w:t xml:space="preserve"> </w:t>
      </w:r>
    </w:p>
    <w:p w:rsidR="00883DBA" w:rsidRDefault="00883DBA" w:rsidP="00381AFB">
      <w:pPr>
        <w:pStyle w:val="Zkladntext"/>
        <w:widowControl/>
        <w:spacing w:after="240"/>
        <w:ind w:left="426"/>
        <w:jc w:val="both"/>
        <w:rPr>
          <w:rFonts w:cs="Arial"/>
          <w:i/>
          <w:color w:val="auto"/>
          <w:sz w:val="22"/>
          <w:szCs w:val="22"/>
          <w:u w:val="single"/>
        </w:rPr>
      </w:pPr>
      <w:r w:rsidRPr="004D610C">
        <w:rPr>
          <w:rFonts w:cs="Arial"/>
          <w:i/>
          <w:color w:val="auto"/>
          <w:sz w:val="22"/>
          <w:szCs w:val="22"/>
          <w:u w:val="single"/>
        </w:rPr>
        <w:t>Stručný popis stavby:</w:t>
      </w:r>
    </w:p>
    <w:p w:rsidR="00883DBA" w:rsidRDefault="00883DBA" w:rsidP="00911726">
      <w:pPr>
        <w:ind w:left="426" w:right="2"/>
        <w:jc w:val="both"/>
        <w:rPr>
          <w:rFonts w:ascii="Arial" w:hAnsi="Arial" w:cs="Arial"/>
          <w:sz w:val="22"/>
          <w:szCs w:val="22"/>
        </w:rPr>
      </w:pPr>
      <w:r w:rsidRPr="00D807D4">
        <w:rPr>
          <w:rFonts w:ascii="Arial" w:hAnsi="Arial" w:cs="Arial"/>
          <w:sz w:val="22"/>
          <w:szCs w:val="22"/>
        </w:rPr>
        <w:t xml:space="preserve">Jedná se o </w:t>
      </w:r>
      <w:r w:rsidR="00381AFB">
        <w:rPr>
          <w:rFonts w:ascii="Arial" w:hAnsi="Arial" w:cs="Arial"/>
          <w:sz w:val="22"/>
          <w:szCs w:val="22"/>
        </w:rPr>
        <w:t xml:space="preserve">opravu dvou kusů </w:t>
      </w:r>
      <w:r w:rsidR="00980D70" w:rsidRPr="00980D70">
        <w:rPr>
          <w:rFonts w:ascii="Arial" w:hAnsi="Arial" w:cs="Arial"/>
          <w:sz w:val="22"/>
          <w:szCs w:val="22"/>
        </w:rPr>
        <w:t xml:space="preserve">nerezových </w:t>
      </w:r>
      <w:proofErr w:type="spellStart"/>
      <w:r w:rsidR="00980D70" w:rsidRPr="00980D70">
        <w:rPr>
          <w:rFonts w:ascii="Arial" w:hAnsi="Arial" w:cs="Arial"/>
          <w:sz w:val="22"/>
          <w:szCs w:val="22"/>
        </w:rPr>
        <w:t>vlnovcových</w:t>
      </w:r>
      <w:proofErr w:type="spellEnd"/>
      <w:r w:rsidR="00980D70" w:rsidRPr="00980D70">
        <w:rPr>
          <w:rFonts w:ascii="Arial" w:hAnsi="Arial" w:cs="Arial"/>
          <w:sz w:val="22"/>
          <w:szCs w:val="22"/>
        </w:rPr>
        <w:t xml:space="preserve"> kompenzátorů DN 800 PN 10, AYVAZ, </w:t>
      </w:r>
      <w:proofErr w:type="spellStart"/>
      <w:r w:rsidR="00980D70" w:rsidRPr="00980D70">
        <w:rPr>
          <w:rFonts w:ascii="Arial" w:hAnsi="Arial" w:cs="Arial"/>
          <w:sz w:val="22"/>
          <w:szCs w:val="22"/>
        </w:rPr>
        <w:t>cat</w:t>
      </w:r>
      <w:proofErr w:type="spellEnd"/>
      <w:r w:rsidR="00383D86">
        <w:rPr>
          <w:rFonts w:ascii="Arial" w:hAnsi="Arial" w:cs="Arial"/>
          <w:sz w:val="22"/>
          <w:szCs w:val="22"/>
        </w:rPr>
        <w:t>.</w:t>
      </w:r>
      <w:r w:rsidR="00980D70" w:rsidRPr="00980D70">
        <w:rPr>
          <w:rFonts w:ascii="Arial" w:hAnsi="Arial" w:cs="Arial"/>
          <w:sz w:val="22"/>
          <w:szCs w:val="22"/>
        </w:rPr>
        <w:t xml:space="preserve"> no TK-466-126b</w:t>
      </w:r>
      <w:r w:rsidR="00980D70">
        <w:rPr>
          <w:rFonts w:ascii="Arial" w:hAnsi="Arial" w:cs="Arial"/>
          <w:sz w:val="22"/>
          <w:szCs w:val="22"/>
        </w:rPr>
        <w:t xml:space="preserve"> v tomto rozsahu:</w:t>
      </w:r>
    </w:p>
    <w:p w:rsidR="00980D70" w:rsidRDefault="00980D70" w:rsidP="00911726">
      <w:pPr>
        <w:ind w:left="426" w:right="2"/>
        <w:jc w:val="both"/>
        <w:rPr>
          <w:rFonts w:ascii="Arial" w:hAnsi="Arial" w:cs="Arial"/>
          <w:sz w:val="22"/>
          <w:szCs w:val="22"/>
        </w:rPr>
      </w:pP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demontáž vlnovkového kompenzátoru z pozice, přeprava kompenzátoru do prostor zhotovitele (pro demontáž kompenzátoru je nutná zdvihací technika – autojeřáb a částečná demontáž střechy (vlnité plechy) ocelového přístavku</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 xml:space="preserve">osazení zaslepovací příruby (vybavené uzávěry pro možnost vypouštění vody) DN 800 PN 10 na přírubový spoj přívodního potrubí (zaslepovací příruba je v držení </w:t>
      </w:r>
      <w:proofErr w:type="spellStart"/>
      <w:r w:rsidRPr="00980D70">
        <w:rPr>
          <w:rFonts w:ascii="Arial" w:hAnsi="Arial" w:cs="Arial"/>
          <w:sz w:val="22"/>
          <w:szCs w:val="22"/>
        </w:rPr>
        <w:t>POh</w:t>
      </w:r>
      <w:proofErr w:type="spellEnd"/>
      <w:r w:rsidRPr="00980D70">
        <w:rPr>
          <w:rFonts w:ascii="Arial" w:hAnsi="Arial" w:cs="Arial"/>
          <w:sz w:val="22"/>
          <w:szCs w:val="22"/>
        </w:rPr>
        <w:t xml:space="preserve"> a lze ji zapůjčit, v případě zapůjčení je nutné počítat s dopravou z VD Újezd, kde jsou příruby uskladněny)</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 xml:space="preserve">dodávka nových </w:t>
      </w:r>
      <w:proofErr w:type="spellStart"/>
      <w:r w:rsidRPr="00980D70">
        <w:rPr>
          <w:rFonts w:ascii="Arial" w:hAnsi="Arial" w:cs="Arial"/>
          <w:sz w:val="22"/>
          <w:szCs w:val="22"/>
        </w:rPr>
        <w:t>mezipřírubových</w:t>
      </w:r>
      <w:proofErr w:type="spellEnd"/>
      <w:r w:rsidRPr="00980D70">
        <w:rPr>
          <w:rFonts w:ascii="Arial" w:hAnsi="Arial" w:cs="Arial"/>
          <w:sz w:val="22"/>
          <w:szCs w:val="22"/>
        </w:rPr>
        <w:t xml:space="preserve"> těsnících prvků (DN 800), příp. výměna poškozeného spoj. </w:t>
      </w:r>
      <w:proofErr w:type="gramStart"/>
      <w:r w:rsidRPr="00980D70">
        <w:rPr>
          <w:rFonts w:ascii="Arial" w:hAnsi="Arial" w:cs="Arial"/>
          <w:sz w:val="22"/>
          <w:szCs w:val="22"/>
        </w:rPr>
        <w:t>mat</w:t>
      </w:r>
      <w:proofErr w:type="gramEnd"/>
      <w:r w:rsidRPr="00980D70">
        <w:rPr>
          <w:rFonts w:ascii="Arial" w:hAnsi="Arial" w:cs="Arial"/>
          <w:sz w:val="22"/>
          <w:szCs w:val="22"/>
        </w:rPr>
        <w:t>.</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očištění vlnovkového kompenzátoru, zmapování rozsahu poškození koutových svarů, zpracování nálezové zprávy.</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 xml:space="preserve">oprava vlnovkového kompenzátoru dle závěrů NZ, předpokládaný min. rozsah opravy – příprava povrchu,  převaření koutových svarů přírub </w:t>
      </w:r>
      <w:proofErr w:type="gramStart"/>
      <w:r w:rsidRPr="00980D70">
        <w:rPr>
          <w:rFonts w:ascii="Arial" w:hAnsi="Arial" w:cs="Arial"/>
          <w:sz w:val="22"/>
          <w:szCs w:val="22"/>
        </w:rPr>
        <w:t>ve</w:t>
      </w:r>
      <w:proofErr w:type="gramEnd"/>
      <w:r w:rsidRPr="00980D70">
        <w:rPr>
          <w:rFonts w:ascii="Arial" w:hAnsi="Arial" w:cs="Arial"/>
          <w:sz w:val="22"/>
          <w:szCs w:val="22"/>
        </w:rPr>
        <w:t xml:space="preserve"> 100% (při realizaci přípravy povrchu a svářečských prací je dle vyjádření výrobce nutné ochránit vnitřní i vnější nerezové plochy kompenzátoru proti mechanickému poškození a rozstřiku roztaveného kovu)   </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zhotovení VT a PT kontroly (případně UT)</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 xml:space="preserve">zhotovení nových protikorozních ochranných povlaků přírub s výslednou tloušťkou suchého povlaku 200µm. </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demontáž zaslepovací příruby DN 800 PN 10, (v případě zapůjčení po skončení prací odvoz na VD Újezd)</w:t>
      </w:r>
    </w:p>
    <w:p w:rsidR="00980D70" w:rsidRPr="00980D70" w:rsidRDefault="00980D70" w:rsidP="00980D70">
      <w:pPr>
        <w:numPr>
          <w:ilvl w:val="0"/>
          <w:numId w:val="48"/>
        </w:numPr>
        <w:overflowPunct/>
        <w:autoSpaceDE/>
        <w:autoSpaceDN/>
        <w:adjustRightInd/>
        <w:contextualSpacing/>
        <w:jc w:val="both"/>
        <w:textAlignment w:val="auto"/>
        <w:rPr>
          <w:rFonts w:ascii="Arial" w:hAnsi="Arial" w:cs="Arial"/>
          <w:sz w:val="22"/>
          <w:szCs w:val="22"/>
        </w:rPr>
      </w:pPr>
      <w:r w:rsidRPr="00980D70">
        <w:rPr>
          <w:rFonts w:ascii="Arial" w:hAnsi="Arial" w:cs="Arial"/>
          <w:sz w:val="22"/>
          <w:szCs w:val="22"/>
        </w:rPr>
        <w:t>zpětná montáž kompenzátoru na pozici, odzkoušení těsnosti a funkčnosti provozním tlakem</w:t>
      </w:r>
    </w:p>
    <w:p w:rsidR="00F72CE8" w:rsidRPr="00F72CE8" w:rsidRDefault="00F72CE8" w:rsidP="00F72CE8">
      <w:pPr>
        <w:ind w:left="1080"/>
        <w:jc w:val="both"/>
        <w:textAlignment w:val="auto"/>
        <w:rPr>
          <w:rFonts w:cs="Arial"/>
          <w:b/>
          <w:sz w:val="22"/>
          <w:szCs w:val="22"/>
        </w:rPr>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21538B" w:rsidRPr="0021538B" w:rsidRDefault="0021538B" w:rsidP="0021538B">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FE1CDE"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lastRenderedPageBreak/>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381AFB" w:rsidRPr="00381AFB">
        <w:rPr>
          <w:rFonts w:ascii="Arial" w:hAnsi="Arial" w:cs="Arial"/>
          <w:sz w:val="22"/>
          <w:szCs w:val="22"/>
        </w:rPr>
        <w:t>nabytím účinnosti SOD uveřejněním v registru smluv</w:t>
      </w:r>
      <w:r w:rsidR="00F328A6">
        <w:rPr>
          <w:rFonts w:ascii="Arial" w:hAnsi="Arial" w:cs="Arial"/>
          <w:sz w:val="22"/>
          <w:szCs w:val="22"/>
        </w:rPr>
        <w:t xml:space="preserve"> </w:t>
      </w:r>
    </w:p>
    <w:p w:rsidR="007A6EC7" w:rsidRPr="00756019" w:rsidRDefault="007A6EC7" w:rsidP="008B05B4">
      <w:pPr>
        <w:overflowPunct/>
        <w:autoSpaceDE/>
        <w:autoSpaceDN/>
        <w:adjustRightInd/>
        <w:ind w:left="5045" w:hanging="4619"/>
        <w:textAlignment w:val="auto"/>
        <w:rPr>
          <w:rFonts w:ascii="Arial" w:hAnsi="Arial" w:cs="Arial"/>
          <w:b/>
          <w:sz w:val="22"/>
          <w:szCs w:val="22"/>
        </w:rPr>
      </w:pP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81AFB">
        <w:rPr>
          <w:rFonts w:ascii="Arial" w:hAnsi="Arial" w:cs="Arial"/>
          <w:b/>
          <w:sz w:val="22"/>
          <w:szCs w:val="22"/>
        </w:rPr>
        <w:t xml:space="preserve">do </w:t>
      </w:r>
      <w:proofErr w:type="gramStart"/>
      <w:r w:rsidR="00381AFB">
        <w:rPr>
          <w:rFonts w:ascii="Arial" w:hAnsi="Arial" w:cs="Arial"/>
          <w:b/>
          <w:sz w:val="22"/>
          <w:szCs w:val="22"/>
        </w:rPr>
        <w:t>8</w:t>
      </w:r>
      <w:r w:rsidR="00F328A6">
        <w:rPr>
          <w:rFonts w:ascii="Arial" w:hAnsi="Arial" w:cs="Arial"/>
          <w:b/>
          <w:sz w:val="22"/>
          <w:szCs w:val="22"/>
        </w:rPr>
        <w:t>.</w:t>
      </w:r>
      <w:r w:rsidR="00381AFB">
        <w:rPr>
          <w:rFonts w:ascii="Arial" w:hAnsi="Arial" w:cs="Arial"/>
          <w:b/>
          <w:sz w:val="22"/>
          <w:szCs w:val="22"/>
        </w:rPr>
        <w:t>06</w:t>
      </w:r>
      <w:r w:rsidR="00F328A6">
        <w:rPr>
          <w:rFonts w:ascii="Arial" w:hAnsi="Arial" w:cs="Arial"/>
          <w:b/>
          <w:sz w:val="22"/>
          <w:szCs w:val="22"/>
        </w:rPr>
        <w:t>.20</w:t>
      </w:r>
      <w:r w:rsidR="007A6EC7">
        <w:rPr>
          <w:rFonts w:ascii="Arial" w:hAnsi="Arial" w:cs="Arial"/>
          <w:b/>
          <w:sz w:val="22"/>
          <w:szCs w:val="22"/>
        </w:rPr>
        <w:t>20</w:t>
      </w:r>
      <w:proofErr w:type="gramEnd"/>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81AFB">
        <w:rPr>
          <w:rFonts w:ascii="Arial" w:hAnsi="Arial" w:cs="Arial"/>
          <w:b/>
          <w:sz w:val="22"/>
          <w:szCs w:val="22"/>
        </w:rPr>
        <w:t>160 618,-</w:t>
      </w:r>
      <w:r w:rsidRPr="00D74A50">
        <w:rPr>
          <w:rFonts w:ascii="Arial" w:hAnsi="Arial" w:cs="Arial"/>
          <w:sz w:val="22"/>
          <w:szCs w:val="22"/>
        </w:rPr>
        <w:t xml:space="preserve"> </w:t>
      </w:r>
      <w:r w:rsidRPr="00381AFB">
        <w:rPr>
          <w:rFonts w:ascii="Arial" w:hAnsi="Arial" w:cs="Arial"/>
          <w:b/>
          <w:sz w:val="22"/>
          <w:szCs w:val="22"/>
        </w:rPr>
        <w:t>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lastRenderedPageBreak/>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E3FE2">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E3FE2">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7E3FE2">
        <w:t>05</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lastRenderedPageBreak/>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lastRenderedPageBreak/>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r w:rsidR="00670870" w:rsidRPr="00670870">
        <w:rPr>
          <w:rFonts w:ascii="Arial" w:hAnsi="Arial" w:cs="Arial"/>
          <w:color w:val="000000"/>
          <w:sz w:val="22"/>
          <w:szCs w:val="22"/>
        </w:rPr>
        <w:t xml:space="preserve"> </w:t>
      </w:r>
      <w:r w:rsidR="00670870">
        <w:rPr>
          <w:rFonts w:ascii="Helv" w:hAnsi="Helv" w:cs="Helv"/>
          <w:color w:val="000000"/>
        </w:rPr>
        <w:t xml:space="preserve">(viz </w:t>
      </w:r>
      <w:hyperlink r:id="rId12" w:history="1">
        <w:r w:rsidR="00670870">
          <w:rPr>
            <w:rFonts w:ascii="Helv" w:hAnsi="Helv" w:cs="Helv"/>
            <w:color w:val="0000FF"/>
            <w:u w:val="single"/>
          </w:rPr>
          <w:t>http://www.poh.cz/protikorupcni-a-compliance-program/d-1346/p1=1458</w:t>
        </w:r>
      </w:hyperlink>
      <w:r w:rsidR="00670870">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3F51B0" w:rsidRDefault="005D263E" w:rsidP="00176240">
      <w:pPr>
        <w:pStyle w:val="Zkladntext"/>
        <w:widowControl/>
        <w:numPr>
          <w:ilvl w:val="3"/>
          <w:numId w:val="22"/>
        </w:numPr>
        <w:spacing w:before="120" w:after="240"/>
        <w:ind w:left="426" w:hanging="426"/>
        <w:jc w:val="both"/>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C134A9">
          <w:rPr>
            <w:rFonts w:ascii="Helv" w:hAnsi="Helv" w:cs="Helv"/>
            <w:color w:val="0000FF"/>
            <w:sz w:val="20"/>
          </w:rPr>
          <w:t>http://www.poh.cz/informace-o-zpracovani-osobnich-udaju/d-1369/p1=1459</w:t>
        </w:r>
      </w:hyperlink>
    </w:p>
    <w:p w:rsidR="003F51B0" w:rsidRDefault="003F51B0" w:rsidP="003F51B0">
      <w:pPr>
        <w:pStyle w:val="Zkladntext"/>
        <w:widowControl/>
        <w:spacing w:before="120" w:after="240"/>
        <w:ind w:left="426"/>
        <w:jc w:val="center"/>
        <w:rPr>
          <w:rFonts w:cs="Arial"/>
          <w:b/>
          <w:sz w:val="22"/>
          <w:szCs w:val="22"/>
          <w:u w:val="single"/>
        </w:rPr>
      </w:pPr>
      <w:r w:rsidRPr="003F51B0">
        <w:rPr>
          <w:rFonts w:cs="Arial"/>
          <w:b/>
          <w:sz w:val="22"/>
          <w:szCs w:val="22"/>
          <w:u w:val="single"/>
        </w:rPr>
        <w:lastRenderedPageBreak/>
        <w:t>Čl. XI. OSTATNÍ USTANOVENÍ</w:t>
      </w:r>
    </w:p>
    <w:p w:rsidR="003F51B0" w:rsidRPr="003F51B0" w:rsidRDefault="003F51B0" w:rsidP="00176240">
      <w:pPr>
        <w:pStyle w:val="Odstavecseseznamem"/>
        <w:numPr>
          <w:ilvl w:val="0"/>
          <w:numId w:val="47"/>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176240" w:rsidRDefault="00576565" w:rsidP="00176240">
      <w:pPr>
        <w:pStyle w:val="Zkladntext"/>
        <w:widowControl/>
        <w:numPr>
          <w:ilvl w:val="0"/>
          <w:numId w:val="47"/>
        </w:numPr>
        <w:tabs>
          <w:tab w:val="left" w:pos="0"/>
        </w:tabs>
        <w:spacing w:before="120" w:after="240"/>
        <w:ind w:left="426" w:hanging="426"/>
        <w:jc w:val="both"/>
        <w:rPr>
          <w:rFonts w:cs="Arial"/>
          <w:sz w:val="22"/>
          <w:szCs w:val="22"/>
        </w:rPr>
      </w:pPr>
      <w:r>
        <w:rPr>
          <w:rFonts w:cs="Arial"/>
          <w:sz w:val="22"/>
          <w:szCs w:val="22"/>
        </w:rPr>
        <w:t xml:space="preserve">Zhotovitel provede dohodnutou činnost na své nebezpečí a </w:t>
      </w:r>
      <w:r w:rsidR="00E67B78">
        <w:rPr>
          <w:rFonts w:cs="Arial"/>
          <w:sz w:val="22"/>
          <w:szCs w:val="22"/>
        </w:rPr>
        <w:t>zavazuje se řídit podmínkami</w:t>
      </w:r>
      <w:r>
        <w:rPr>
          <w:rFonts w:cs="Arial"/>
          <w:sz w:val="22"/>
          <w:szCs w:val="22"/>
        </w:rPr>
        <w:t xml:space="preserve"> všech předpis</w:t>
      </w:r>
      <w:r w:rsidR="00E67B78">
        <w:rPr>
          <w:rFonts w:cs="Arial"/>
          <w:sz w:val="22"/>
          <w:szCs w:val="22"/>
        </w:rPr>
        <w:t>ů</w:t>
      </w:r>
      <w:r>
        <w:rPr>
          <w:rFonts w:cs="Arial"/>
          <w:sz w:val="22"/>
          <w:szCs w:val="22"/>
        </w:rPr>
        <w:t xml:space="preserve"> bezpečnosti a ochrany zdraví při práci (BOZP), požární ochrany (PO), zákoníku práce (vše v platném znění)</w:t>
      </w:r>
      <w:r w:rsidR="00176240">
        <w:rPr>
          <w:rFonts w:cs="Arial"/>
          <w:sz w:val="22"/>
          <w:szCs w:val="22"/>
        </w:rPr>
        <w:t xml:space="preserve"> a to jak obecně platnými, tak souvisejícími s prováděnou činností v prostorách objednatele. Je odpovědný za škody vzniklé v důsledku nedodržování těchto předpisů.</w:t>
      </w:r>
    </w:p>
    <w:p w:rsidR="003F51B0" w:rsidRPr="003F51B0" w:rsidRDefault="00176240" w:rsidP="00176240">
      <w:pPr>
        <w:pStyle w:val="Zkladntext"/>
        <w:widowControl/>
        <w:numPr>
          <w:ilvl w:val="0"/>
          <w:numId w:val="47"/>
        </w:numPr>
        <w:tabs>
          <w:tab w:val="left" w:pos="0"/>
        </w:tabs>
        <w:spacing w:before="120" w:after="240"/>
        <w:ind w:left="426" w:hanging="426"/>
        <w:jc w:val="both"/>
        <w:rPr>
          <w:rFonts w:cs="Arial"/>
          <w:sz w:val="22"/>
          <w:szCs w:val="22"/>
        </w:rPr>
      </w:pPr>
      <w:r>
        <w:rPr>
          <w:rFonts w:cs="Arial"/>
          <w:sz w:val="22"/>
          <w:szCs w:val="22"/>
        </w:rPr>
        <w:t xml:space="preserve">Zhotovitel při provádění dohodnuté činnosti </w:t>
      </w:r>
      <w:r w:rsidR="00AD4E21">
        <w:rPr>
          <w:rFonts w:cs="Arial"/>
          <w:sz w:val="22"/>
          <w:szCs w:val="22"/>
        </w:rPr>
        <w:t>se zavazuje</w:t>
      </w:r>
      <w:r>
        <w:rPr>
          <w:rFonts w:cs="Arial"/>
          <w:sz w:val="22"/>
          <w:szCs w:val="22"/>
        </w:rPr>
        <w:t xml:space="preserv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w:t>
      </w:r>
      <w:r w:rsidR="00AF677F">
        <w:rPr>
          <w:rFonts w:cs="Arial"/>
          <w:sz w:val="22"/>
          <w:szCs w:val="22"/>
        </w:rPr>
        <w:t xml:space="preserve"> Dojde-li přesto k úniku nebezpečných látek, </w:t>
      </w:r>
      <w:r w:rsidR="007E3FE2">
        <w:rPr>
          <w:rFonts w:cs="Arial"/>
          <w:sz w:val="22"/>
          <w:szCs w:val="22"/>
        </w:rPr>
        <w:t xml:space="preserve">je </w:t>
      </w:r>
      <w:r w:rsidR="00AF677F">
        <w:rPr>
          <w:rFonts w:cs="Arial"/>
          <w:sz w:val="22"/>
          <w:szCs w:val="22"/>
        </w:rPr>
        <w:t>zhotovitel povinen na vlastní náklady provádět opatření, aby nedoš</w:t>
      </w:r>
      <w:r w:rsidR="007E3FE2">
        <w:rPr>
          <w:rFonts w:cs="Arial"/>
          <w:sz w:val="22"/>
          <w:szCs w:val="22"/>
        </w:rPr>
        <w:t>l</w:t>
      </w:r>
      <w:r w:rsidR="00AF677F">
        <w:rPr>
          <w:rFonts w:cs="Arial"/>
          <w:sz w:val="22"/>
          <w:szCs w:val="22"/>
        </w:rPr>
        <w:t xml:space="preserve">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proofErr w:type="gramStart"/>
      <w:r w:rsidR="00AF677F">
        <w:rPr>
          <w:rFonts w:cs="Arial"/>
          <w:sz w:val="22"/>
          <w:szCs w:val="22"/>
        </w:rPr>
        <w:t>s.p</w:t>
      </w:r>
      <w:proofErr w:type="spellEnd"/>
      <w:r w:rsidR="00AF677F">
        <w:rPr>
          <w:rFonts w:cs="Arial"/>
          <w:sz w:val="22"/>
          <w:szCs w:val="22"/>
        </w:rPr>
        <w:t>.</w:t>
      </w:r>
      <w:proofErr w:type="gramEnd"/>
      <w:r w:rsidR="00AF677F">
        <w:rPr>
          <w:rFonts w:cs="Arial"/>
          <w:sz w:val="22"/>
          <w:szCs w:val="22"/>
        </w:rPr>
        <w:t>, na odboru VH-dispečinku, tel. 474 636 306.</w:t>
      </w: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3F51B0">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C606E3" w:rsidRPr="00C606E3">
        <w:rPr>
          <w:rFonts w:ascii="Helv" w:hAnsi="Helv" w:cs="Helv"/>
          <w:i/>
          <w:iCs/>
          <w:color w:val="000000"/>
          <w:sz w:val="20"/>
        </w:rPr>
        <w:t xml:space="preserve"> </w:t>
      </w:r>
      <w:r w:rsidR="00C606E3" w:rsidRPr="00C606E3">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 xml:space="preserve">Smlouva nabývá platnosti dnem jejího podpisu poslední ze smluvních stran a účinnosti zveřejněním v Registru smluv, pokud této účinnosti dle příslušných ustanovení smlouvy </w:t>
      </w:r>
      <w:r w:rsidRPr="0091481A">
        <w:rPr>
          <w:rFonts w:ascii="Arial" w:hAnsi="Arial" w:cs="Arial"/>
          <w:b/>
          <w:color w:val="000000"/>
          <w:sz w:val="22"/>
          <w:szCs w:val="22"/>
        </w:rPr>
        <w:lastRenderedPageBreak/>
        <w:t>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7A6EC7" w:rsidRDefault="007A6EC7"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pPr>
    </w:p>
    <w:p w:rsidR="00980D70" w:rsidRDefault="00980D70" w:rsidP="007A6EC7">
      <w:pPr>
        <w:jc w:val="both"/>
        <w:rPr>
          <w:rFonts w:ascii="Arial" w:hAnsi="Arial" w:cs="Arial"/>
          <w:sz w:val="22"/>
          <w:szCs w:val="22"/>
        </w:rPr>
        <w:sectPr w:rsidR="00980D70" w:rsidSect="00B051A1">
          <w:headerReference w:type="default" r:id="rId14"/>
          <w:pgSz w:w="11906" w:h="16838"/>
          <w:pgMar w:top="1134" w:right="1134" w:bottom="1134" w:left="1134" w:header="709" w:footer="709" w:gutter="0"/>
          <w:cols w:space="708"/>
        </w:sectPr>
      </w:pPr>
    </w:p>
    <w:p w:rsidR="002402C8" w:rsidRPr="00827E3E" w:rsidRDefault="002402C8" w:rsidP="002402C8">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2402C8" w:rsidRDefault="002402C8" w:rsidP="002402C8">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726BBC">
        <w:rPr>
          <w:rFonts w:ascii="Arial" w:hAnsi="Arial" w:cs="Arial"/>
          <w:b/>
          <w:kern w:val="1"/>
          <w:sz w:val="26"/>
          <w:szCs w:val="26"/>
          <w:lang w:eastAsia="ar-SA"/>
        </w:rPr>
        <w:t>500</w:t>
      </w:r>
      <w:r w:rsidRPr="00EB4277">
        <w:rPr>
          <w:rFonts w:ascii="Arial" w:hAnsi="Arial" w:cs="Arial"/>
          <w:b/>
          <w:kern w:val="1"/>
          <w:sz w:val="26"/>
          <w:szCs w:val="26"/>
          <w:lang w:eastAsia="ar-SA"/>
        </w:rPr>
        <w:t>/20</w:t>
      </w:r>
      <w:r>
        <w:rPr>
          <w:rFonts w:ascii="Arial" w:hAnsi="Arial" w:cs="Arial"/>
          <w:b/>
          <w:kern w:val="1"/>
          <w:sz w:val="26"/>
          <w:szCs w:val="26"/>
          <w:lang w:eastAsia="ar-SA"/>
        </w:rPr>
        <w:t>20</w:t>
      </w:r>
      <w:r w:rsidRPr="00EB4277">
        <w:rPr>
          <w:rFonts w:ascii="Arial" w:hAnsi="Arial" w:cs="Arial"/>
          <w:b/>
          <w:kern w:val="1"/>
          <w:sz w:val="26"/>
          <w:szCs w:val="26"/>
          <w:lang w:eastAsia="ar-SA"/>
        </w:rPr>
        <w:t xml:space="preserve">  – </w:t>
      </w:r>
      <w:r>
        <w:rPr>
          <w:rFonts w:ascii="Arial" w:hAnsi="Arial" w:cs="Arial"/>
          <w:b/>
          <w:kern w:val="1"/>
          <w:sz w:val="26"/>
          <w:szCs w:val="26"/>
          <w:lang w:eastAsia="ar-SA"/>
        </w:rPr>
        <w:t>nabídkový rozpočet</w:t>
      </w:r>
    </w:p>
    <w:p w:rsidR="002402C8" w:rsidRDefault="002402C8" w:rsidP="002402C8">
      <w:pPr>
        <w:widowControl w:val="0"/>
        <w:suppressAutoHyphens/>
        <w:overflowPunct/>
        <w:autoSpaceDE/>
        <w:autoSpaceDN/>
        <w:adjustRightInd/>
        <w:jc w:val="center"/>
        <w:textAlignment w:val="auto"/>
        <w:rPr>
          <w:rFonts w:ascii="Arial" w:hAnsi="Arial" w:cs="Arial"/>
          <w:b/>
          <w:kern w:val="1"/>
          <w:sz w:val="26"/>
          <w:szCs w:val="26"/>
          <w:lang w:eastAsia="ar-SA"/>
        </w:rPr>
      </w:pPr>
    </w:p>
    <w:p w:rsidR="002402C8" w:rsidRDefault="00A8623B" w:rsidP="002402C8">
      <w:pPr>
        <w:widowControl w:val="0"/>
        <w:suppressAutoHyphens/>
        <w:overflowPunct/>
        <w:autoSpaceDE/>
        <w:autoSpaceDN/>
        <w:adjustRightInd/>
        <w:jc w:val="center"/>
        <w:textAlignment w:val="auto"/>
        <w:rPr>
          <w:rFonts w:ascii="Arial" w:hAnsi="Arial" w:cs="Arial"/>
          <w:b/>
          <w:kern w:val="1"/>
          <w:sz w:val="26"/>
          <w:szCs w:val="26"/>
          <w:lang w:eastAsia="ar-SA"/>
        </w:rPr>
      </w:pPr>
      <w:bookmarkStart w:id="0" w:name="_GoBack"/>
      <w:r>
        <w:rPr>
          <w:rFonts w:ascii="Arial" w:hAnsi="Arial" w:cs="Arial"/>
          <w:b/>
          <w:noProof/>
          <w:kern w:val="1"/>
          <w:sz w:val="26"/>
          <w:szCs w:val="26"/>
        </w:rPr>
        <w:drawing>
          <wp:inline distT="0" distB="0" distL="0" distR="0">
            <wp:extent cx="5405480" cy="7645518"/>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7734" cy="7648706"/>
                    </a:xfrm>
                    <a:prstGeom prst="rect">
                      <a:avLst/>
                    </a:prstGeom>
                  </pic:spPr>
                </pic:pic>
              </a:graphicData>
            </a:graphic>
          </wp:inline>
        </w:drawing>
      </w:r>
      <w:bookmarkEnd w:id="0"/>
    </w:p>
    <w:p w:rsidR="00980D70" w:rsidRDefault="00980D70" w:rsidP="007A6EC7">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sectPr w:rsidR="000E61A3" w:rsidSect="00B051A1">
      <w:headerReference w:type="default" r:id="rId16"/>
      <w:footerReference w:type="default" r:id="rId17"/>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8D" w:rsidRDefault="004C678D">
      <w:r>
        <w:separator/>
      </w:r>
    </w:p>
  </w:endnote>
  <w:endnote w:type="continuationSeparator" w:id="0">
    <w:p w:rsidR="004C678D" w:rsidRDefault="004C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70" w:rsidRDefault="00980D70">
    <w:pPr>
      <w:pStyle w:val="Zpat"/>
      <w:jc w:val="right"/>
    </w:pPr>
    <w:r>
      <w:t xml:space="preserve">Str. </w:t>
    </w:r>
    <w:sdt>
      <w:sdtPr>
        <w:id w:val="-1607183960"/>
        <w:docPartObj>
          <w:docPartGallery w:val="Page Numbers (Bottom of Page)"/>
          <w:docPartUnique/>
        </w:docPartObj>
      </w:sdtPr>
      <w:sdtEndPr/>
      <w:sdtContent>
        <w:r>
          <w:fldChar w:fldCharType="begin"/>
        </w:r>
        <w:r>
          <w:instrText>PAGE   \* MERGEFORMAT</w:instrText>
        </w:r>
        <w:r>
          <w:fldChar w:fldCharType="separate"/>
        </w:r>
        <w:r w:rsidR="00A8623B">
          <w:rPr>
            <w:noProof/>
          </w:rPr>
          <w:t>8</w:t>
        </w:r>
        <w:r>
          <w:fldChar w:fldCharType="end"/>
        </w:r>
      </w:sdtContent>
    </w:sdt>
  </w:p>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C8" w:rsidRDefault="002402C8">
    <w:pPr>
      <w:pStyle w:val="Zpat"/>
      <w:jc w:val="right"/>
    </w:pPr>
  </w:p>
  <w:p w:rsidR="002402C8" w:rsidRPr="0068009D" w:rsidRDefault="002402C8"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8D" w:rsidRDefault="004C678D">
      <w:r>
        <w:separator/>
      </w:r>
    </w:p>
  </w:footnote>
  <w:footnote w:type="continuationSeparator" w:id="0">
    <w:p w:rsidR="004C678D" w:rsidRDefault="004C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70" w:rsidRPr="005B2F97" w:rsidRDefault="00980D70" w:rsidP="009A6F49">
    <w:pPr>
      <w:pStyle w:val="Zhlav"/>
      <w:rPr>
        <w:rFonts w:ascii="Arial" w:hAnsi="Arial" w:cs="Arial"/>
        <w:sz w:val="20"/>
      </w:rPr>
    </w:pPr>
  </w:p>
  <w:p w:rsidR="00980D70" w:rsidRDefault="00980D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B30528B"/>
    <w:multiLevelType w:val="hybridMultilevel"/>
    <w:tmpl w:val="B19891FE"/>
    <w:lvl w:ilvl="0" w:tplc="ECD414EE">
      <w:start w:val="1"/>
      <w:numFmt w:val="decimal"/>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CCE71E4"/>
    <w:multiLevelType w:val="hybridMultilevel"/>
    <w:tmpl w:val="3528B6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0D7A2C1F"/>
    <w:multiLevelType w:val="hybridMultilevel"/>
    <w:tmpl w:val="890AC0D8"/>
    <w:lvl w:ilvl="0" w:tplc="B172E88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6">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8">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3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26503DE"/>
    <w:multiLevelType w:val="hybridMultilevel"/>
    <w:tmpl w:val="E7EABEE4"/>
    <w:lvl w:ilvl="0" w:tplc="DE2CF9F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9"/>
  </w:num>
  <w:num w:numId="2">
    <w:abstractNumId w:val="16"/>
  </w:num>
  <w:num w:numId="3">
    <w:abstractNumId w:val="36"/>
  </w:num>
  <w:num w:numId="4">
    <w:abstractNumId w:val="33"/>
  </w:num>
  <w:num w:numId="5">
    <w:abstractNumId w:val="34"/>
  </w:num>
  <w:num w:numId="6">
    <w:abstractNumId w:val="24"/>
  </w:num>
  <w:num w:numId="7">
    <w:abstractNumId w:val="25"/>
  </w:num>
  <w:num w:numId="8">
    <w:abstractNumId w:val="29"/>
  </w:num>
  <w:num w:numId="9">
    <w:abstractNumId w:val="15"/>
  </w:num>
  <w:num w:numId="10">
    <w:abstractNumId w:val="38"/>
  </w:num>
  <w:num w:numId="11">
    <w:abstractNumId w:val="8"/>
  </w:num>
  <w:num w:numId="12">
    <w:abstractNumId w:val="39"/>
  </w:num>
  <w:num w:numId="13">
    <w:abstractNumId w:val="32"/>
  </w:num>
  <w:num w:numId="14">
    <w:abstractNumId w:val="1"/>
  </w:num>
  <w:num w:numId="15">
    <w:abstractNumId w:val="28"/>
  </w:num>
  <w:num w:numId="16">
    <w:abstractNumId w:val="20"/>
  </w:num>
  <w:num w:numId="17">
    <w:abstractNumId w:val="37"/>
  </w:num>
  <w:num w:numId="18">
    <w:abstractNumId w:val="18"/>
  </w:num>
  <w:num w:numId="19">
    <w:abstractNumId w:val="17"/>
  </w:num>
  <w:num w:numId="20">
    <w:abstractNumId w:val="9"/>
  </w:num>
  <w:num w:numId="21">
    <w:abstractNumId w:val="6"/>
  </w:num>
  <w:num w:numId="22">
    <w:abstractNumId w:val="12"/>
  </w:num>
  <w:num w:numId="23">
    <w:abstractNumId w:val="21"/>
  </w:num>
  <w:num w:numId="24">
    <w:abstractNumId w:val="5"/>
  </w:num>
  <w:num w:numId="25">
    <w:abstractNumId w:val="14"/>
  </w:num>
  <w:num w:numId="26">
    <w:abstractNumId w:val="35"/>
  </w:num>
  <w:num w:numId="2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0"/>
  </w:num>
  <w:num w:numId="40">
    <w:abstractNumId w:val="26"/>
  </w:num>
  <w:num w:numId="41">
    <w:abstractNumId w:val="31"/>
  </w:num>
  <w:num w:numId="42">
    <w:abstractNumId w:val="11"/>
  </w:num>
  <w:num w:numId="43">
    <w:abstractNumId w:val="7"/>
  </w:num>
  <w:num w:numId="44">
    <w:abstractNumId w:val="26"/>
  </w:num>
  <w:num w:numId="45">
    <w:abstractNumId w:val="3"/>
  </w:num>
  <w:num w:numId="46">
    <w:abstractNumId w:val="2"/>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696"/>
    <w:rsid w:val="000059CB"/>
    <w:rsid w:val="0001739A"/>
    <w:rsid w:val="0002005A"/>
    <w:rsid w:val="00026167"/>
    <w:rsid w:val="000270DF"/>
    <w:rsid w:val="00027761"/>
    <w:rsid w:val="00032AD0"/>
    <w:rsid w:val="000456A7"/>
    <w:rsid w:val="0005189D"/>
    <w:rsid w:val="00051F75"/>
    <w:rsid w:val="00053346"/>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15933"/>
    <w:rsid w:val="00123974"/>
    <w:rsid w:val="00136388"/>
    <w:rsid w:val="00136411"/>
    <w:rsid w:val="00140C3A"/>
    <w:rsid w:val="00145445"/>
    <w:rsid w:val="00151C33"/>
    <w:rsid w:val="001556E2"/>
    <w:rsid w:val="00176240"/>
    <w:rsid w:val="00184888"/>
    <w:rsid w:val="00191A3B"/>
    <w:rsid w:val="001C04BD"/>
    <w:rsid w:val="001D3524"/>
    <w:rsid w:val="001D6A35"/>
    <w:rsid w:val="001D6BE7"/>
    <w:rsid w:val="001F2B13"/>
    <w:rsid w:val="001F7612"/>
    <w:rsid w:val="0020184F"/>
    <w:rsid w:val="002027EE"/>
    <w:rsid w:val="002039CD"/>
    <w:rsid w:val="002044E5"/>
    <w:rsid w:val="002113D7"/>
    <w:rsid w:val="0021538B"/>
    <w:rsid w:val="002157FE"/>
    <w:rsid w:val="002402C8"/>
    <w:rsid w:val="00241CC6"/>
    <w:rsid w:val="002430D8"/>
    <w:rsid w:val="00255B29"/>
    <w:rsid w:val="00266BE7"/>
    <w:rsid w:val="00271C67"/>
    <w:rsid w:val="00280051"/>
    <w:rsid w:val="002841E7"/>
    <w:rsid w:val="00287DE7"/>
    <w:rsid w:val="00291AEA"/>
    <w:rsid w:val="00294428"/>
    <w:rsid w:val="002A0317"/>
    <w:rsid w:val="002A43BA"/>
    <w:rsid w:val="002A59FE"/>
    <w:rsid w:val="002B32CB"/>
    <w:rsid w:val="002B4360"/>
    <w:rsid w:val="002B6A64"/>
    <w:rsid w:val="002C50E0"/>
    <w:rsid w:val="002D1039"/>
    <w:rsid w:val="002D299B"/>
    <w:rsid w:val="002E73A1"/>
    <w:rsid w:val="002F6A7D"/>
    <w:rsid w:val="00302394"/>
    <w:rsid w:val="00312AFD"/>
    <w:rsid w:val="00312BF9"/>
    <w:rsid w:val="00316474"/>
    <w:rsid w:val="00321D5C"/>
    <w:rsid w:val="0032245B"/>
    <w:rsid w:val="00327DB4"/>
    <w:rsid w:val="00343E31"/>
    <w:rsid w:val="00346C0D"/>
    <w:rsid w:val="00353A3F"/>
    <w:rsid w:val="0035651C"/>
    <w:rsid w:val="003755DC"/>
    <w:rsid w:val="00381AFB"/>
    <w:rsid w:val="00383D86"/>
    <w:rsid w:val="00386410"/>
    <w:rsid w:val="003A15B7"/>
    <w:rsid w:val="003A76F6"/>
    <w:rsid w:val="003A7BC6"/>
    <w:rsid w:val="003B2A08"/>
    <w:rsid w:val="003D38EF"/>
    <w:rsid w:val="003F1C8E"/>
    <w:rsid w:val="003F51B0"/>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678D"/>
    <w:rsid w:val="004C7EE1"/>
    <w:rsid w:val="004D36BC"/>
    <w:rsid w:val="004E7D23"/>
    <w:rsid w:val="004F1EDB"/>
    <w:rsid w:val="00512F40"/>
    <w:rsid w:val="00516E1F"/>
    <w:rsid w:val="00520647"/>
    <w:rsid w:val="005247CA"/>
    <w:rsid w:val="005302CD"/>
    <w:rsid w:val="005323F9"/>
    <w:rsid w:val="005338F0"/>
    <w:rsid w:val="00547B4B"/>
    <w:rsid w:val="00563146"/>
    <w:rsid w:val="005668D0"/>
    <w:rsid w:val="00576565"/>
    <w:rsid w:val="00595DCE"/>
    <w:rsid w:val="005B1728"/>
    <w:rsid w:val="005B2F97"/>
    <w:rsid w:val="005B53AA"/>
    <w:rsid w:val="005C10DB"/>
    <w:rsid w:val="005C1C2D"/>
    <w:rsid w:val="005C6983"/>
    <w:rsid w:val="005D263E"/>
    <w:rsid w:val="005D43BA"/>
    <w:rsid w:val="005E22DF"/>
    <w:rsid w:val="005E3866"/>
    <w:rsid w:val="005F217B"/>
    <w:rsid w:val="005F34D9"/>
    <w:rsid w:val="005F3CFF"/>
    <w:rsid w:val="005F7B80"/>
    <w:rsid w:val="00602394"/>
    <w:rsid w:val="0060531F"/>
    <w:rsid w:val="00611812"/>
    <w:rsid w:val="006400A3"/>
    <w:rsid w:val="00640135"/>
    <w:rsid w:val="00661EDA"/>
    <w:rsid w:val="00670870"/>
    <w:rsid w:val="0067189F"/>
    <w:rsid w:val="006727B3"/>
    <w:rsid w:val="0068009D"/>
    <w:rsid w:val="00687E88"/>
    <w:rsid w:val="00690C90"/>
    <w:rsid w:val="006A14B7"/>
    <w:rsid w:val="006A302C"/>
    <w:rsid w:val="006A4F0B"/>
    <w:rsid w:val="006B4040"/>
    <w:rsid w:val="006C0EF7"/>
    <w:rsid w:val="006C64E2"/>
    <w:rsid w:val="006D4CF2"/>
    <w:rsid w:val="006E0F9D"/>
    <w:rsid w:val="006E4CC3"/>
    <w:rsid w:val="006E5F9A"/>
    <w:rsid w:val="006F74DC"/>
    <w:rsid w:val="006F7A8F"/>
    <w:rsid w:val="00703861"/>
    <w:rsid w:val="007111BD"/>
    <w:rsid w:val="00714263"/>
    <w:rsid w:val="00714520"/>
    <w:rsid w:val="007228A7"/>
    <w:rsid w:val="00726BBC"/>
    <w:rsid w:val="00734FF3"/>
    <w:rsid w:val="007455E1"/>
    <w:rsid w:val="0074616E"/>
    <w:rsid w:val="00756019"/>
    <w:rsid w:val="00771122"/>
    <w:rsid w:val="00790434"/>
    <w:rsid w:val="007A6EC7"/>
    <w:rsid w:val="007A73C9"/>
    <w:rsid w:val="007A75A7"/>
    <w:rsid w:val="007D5107"/>
    <w:rsid w:val="007E3FE2"/>
    <w:rsid w:val="007F14CA"/>
    <w:rsid w:val="007F486B"/>
    <w:rsid w:val="007F60BA"/>
    <w:rsid w:val="007F7071"/>
    <w:rsid w:val="007F79D6"/>
    <w:rsid w:val="00810F3F"/>
    <w:rsid w:val="00811B43"/>
    <w:rsid w:val="008156E1"/>
    <w:rsid w:val="00824E46"/>
    <w:rsid w:val="00830AC2"/>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4668"/>
    <w:rsid w:val="008950BE"/>
    <w:rsid w:val="008A107C"/>
    <w:rsid w:val="008B05B4"/>
    <w:rsid w:val="008B59E9"/>
    <w:rsid w:val="008B60D8"/>
    <w:rsid w:val="008B6A76"/>
    <w:rsid w:val="008B75A6"/>
    <w:rsid w:val="008D07D7"/>
    <w:rsid w:val="008D36CC"/>
    <w:rsid w:val="008D5924"/>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4245"/>
    <w:rsid w:val="00947371"/>
    <w:rsid w:val="00947CB1"/>
    <w:rsid w:val="009505E5"/>
    <w:rsid w:val="00950948"/>
    <w:rsid w:val="0095255A"/>
    <w:rsid w:val="0095748D"/>
    <w:rsid w:val="00960A5B"/>
    <w:rsid w:val="0096148E"/>
    <w:rsid w:val="00963F3F"/>
    <w:rsid w:val="0098025D"/>
    <w:rsid w:val="00980D70"/>
    <w:rsid w:val="009843E0"/>
    <w:rsid w:val="00984678"/>
    <w:rsid w:val="00985B9D"/>
    <w:rsid w:val="00991B86"/>
    <w:rsid w:val="00995E3E"/>
    <w:rsid w:val="00996588"/>
    <w:rsid w:val="009A120B"/>
    <w:rsid w:val="009A39F9"/>
    <w:rsid w:val="009A6F49"/>
    <w:rsid w:val="009A73CF"/>
    <w:rsid w:val="009D2E1E"/>
    <w:rsid w:val="009D5612"/>
    <w:rsid w:val="009F46E9"/>
    <w:rsid w:val="009F5C41"/>
    <w:rsid w:val="00A1328C"/>
    <w:rsid w:val="00A43B3A"/>
    <w:rsid w:val="00A71E04"/>
    <w:rsid w:val="00A72B4B"/>
    <w:rsid w:val="00A8568B"/>
    <w:rsid w:val="00A8623B"/>
    <w:rsid w:val="00A903B8"/>
    <w:rsid w:val="00A930F6"/>
    <w:rsid w:val="00AA0137"/>
    <w:rsid w:val="00AA34D6"/>
    <w:rsid w:val="00AA4FB0"/>
    <w:rsid w:val="00AB1358"/>
    <w:rsid w:val="00AB3ADF"/>
    <w:rsid w:val="00AB507D"/>
    <w:rsid w:val="00AD1BFF"/>
    <w:rsid w:val="00AD1CF0"/>
    <w:rsid w:val="00AD4C10"/>
    <w:rsid w:val="00AD4E21"/>
    <w:rsid w:val="00AE6E47"/>
    <w:rsid w:val="00AF677F"/>
    <w:rsid w:val="00B015A5"/>
    <w:rsid w:val="00B051A1"/>
    <w:rsid w:val="00B10B2F"/>
    <w:rsid w:val="00B1654A"/>
    <w:rsid w:val="00B20CF7"/>
    <w:rsid w:val="00B24021"/>
    <w:rsid w:val="00B40642"/>
    <w:rsid w:val="00B619E9"/>
    <w:rsid w:val="00B63BF5"/>
    <w:rsid w:val="00B640F3"/>
    <w:rsid w:val="00B76C65"/>
    <w:rsid w:val="00B83EB6"/>
    <w:rsid w:val="00B90F61"/>
    <w:rsid w:val="00B92AF5"/>
    <w:rsid w:val="00B97903"/>
    <w:rsid w:val="00BA66D5"/>
    <w:rsid w:val="00BA6C30"/>
    <w:rsid w:val="00BB4BD8"/>
    <w:rsid w:val="00BB617B"/>
    <w:rsid w:val="00BB77F0"/>
    <w:rsid w:val="00BC6B58"/>
    <w:rsid w:val="00BD0D06"/>
    <w:rsid w:val="00BD5E01"/>
    <w:rsid w:val="00BF3D9B"/>
    <w:rsid w:val="00BF4C4C"/>
    <w:rsid w:val="00C134A9"/>
    <w:rsid w:val="00C16025"/>
    <w:rsid w:val="00C20C4F"/>
    <w:rsid w:val="00C516BF"/>
    <w:rsid w:val="00C56345"/>
    <w:rsid w:val="00C606E3"/>
    <w:rsid w:val="00C60709"/>
    <w:rsid w:val="00C66556"/>
    <w:rsid w:val="00C85BA5"/>
    <w:rsid w:val="00C9156E"/>
    <w:rsid w:val="00C96F6D"/>
    <w:rsid w:val="00CB7B50"/>
    <w:rsid w:val="00CD0EC7"/>
    <w:rsid w:val="00CE0AAC"/>
    <w:rsid w:val="00D055EE"/>
    <w:rsid w:val="00D276F7"/>
    <w:rsid w:val="00D41B2F"/>
    <w:rsid w:val="00D42100"/>
    <w:rsid w:val="00D533AF"/>
    <w:rsid w:val="00D75EBF"/>
    <w:rsid w:val="00D85DC2"/>
    <w:rsid w:val="00D87104"/>
    <w:rsid w:val="00D90AD2"/>
    <w:rsid w:val="00D94469"/>
    <w:rsid w:val="00D968F8"/>
    <w:rsid w:val="00D97DE0"/>
    <w:rsid w:val="00DA1280"/>
    <w:rsid w:val="00DC10D8"/>
    <w:rsid w:val="00DD0E1B"/>
    <w:rsid w:val="00DE3DEC"/>
    <w:rsid w:val="00DE5B97"/>
    <w:rsid w:val="00DE675A"/>
    <w:rsid w:val="00DF41F7"/>
    <w:rsid w:val="00E10428"/>
    <w:rsid w:val="00E15728"/>
    <w:rsid w:val="00E230F5"/>
    <w:rsid w:val="00E327CE"/>
    <w:rsid w:val="00E373D7"/>
    <w:rsid w:val="00E54143"/>
    <w:rsid w:val="00E610AD"/>
    <w:rsid w:val="00E67B78"/>
    <w:rsid w:val="00E705B8"/>
    <w:rsid w:val="00E80A88"/>
    <w:rsid w:val="00E83DA6"/>
    <w:rsid w:val="00E8418F"/>
    <w:rsid w:val="00E8734A"/>
    <w:rsid w:val="00E90C35"/>
    <w:rsid w:val="00E97587"/>
    <w:rsid w:val="00EB418C"/>
    <w:rsid w:val="00EB6A5C"/>
    <w:rsid w:val="00ED1285"/>
    <w:rsid w:val="00ED1664"/>
    <w:rsid w:val="00ED2006"/>
    <w:rsid w:val="00ED33E2"/>
    <w:rsid w:val="00EE43D6"/>
    <w:rsid w:val="00EE4466"/>
    <w:rsid w:val="00EF1E4B"/>
    <w:rsid w:val="00EF544F"/>
    <w:rsid w:val="00EF744B"/>
    <w:rsid w:val="00F14075"/>
    <w:rsid w:val="00F14630"/>
    <w:rsid w:val="00F22DC0"/>
    <w:rsid w:val="00F25381"/>
    <w:rsid w:val="00F25697"/>
    <w:rsid w:val="00F328A6"/>
    <w:rsid w:val="00F352E0"/>
    <w:rsid w:val="00F503E9"/>
    <w:rsid w:val="00F52D0A"/>
    <w:rsid w:val="00F54D46"/>
    <w:rsid w:val="00F5552E"/>
    <w:rsid w:val="00F57889"/>
    <w:rsid w:val="00F6029B"/>
    <w:rsid w:val="00F67B02"/>
    <w:rsid w:val="00F72329"/>
    <w:rsid w:val="00F72CE8"/>
    <w:rsid w:val="00F73E42"/>
    <w:rsid w:val="00F90ABF"/>
    <w:rsid w:val="00F94ACC"/>
    <w:rsid w:val="00F96B09"/>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6637-E0C8-4ED0-A6EF-89EDF715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9</Pages>
  <Words>2954</Words>
  <Characters>17432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2020-05-19T11:09:00Z</dcterms:created>
  <dcterms:modified xsi:type="dcterms:W3CDTF">2020-05-19T11:09:00Z</dcterms:modified>
</cp:coreProperties>
</file>