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CB2386">
        <w:rPr>
          <w:rFonts w:asciiTheme="majorHAnsi" w:hAnsiTheme="majorHAnsi"/>
          <w:b/>
          <w:spacing w:val="20"/>
          <w:sz w:val="40"/>
          <w:szCs w:val="28"/>
        </w:rPr>
        <w:t>3</w:t>
      </w:r>
    </w:p>
    <w:p w:rsidR="00730E05" w:rsidRPr="005C7F6A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5C7F6A">
        <w:rPr>
          <w:rFonts w:asciiTheme="majorHAnsi" w:hAnsiTheme="majorHAnsi"/>
          <w:b/>
          <w:spacing w:val="20"/>
          <w:sz w:val="28"/>
          <w:szCs w:val="28"/>
        </w:rPr>
        <w:t>ke s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>mlouvě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o dílo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proofErr w:type="gramStart"/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>č.j.</w:t>
      </w:r>
      <w:proofErr w:type="gramEnd"/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22/02/99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5C7F6A">
        <w:rPr>
          <w:rFonts w:asciiTheme="majorHAnsi" w:hAnsiTheme="majorHAnsi"/>
          <w:b/>
          <w:spacing w:val="20"/>
          <w:szCs w:val="22"/>
        </w:rPr>
        <w:t xml:space="preserve"> 23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5C7F6A">
        <w:rPr>
          <w:rFonts w:asciiTheme="majorHAnsi" w:hAnsiTheme="majorHAnsi"/>
          <w:b/>
          <w:spacing w:val="20"/>
          <w:szCs w:val="22"/>
        </w:rPr>
        <w:t xml:space="preserve"> 3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5C7F6A">
        <w:rPr>
          <w:rFonts w:asciiTheme="majorHAnsi" w:hAnsiTheme="majorHAnsi"/>
          <w:b/>
          <w:spacing w:val="20"/>
          <w:szCs w:val="22"/>
        </w:rPr>
        <w:t>1999</w:t>
      </w:r>
      <w:r w:rsidR="003F680E">
        <w:rPr>
          <w:rFonts w:asciiTheme="majorHAnsi" w:hAnsiTheme="majorHAnsi"/>
          <w:b/>
          <w:spacing w:val="20"/>
          <w:szCs w:val="22"/>
        </w:rPr>
        <w:t xml:space="preserve"> včetně</w:t>
      </w:r>
      <w:r w:rsidR="005C7F6A">
        <w:rPr>
          <w:rFonts w:asciiTheme="majorHAnsi" w:hAnsiTheme="majorHAnsi"/>
          <w:b/>
          <w:spacing w:val="20"/>
          <w:szCs w:val="22"/>
        </w:rPr>
        <w:t xml:space="preserve"> dodatků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uzavřený </w:t>
      </w:r>
      <w:r w:rsidRPr="005C7F6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5C7F6A">
        <w:rPr>
          <w:rFonts w:asciiTheme="majorHAnsi" w:hAnsiTheme="majorHAnsi"/>
          <w:sz w:val="24"/>
          <w:szCs w:val="24"/>
        </w:rPr>
        <w:t>ust</w:t>
      </w:r>
      <w:proofErr w:type="spellEnd"/>
      <w:r w:rsidRPr="005C7F6A">
        <w:rPr>
          <w:rFonts w:asciiTheme="majorHAnsi" w:hAnsiTheme="majorHAnsi"/>
          <w:sz w:val="24"/>
          <w:szCs w:val="24"/>
        </w:rPr>
        <w:t>.  § 2586 - 2635 zákona č. 89/2012 Sb.,</w:t>
      </w:r>
      <w:r>
        <w:rPr>
          <w:rFonts w:asciiTheme="majorHAnsi" w:hAnsiTheme="majorHAnsi"/>
          <w:sz w:val="24"/>
          <w:szCs w:val="24"/>
        </w:rPr>
        <w:t xml:space="preserve">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č.550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54629A">
        <w:rPr>
          <w:rFonts w:ascii="Cambria" w:hAnsi="Cambria" w:cs="Arial"/>
          <w:sz w:val="24"/>
          <w:lang w:val="cs-CZ" w:eastAsia="cs-CZ"/>
        </w:rPr>
        <w:t>xxxxxxxxxxxxxx</w:t>
      </w:r>
      <w:proofErr w:type="spellEnd"/>
      <w:r w:rsidR="0054629A">
        <w:rPr>
          <w:rFonts w:ascii="Cambria" w:hAnsi="Cambria" w:cs="Arial"/>
          <w:sz w:val="24"/>
          <w:lang w:val="cs-CZ" w:eastAsia="cs-CZ"/>
        </w:rPr>
        <w:t>,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 ředitel</w:t>
      </w:r>
      <w:r w:rsidR="005C7F6A">
        <w:rPr>
          <w:rFonts w:ascii="Cambria" w:hAnsi="Cambria" w:cs="Arial"/>
          <w:sz w:val="24"/>
          <w:lang w:val="cs-CZ" w:eastAsia="cs-CZ"/>
        </w:rPr>
        <w:t>em</w:t>
      </w:r>
      <w:bookmarkStart w:id="0" w:name="_GoBack"/>
      <w:bookmarkEnd w:id="0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54629A">
        <w:rPr>
          <w:rFonts w:ascii="Cambria" w:hAnsi="Cambria" w:cs="Arial"/>
          <w:sz w:val="24"/>
          <w:lang w:val="cs-CZ" w:eastAsia="cs-CZ"/>
        </w:rPr>
        <w:t>xxxxxxxxxxxxxxxxxxxxxxxx</w:t>
      </w:r>
      <w:proofErr w:type="spellEnd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54629A">
        <w:rPr>
          <w:rFonts w:ascii="Cambria" w:hAnsi="Cambria" w:cs="Arial"/>
          <w:sz w:val="24"/>
          <w:lang w:val="cs-CZ" w:eastAsia="cs-CZ"/>
        </w:rPr>
        <w:t>xxxxxxxxxxxx</w:t>
      </w:r>
      <w:proofErr w:type="spellEnd"/>
      <w:r w:rsidR="00334CE6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>.</w:t>
      </w:r>
      <w:proofErr w:type="gramEnd"/>
      <w:r w:rsidR="000F70E0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54629A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</w:p>
    <w:p w:rsidR="001E0487" w:rsidRDefault="001E0487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objednatel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9358FF" w:rsidRPr="001E0487" w:rsidRDefault="009358FF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:rsidR="00CB20A1" w:rsidRPr="00CB20A1" w:rsidRDefault="001E0487" w:rsidP="00CB20A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Antonín </w:t>
      </w:r>
      <w:proofErr w:type="spellStart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>Herrman</w:t>
      </w:r>
      <w:proofErr w:type="spellEnd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 s.r.o.</w:t>
      </w:r>
    </w:p>
    <w:p w:rsidR="005C7F6A" w:rsidRDefault="005C7F6A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5C7F6A">
        <w:rPr>
          <w:rFonts w:ascii="Cambria" w:hAnsi="Cambria" w:cs="Arial"/>
          <w:bCs/>
          <w:sz w:val="24"/>
          <w:lang w:val="cs-CZ" w:eastAsia="cs-CZ"/>
        </w:rPr>
        <w:t>Fyzická osoba podnikající dle živnostenského zákona nezapsaná v obchodním rejstříku</w:t>
      </w:r>
    </w:p>
    <w:p w:rsidR="00CB20A1" w:rsidRPr="00CB20A1" w:rsidRDefault="00464E5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="005C7F6A" w:rsidRPr="005C7F6A">
        <w:rPr>
          <w:rFonts w:ascii="Cambria" w:hAnsi="Cambria" w:cs="Arial"/>
          <w:bCs/>
          <w:sz w:val="24"/>
          <w:lang w:val="cs-CZ" w:eastAsia="cs-CZ"/>
        </w:rPr>
        <w:t>Píškova 1947/14</w:t>
      </w:r>
      <w:r w:rsidR="005C7F6A">
        <w:rPr>
          <w:rFonts w:ascii="Cambria" w:hAnsi="Cambria" w:cs="Arial"/>
          <w:bCs/>
          <w:sz w:val="24"/>
          <w:lang w:val="cs-CZ" w:eastAsia="cs-CZ"/>
        </w:rPr>
        <w:t xml:space="preserve">, Praha 13 - </w:t>
      </w:r>
      <w:r w:rsidR="005C7F6A" w:rsidRPr="005C7F6A">
        <w:rPr>
          <w:rFonts w:ascii="Cambria" w:hAnsi="Cambria" w:cs="Arial"/>
          <w:bCs/>
          <w:sz w:val="24"/>
          <w:lang w:val="cs-CZ" w:eastAsia="cs-CZ"/>
        </w:rPr>
        <w:t xml:space="preserve"> Stodůlky</w:t>
      </w:r>
    </w:p>
    <w:p w:rsidR="005C3017" w:rsidRDefault="00CB20A1" w:rsidP="005C3017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IČO: </w:t>
      </w:r>
      <w:r w:rsidR="005C3017" w:rsidRPr="005C3017">
        <w:rPr>
          <w:rFonts w:ascii="Cambria" w:hAnsi="Cambria" w:cs="Arial"/>
          <w:bCs/>
          <w:sz w:val="24"/>
          <w:lang w:val="cs-CZ" w:eastAsia="cs-CZ"/>
        </w:rPr>
        <w:t>06568947</w:t>
      </w:r>
    </w:p>
    <w:p w:rsidR="005C7F6A" w:rsidRPr="001E0487" w:rsidRDefault="005C7F6A" w:rsidP="005C3017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DIČ: </w:t>
      </w:r>
      <w:r w:rsidR="00514159" w:rsidRPr="00514159">
        <w:rPr>
          <w:rFonts w:ascii="Cambria" w:hAnsi="Cambria" w:cs="Arial"/>
          <w:sz w:val="24"/>
          <w:lang w:val="cs-CZ" w:eastAsia="cs-CZ"/>
        </w:rPr>
        <w:t>CZ06568947</w:t>
      </w:r>
    </w:p>
    <w:p w:rsidR="005C7F6A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zastoupena</w:t>
      </w:r>
      <w:r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54629A">
        <w:rPr>
          <w:rFonts w:ascii="Cambria" w:hAnsi="Cambria" w:cs="Arial"/>
          <w:bCs/>
          <w:sz w:val="24"/>
          <w:lang w:val="cs-CZ" w:eastAsia="cs-CZ"/>
        </w:rPr>
        <w:t>xxxxxxxxxxxxxxxx</w:t>
      </w:r>
      <w:proofErr w:type="spellEnd"/>
    </w:p>
    <w:p w:rsidR="005C7F6A" w:rsidRPr="00CB20A1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bankovní spojení: </w:t>
      </w:r>
      <w:proofErr w:type="spellStart"/>
      <w:r w:rsidR="0054629A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  <w:r w:rsidR="00514159" w:rsidRPr="00514159">
        <w:rPr>
          <w:rFonts w:ascii="Cambria" w:hAnsi="Cambria" w:cs="Arial"/>
          <w:bCs/>
          <w:sz w:val="24"/>
          <w:lang w:val="cs-CZ" w:eastAsia="cs-CZ"/>
        </w:rPr>
        <w:t>, a.s.</w:t>
      </w:r>
      <w:r w:rsidR="00514159">
        <w:rPr>
          <w:rFonts w:ascii="Cambria" w:hAnsi="Cambria" w:cs="Arial"/>
          <w:bCs/>
          <w:sz w:val="24"/>
          <w:lang w:val="cs-CZ" w:eastAsia="cs-CZ"/>
        </w:rPr>
        <w:t xml:space="preserve">, </w:t>
      </w:r>
      <w:proofErr w:type="spellStart"/>
      <w:proofErr w:type="gramStart"/>
      <w:r w:rsidR="006C14CE">
        <w:rPr>
          <w:rFonts w:ascii="Cambria" w:hAnsi="Cambria" w:cs="Arial"/>
          <w:bCs/>
          <w:sz w:val="24"/>
          <w:lang w:val="cs-CZ" w:eastAsia="cs-CZ"/>
        </w:rPr>
        <w:t>č.ú</w:t>
      </w:r>
      <w:proofErr w:type="spellEnd"/>
      <w:r w:rsidR="006C14CE">
        <w:rPr>
          <w:rFonts w:ascii="Cambria" w:hAnsi="Cambria" w:cs="Arial"/>
          <w:bCs/>
          <w:sz w:val="24"/>
          <w:lang w:val="cs-CZ" w:eastAsia="cs-CZ"/>
        </w:rPr>
        <w:t xml:space="preserve">. </w:t>
      </w:r>
      <w:proofErr w:type="spellStart"/>
      <w:proofErr w:type="gramEnd"/>
      <w:r w:rsidR="0054629A">
        <w:rPr>
          <w:rFonts w:ascii="Cambria" w:hAnsi="Cambria" w:cs="Arial"/>
          <w:bCs/>
          <w:sz w:val="24"/>
          <w:lang w:val="cs-CZ" w:eastAsia="cs-CZ"/>
        </w:rPr>
        <w:t>xxxxxxxxxxxxxxx</w:t>
      </w:r>
      <w:proofErr w:type="spellEnd"/>
    </w:p>
    <w:p w:rsidR="005C7F6A" w:rsidRPr="00CB20A1" w:rsidRDefault="005C7F6A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</w:p>
    <w:p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zhotovitel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6133FE" w:rsidRPr="006133FE" w:rsidRDefault="00337DAE" w:rsidP="006133F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dočasné</w:t>
      </w:r>
      <w:r w:rsidRPr="003C1349">
        <w:rPr>
          <w:rFonts w:asciiTheme="majorHAnsi" w:hAnsiTheme="majorHAnsi"/>
          <w:b/>
          <w:sz w:val="24"/>
          <w:szCs w:val="24"/>
        </w:rPr>
        <w:t xml:space="preserve"> </w:t>
      </w:r>
      <w:r w:rsidR="00AD7212" w:rsidRPr="003C1349">
        <w:rPr>
          <w:rFonts w:asciiTheme="majorHAnsi" w:hAnsiTheme="majorHAnsi"/>
          <w:b/>
          <w:sz w:val="24"/>
          <w:szCs w:val="24"/>
        </w:rPr>
        <w:t xml:space="preserve">změně </w:t>
      </w:r>
      <w:r w:rsidR="006C14CE">
        <w:rPr>
          <w:rFonts w:asciiTheme="majorHAnsi" w:hAnsiTheme="majorHAnsi"/>
          <w:b/>
          <w:sz w:val="24"/>
          <w:szCs w:val="24"/>
        </w:rPr>
        <w:t xml:space="preserve">ceny díla uvedené </w:t>
      </w:r>
    </w:p>
    <w:p w:rsidR="006C14CE" w:rsidRDefault="00551BC0" w:rsidP="006C14C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337DAE" w:rsidRPr="003C1349">
        <w:rPr>
          <w:rFonts w:asciiTheme="majorHAnsi" w:hAnsiTheme="majorHAnsi"/>
          <w:sz w:val="24"/>
          <w:szCs w:val="24"/>
        </w:rPr>
        <w:t>v</w:t>
      </w:r>
      <w:r w:rsidR="00AD7212" w:rsidRPr="003C1349">
        <w:rPr>
          <w:rFonts w:asciiTheme="majorHAnsi" w:hAnsiTheme="majorHAnsi"/>
          <w:sz w:val="24"/>
          <w:szCs w:val="24"/>
        </w:rPr>
        <w:t xml:space="preserve">e čl. </w:t>
      </w:r>
      <w:r w:rsidR="006C14CE">
        <w:rPr>
          <w:rFonts w:asciiTheme="majorHAnsi" w:hAnsiTheme="majorHAnsi"/>
          <w:sz w:val="24"/>
          <w:szCs w:val="24"/>
        </w:rPr>
        <w:t>V.  smlouvy včetně následujících dodatků</w:t>
      </w:r>
      <w:r w:rsidR="00EC31ED">
        <w:rPr>
          <w:rFonts w:asciiTheme="majorHAnsi" w:hAnsiTheme="majorHAnsi"/>
          <w:sz w:val="24"/>
          <w:szCs w:val="24"/>
        </w:rPr>
        <w:t>.</w:t>
      </w:r>
      <w:r w:rsidR="008B185C" w:rsidRPr="003C1349">
        <w:rPr>
          <w:rFonts w:asciiTheme="majorHAnsi" w:hAnsiTheme="majorHAnsi"/>
          <w:sz w:val="24"/>
          <w:szCs w:val="24"/>
        </w:rPr>
        <w:t xml:space="preserve"> </w:t>
      </w:r>
    </w:p>
    <w:p w:rsidR="009358FF" w:rsidRDefault="009358FF" w:rsidP="006C14C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9358FF" w:rsidRDefault="009358FF" w:rsidP="006C14C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222580" w:rsidRDefault="00222580" w:rsidP="00222580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</w:p>
    <w:p w:rsidR="009358FF" w:rsidRPr="003C1349" w:rsidRDefault="008B2E7A" w:rsidP="00222580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b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lastRenderedPageBreak/>
        <w:t>Smluvní stra</w:t>
      </w:r>
      <w:r w:rsidR="008B185C" w:rsidRPr="003C1349">
        <w:rPr>
          <w:rFonts w:asciiTheme="majorHAnsi" w:hAnsiTheme="majorHAnsi"/>
          <w:sz w:val="24"/>
          <w:szCs w:val="24"/>
        </w:rPr>
        <w:t xml:space="preserve">ny přistoupily ke změně </w:t>
      </w:r>
      <w:r w:rsidR="00DC0D4C">
        <w:rPr>
          <w:rFonts w:asciiTheme="majorHAnsi" w:hAnsiTheme="majorHAnsi"/>
          <w:sz w:val="24"/>
          <w:szCs w:val="24"/>
        </w:rPr>
        <w:t>ceny díla</w:t>
      </w:r>
      <w:r w:rsidRPr="003C1349">
        <w:rPr>
          <w:rFonts w:asciiTheme="majorHAnsi" w:hAnsiTheme="majorHAnsi"/>
          <w:sz w:val="24"/>
          <w:szCs w:val="24"/>
        </w:rPr>
        <w:t xml:space="preserve"> </w:t>
      </w:r>
      <w:r w:rsidR="00AD7212" w:rsidRPr="003C1349">
        <w:rPr>
          <w:rFonts w:asciiTheme="majorHAnsi" w:hAnsiTheme="majorHAnsi"/>
          <w:sz w:val="24"/>
          <w:szCs w:val="24"/>
        </w:rPr>
        <w:t>z</w:t>
      </w:r>
      <w:r w:rsidR="008B185C" w:rsidRPr="003C1349">
        <w:rPr>
          <w:rFonts w:asciiTheme="majorHAnsi" w:hAnsiTheme="majorHAnsi"/>
          <w:sz w:val="24"/>
          <w:szCs w:val="24"/>
        </w:rPr>
        <w:t xml:space="preserve"> důvodu </w:t>
      </w:r>
      <w:r w:rsidR="00DC0D4C">
        <w:rPr>
          <w:rFonts w:asciiTheme="majorHAnsi" w:hAnsiTheme="majorHAnsi"/>
          <w:sz w:val="24"/>
          <w:szCs w:val="24"/>
        </w:rPr>
        <w:t xml:space="preserve">dlouhodobé </w:t>
      </w:r>
      <w:r w:rsidR="00DC0D4C">
        <w:rPr>
          <w:rFonts w:asciiTheme="majorHAnsi" w:hAnsiTheme="majorHAnsi"/>
          <w:b/>
          <w:sz w:val="24"/>
          <w:szCs w:val="24"/>
        </w:rPr>
        <w:t xml:space="preserve">rekonstrukce ústředního vytápění v </w:t>
      </w:r>
      <w:proofErr w:type="spellStart"/>
      <w:r w:rsidR="00DC0D4C">
        <w:rPr>
          <w:rFonts w:asciiTheme="majorHAnsi" w:hAnsiTheme="majorHAnsi"/>
          <w:b/>
          <w:sz w:val="24"/>
          <w:szCs w:val="24"/>
        </w:rPr>
        <w:t>Pálffyovském</w:t>
      </w:r>
      <w:proofErr w:type="spellEnd"/>
      <w:r w:rsidR="00DC0D4C">
        <w:rPr>
          <w:rFonts w:asciiTheme="majorHAnsi" w:hAnsiTheme="majorHAnsi"/>
          <w:b/>
          <w:sz w:val="24"/>
          <w:szCs w:val="24"/>
        </w:rPr>
        <w:t xml:space="preserve"> paláci na adrese „Valdštejnská 158/14, 159/16,</w:t>
      </w:r>
      <w:r w:rsidR="00DC0D4C" w:rsidRPr="00DC0D4C">
        <w:rPr>
          <w:rFonts w:asciiTheme="majorHAnsi" w:hAnsiTheme="majorHAnsi"/>
          <w:b/>
          <w:sz w:val="24"/>
          <w:szCs w:val="24"/>
        </w:rPr>
        <w:t xml:space="preserve"> Praha 1</w:t>
      </w:r>
      <w:r w:rsidR="00DC0D4C">
        <w:rPr>
          <w:rFonts w:asciiTheme="majorHAnsi" w:hAnsiTheme="majorHAnsi"/>
          <w:b/>
          <w:sz w:val="24"/>
          <w:szCs w:val="24"/>
        </w:rPr>
        <w:t xml:space="preserve"> -  Malá Strana“.  Po dobu rekonstrukce bude ústřední vytápění včetně </w:t>
      </w:r>
      <w:r w:rsidR="008D06A9">
        <w:rPr>
          <w:rFonts w:asciiTheme="majorHAnsi" w:hAnsiTheme="majorHAnsi"/>
          <w:b/>
          <w:sz w:val="24"/>
          <w:szCs w:val="24"/>
        </w:rPr>
        <w:t xml:space="preserve">plynové </w:t>
      </w:r>
      <w:r w:rsidR="00DC0D4C">
        <w:rPr>
          <w:rFonts w:asciiTheme="majorHAnsi" w:hAnsiTheme="majorHAnsi"/>
          <w:b/>
          <w:sz w:val="24"/>
          <w:szCs w:val="24"/>
        </w:rPr>
        <w:t>kotelny mimo provoz.</w:t>
      </w:r>
    </w:p>
    <w:p w:rsidR="00597493" w:rsidRPr="00FA4BCA" w:rsidRDefault="00832EB0" w:rsidP="00597493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Nová cena plnění </w:t>
      </w:r>
      <w:r w:rsidR="00AD7212" w:rsidRPr="003C1349">
        <w:rPr>
          <w:rFonts w:asciiTheme="majorHAnsi" w:hAnsiTheme="majorHAnsi"/>
          <w:sz w:val="24"/>
          <w:szCs w:val="24"/>
        </w:rPr>
        <w:t xml:space="preserve">po této změně: </w:t>
      </w:r>
      <w:r>
        <w:rPr>
          <w:rFonts w:asciiTheme="majorHAnsi" w:hAnsiTheme="majorHAnsi"/>
          <w:sz w:val="24"/>
          <w:szCs w:val="24"/>
        </w:rPr>
        <w:t xml:space="preserve">Cena za dílo bude snížena </w:t>
      </w:r>
      <w:r w:rsidRPr="006636CD">
        <w:rPr>
          <w:rFonts w:asciiTheme="majorHAnsi" w:hAnsiTheme="majorHAnsi"/>
          <w:b/>
          <w:sz w:val="24"/>
          <w:szCs w:val="24"/>
        </w:rPr>
        <w:t xml:space="preserve">na </w:t>
      </w:r>
      <w:r w:rsidRPr="009358FF">
        <w:rPr>
          <w:rFonts w:asciiTheme="majorHAnsi" w:hAnsiTheme="majorHAnsi"/>
          <w:b/>
          <w:sz w:val="24"/>
          <w:szCs w:val="24"/>
        </w:rPr>
        <w:t>0 Kč včetně DPH</w:t>
      </w:r>
      <w:r>
        <w:rPr>
          <w:rFonts w:asciiTheme="majorHAnsi" w:hAnsiTheme="majorHAnsi"/>
          <w:sz w:val="24"/>
          <w:szCs w:val="24"/>
        </w:rPr>
        <w:t xml:space="preserve"> za každý kalendářní měsíc bez ohledu na charakter provozu. 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C21AA5">
        <w:rPr>
          <w:rFonts w:asciiTheme="majorHAnsi" w:hAnsiTheme="majorHAnsi" w:cs="Calibri"/>
          <w:sz w:val="24"/>
          <w:szCs w:val="24"/>
        </w:rPr>
        <w:t>01. 05. 2020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832EB0" w:rsidRPr="003C1349" w:rsidRDefault="00832EB0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Tento dodatek je platný do 31. 08. 2020.</w:t>
      </w:r>
      <w:r w:rsidR="00C21AA5">
        <w:rPr>
          <w:rFonts w:asciiTheme="majorHAnsi" w:hAnsiTheme="majorHAnsi" w:cs="Calibri"/>
          <w:sz w:val="24"/>
          <w:szCs w:val="24"/>
        </w:rPr>
        <w:t xml:space="preserve"> Nejpozději do konce tohoto termínu se obě strany zavazují uzavřít dodatek nový, kde bude stanovena nová</w:t>
      </w:r>
      <w:r w:rsidR="004B340B">
        <w:rPr>
          <w:rFonts w:asciiTheme="majorHAnsi" w:hAnsiTheme="majorHAnsi" w:cs="Calibri"/>
          <w:sz w:val="24"/>
          <w:szCs w:val="24"/>
        </w:rPr>
        <w:t xml:space="preserve"> </w:t>
      </w:r>
      <w:r w:rsidR="00C21AA5">
        <w:rPr>
          <w:rFonts w:asciiTheme="majorHAnsi" w:hAnsiTheme="majorHAnsi" w:cs="Calibri"/>
          <w:sz w:val="24"/>
          <w:szCs w:val="24"/>
        </w:rPr>
        <w:t xml:space="preserve">cena za dílo, která </w:t>
      </w:r>
      <w:r w:rsidR="009B2A32">
        <w:rPr>
          <w:rFonts w:asciiTheme="majorHAnsi" w:hAnsiTheme="majorHAnsi" w:cs="Calibri"/>
          <w:sz w:val="24"/>
          <w:szCs w:val="24"/>
        </w:rPr>
        <w:t>bude na úrovni</w:t>
      </w:r>
      <w:r w:rsidR="009358FF">
        <w:rPr>
          <w:rFonts w:asciiTheme="majorHAnsi" w:hAnsiTheme="majorHAnsi" w:cs="Calibri"/>
          <w:sz w:val="24"/>
          <w:szCs w:val="24"/>
        </w:rPr>
        <w:t xml:space="preserve"> (ve stejné výši)</w:t>
      </w:r>
      <w:r w:rsidR="009B2A32">
        <w:rPr>
          <w:rFonts w:asciiTheme="majorHAnsi" w:hAnsiTheme="majorHAnsi" w:cs="Calibri"/>
          <w:sz w:val="24"/>
          <w:szCs w:val="24"/>
        </w:rPr>
        <w:t xml:space="preserve"> </w:t>
      </w:r>
      <w:r w:rsidR="00C21AA5">
        <w:rPr>
          <w:rFonts w:asciiTheme="majorHAnsi" w:hAnsiTheme="majorHAnsi" w:cs="Calibri"/>
          <w:sz w:val="24"/>
          <w:szCs w:val="24"/>
        </w:rPr>
        <w:t>poslední stanoven</w:t>
      </w:r>
      <w:r w:rsidR="009B2A32">
        <w:rPr>
          <w:rFonts w:asciiTheme="majorHAnsi" w:hAnsiTheme="majorHAnsi" w:cs="Calibri"/>
          <w:sz w:val="24"/>
          <w:szCs w:val="24"/>
        </w:rPr>
        <w:t>é ceny</w:t>
      </w:r>
      <w:r w:rsidR="004B340B">
        <w:rPr>
          <w:rFonts w:asciiTheme="majorHAnsi" w:hAnsiTheme="majorHAnsi" w:cs="Calibri"/>
          <w:sz w:val="24"/>
          <w:szCs w:val="24"/>
        </w:rPr>
        <w:t xml:space="preserve"> díla</w:t>
      </w:r>
      <w:r w:rsidR="009B2A32">
        <w:rPr>
          <w:rFonts w:asciiTheme="majorHAnsi" w:hAnsiTheme="majorHAnsi" w:cs="Calibri"/>
          <w:sz w:val="24"/>
          <w:szCs w:val="24"/>
        </w:rPr>
        <w:t xml:space="preserve"> platné </w:t>
      </w:r>
      <w:r w:rsidR="00C21AA5">
        <w:rPr>
          <w:rFonts w:asciiTheme="majorHAnsi" w:hAnsiTheme="majorHAnsi" w:cs="Calibri"/>
          <w:sz w:val="24"/>
          <w:szCs w:val="24"/>
        </w:rPr>
        <w:t>před změnami sjednanými v</w:t>
      </w:r>
      <w:r w:rsidR="009B2A32">
        <w:rPr>
          <w:rFonts w:asciiTheme="majorHAnsi" w:hAnsiTheme="majorHAnsi" w:cs="Calibri"/>
          <w:sz w:val="24"/>
          <w:szCs w:val="24"/>
        </w:rPr>
        <w:t xml:space="preserve"> aktuálním</w:t>
      </w:r>
      <w:r w:rsidR="00C21AA5">
        <w:rPr>
          <w:rFonts w:asciiTheme="majorHAnsi" w:hAnsiTheme="majorHAnsi" w:cs="Calibri"/>
          <w:sz w:val="24"/>
          <w:szCs w:val="24"/>
        </w:rPr>
        <w:t xml:space="preserve"> dodatku </w:t>
      </w:r>
      <w:r w:rsidR="009B2A32">
        <w:rPr>
          <w:rFonts w:asciiTheme="majorHAnsi" w:hAnsiTheme="majorHAnsi" w:cs="Calibri"/>
          <w:sz w:val="24"/>
          <w:szCs w:val="24"/>
        </w:rPr>
        <w:t>č. 3</w:t>
      </w:r>
      <w:r w:rsidR="00EC31ED">
        <w:rPr>
          <w:rFonts w:asciiTheme="majorHAnsi" w:hAnsiTheme="majorHAnsi" w:cs="Calibri"/>
          <w:sz w:val="24"/>
          <w:szCs w:val="24"/>
        </w:rPr>
        <w:t xml:space="preserve"> s rozlišením na letní a zimní provoz.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C21AA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C21AA5" w:rsidRPr="00C21AA5">
        <w:rPr>
          <w:rFonts w:asciiTheme="majorHAnsi" w:hAnsiTheme="majorHAnsi"/>
          <w:sz w:val="24"/>
          <w:szCs w:val="24"/>
        </w:rPr>
        <w:t>22/02/99</w:t>
      </w:r>
      <w:r w:rsidR="00551BC0">
        <w:rPr>
          <w:rFonts w:asciiTheme="majorHAnsi" w:hAnsiTheme="majorHAnsi"/>
          <w:sz w:val="24"/>
          <w:szCs w:val="24"/>
        </w:rPr>
        <w:t xml:space="preserve"> včetně následujících dodatků</w:t>
      </w:r>
      <w:r w:rsidR="00C21AA5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89228D" w:rsidRPr="0089228D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CB2386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CB2386">
        <w:rPr>
          <w:rFonts w:asciiTheme="majorHAnsi" w:hAnsiTheme="majorHAnsi"/>
          <w:color w:val="000000"/>
          <w:sz w:val="24"/>
          <w:lang w:val="cs-CZ"/>
        </w:rPr>
        <w:t>objednatel</w:t>
      </w:r>
      <w:r>
        <w:rPr>
          <w:rFonts w:asciiTheme="majorHAnsi" w:hAnsiTheme="majorHAnsi"/>
          <w:color w:val="000000"/>
          <w:sz w:val="24"/>
          <w:lang w:val="cs-CZ"/>
        </w:rPr>
        <w:t>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CB2386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5C3017">
        <w:rPr>
          <w:rFonts w:asciiTheme="majorHAnsi" w:hAnsiTheme="majorHAnsi"/>
          <w:sz w:val="24"/>
          <w:szCs w:val="24"/>
        </w:rPr>
        <w:t xml:space="preserve"> má 2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CB2386">
        <w:rPr>
          <w:rFonts w:asciiTheme="majorHAnsi" w:hAnsiTheme="majorHAnsi"/>
          <w:sz w:val="24"/>
          <w:szCs w:val="24"/>
        </w:rPr>
        <w:t>objednatel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CB2386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DC0D4C" w:rsidRDefault="00DC0D4C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DC0D4C">
        <w:rPr>
          <w:rFonts w:asciiTheme="majorHAnsi" w:hAnsiTheme="majorHAnsi" w:cs="Calibri"/>
          <w:sz w:val="24"/>
        </w:rPr>
        <w:t xml:space="preserve"> 01.05.2020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DC0D4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5732AC">
        <w:rPr>
          <w:rFonts w:asciiTheme="majorHAnsi" w:hAnsiTheme="majorHAnsi" w:cs="Calibri"/>
          <w:sz w:val="24"/>
        </w:rPr>
        <w:t xml:space="preserve"> 01.05.2020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CB2386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9B" w:rsidRDefault="001F309B">
      <w:r>
        <w:separator/>
      </w:r>
    </w:p>
    <w:p w:rsidR="001F309B" w:rsidRDefault="001F309B"/>
  </w:endnote>
  <w:endnote w:type="continuationSeparator" w:id="0">
    <w:p w:rsidR="001F309B" w:rsidRDefault="001F309B">
      <w:r>
        <w:continuationSeparator/>
      </w:r>
    </w:p>
    <w:p w:rsidR="001F309B" w:rsidRDefault="001F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54629A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54629A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9B" w:rsidRDefault="001F309B">
      <w:r>
        <w:separator/>
      </w:r>
    </w:p>
    <w:p w:rsidR="001F309B" w:rsidRDefault="001F309B"/>
  </w:footnote>
  <w:footnote w:type="continuationSeparator" w:id="0">
    <w:p w:rsidR="001F309B" w:rsidRDefault="001F309B">
      <w:r>
        <w:continuationSeparator/>
      </w:r>
    </w:p>
    <w:p w:rsidR="001F309B" w:rsidRDefault="001F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E0487"/>
    <w:rsid w:val="001E4D90"/>
    <w:rsid w:val="001F0C13"/>
    <w:rsid w:val="001F309B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2F7DDA"/>
    <w:rsid w:val="003038D5"/>
    <w:rsid w:val="003072F7"/>
    <w:rsid w:val="00310B88"/>
    <w:rsid w:val="0031390F"/>
    <w:rsid w:val="0031599A"/>
    <w:rsid w:val="00320B88"/>
    <w:rsid w:val="00324D3B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4629A"/>
    <w:rsid w:val="00551BC0"/>
    <w:rsid w:val="00556E18"/>
    <w:rsid w:val="00570B9B"/>
    <w:rsid w:val="0057284A"/>
    <w:rsid w:val="005732AC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A2B49"/>
    <w:rsid w:val="00DB1A2D"/>
    <w:rsid w:val="00DB3532"/>
    <w:rsid w:val="00DB412A"/>
    <w:rsid w:val="00DB4281"/>
    <w:rsid w:val="00DC0D4C"/>
    <w:rsid w:val="00DC6C4A"/>
    <w:rsid w:val="00DE3588"/>
    <w:rsid w:val="00DE50F2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C31ED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87FEB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A930EEDE-741E-4A73-9D88-0D8E14B8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116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27</cp:revision>
  <cp:lastPrinted>2020-05-14T08:03:00Z</cp:lastPrinted>
  <dcterms:created xsi:type="dcterms:W3CDTF">2020-05-05T14:43:00Z</dcterms:created>
  <dcterms:modified xsi:type="dcterms:W3CDTF">2020-05-18T13:24:00Z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