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spacing w:line="384" w:lineRule="exact" w:before="287"/>
        <w:ind w:left="460" w:right="145" w:firstLine="0"/>
        <w:jc w:val="left"/>
        <w:rPr>
          <w:b/>
          <w:sz w:val="32"/>
        </w:rPr>
      </w:pPr>
      <w:r>
        <w:rPr>
          <w:b/>
          <w:sz w:val="32"/>
        </w:rPr>
        <w:t>Stanovení finančních oprav za porušení povinností stanovených ve Smlouvě, sankcionovaných v souladu s článkem VII odst. 4, nižším odvodem, než činí výše porušení rozpočtové kázně</w:t>
      </w:r>
    </w:p>
    <w:p>
      <w:pPr>
        <w:pStyle w:val="BodyText"/>
        <w:rPr>
          <w:b/>
          <w:sz w:val="42"/>
        </w:rPr>
      </w:pPr>
    </w:p>
    <w:p>
      <w:pPr>
        <w:pStyle w:val="Heading1"/>
        <w:tabs>
          <w:tab w:pos="5009" w:val="left" w:leader="none"/>
        </w:tabs>
        <w:spacing w:before="286"/>
      </w:pPr>
      <w:r>
        <w:rPr/>
        <w:t>Evidenční</w:t>
      </w:r>
      <w:r>
        <w:rPr>
          <w:spacing w:val="-2"/>
        </w:rPr>
        <w:t> </w:t>
      </w:r>
      <w:r>
        <w:rPr/>
        <w:t>číslo:</w:t>
        <w:tab/>
        <w:t>2017010005</w:t>
      </w:r>
    </w:p>
    <w:p>
      <w:pPr>
        <w:tabs>
          <w:tab w:pos="5009" w:val="left" w:leader="none"/>
        </w:tabs>
        <w:spacing w:before="36"/>
        <w:ind w:left="460" w:right="0" w:firstLine="0"/>
        <w:jc w:val="left"/>
        <w:rPr>
          <w:sz w:val="18"/>
        </w:rPr>
      </w:pPr>
      <w:r>
        <w:rPr>
          <w:sz w:val="18"/>
        </w:rPr>
        <w:t>Příjemce</w:t>
      </w:r>
      <w:r>
        <w:rPr>
          <w:spacing w:val="-2"/>
          <w:sz w:val="18"/>
        </w:rPr>
        <w:t> </w:t>
      </w:r>
      <w:r>
        <w:rPr>
          <w:sz w:val="18"/>
        </w:rPr>
        <w:t>podpory:</w:t>
        <w:tab/>
        <w:t>Výzkumný ústav organických syntéz</w:t>
      </w:r>
      <w:r>
        <w:rPr>
          <w:spacing w:val="-8"/>
          <w:sz w:val="18"/>
        </w:rPr>
        <w:t> </w:t>
      </w:r>
      <w:r>
        <w:rPr>
          <w:sz w:val="18"/>
        </w:rPr>
        <w:t>a.s.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5"/>
        <w:gridCol w:w="1820"/>
        <w:gridCol w:w="3003"/>
        <w:gridCol w:w="3822"/>
      </w:tblGrid>
      <w:tr>
        <w:trPr>
          <w:trHeight w:val="336" w:hRule="exact"/>
        </w:trPr>
        <w:tc>
          <w:tcPr>
            <w:tcW w:w="455" w:type="dxa"/>
          </w:tcPr>
          <w:p>
            <w:pPr>
              <w:pStyle w:val="TableParagraph"/>
              <w:spacing w:line="240" w:lineRule="auto" w:before="16"/>
              <w:rPr>
                <w:b/>
                <w:sz w:val="18"/>
              </w:rPr>
            </w:pPr>
            <w:r>
              <w:rPr>
                <w:b/>
                <w:sz w:val="18"/>
              </w:rPr>
              <w:t>Č.</w:t>
            </w:r>
          </w:p>
        </w:tc>
        <w:tc>
          <w:tcPr>
            <w:tcW w:w="1820" w:type="dxa"/>
          </w:tcPr>
          <w:p>
            <w:pPr>
              <w:pStyle w:val="TableParagraph"/>
              <w:spacing w:line="240" w:lineRule="auto" w:before="16"/>
              <w:rPr>
                <w:b/>
                <w:sz w:val="18"/>
              </w:rPr>
            </w:pPr>
            <w:r>
              <w:rPr>
                <w:b/>
                <w:sz w:val="18"/>
              </w:rPr>
              <w:t>Podmínka Smlouvy</w:t>
            </w:r>
          </w:p>
        </w:tc>
        <w:tc>
          <w:tcPr>
            <w:tcW w:w="3003" w:type="dxa"/>
          </w:tcPr>
          <w:p>
            <w:pPr>
              <w:pStyle w:val="TableParagraph"/>
              <w:spacing w:line="240" w:lineRule="auto" w:before="16"/>
              <w:rPr>
                <w:b/>
                <w:sz w:val="18"/>
              </w:rPr>
            </w:pPr>
            <w:r>
              <w:rPr>
                <w:b/>
                <w:sz w:val="18"/>
              </w:rPr>
              <w:t>Popis porušení</w:t>
            </w:r>
          </w:p>
        </w:tc>
        <w:tc>
          <w:tcPr>
            <w:tcW w:w="3822" w:type="dxa"/>
          </w:tcPr>
          <w:p>
            <w:pPr>
              <w:pStyle w:val="TableParagraph"/>
              <w:spacing w:line="240" w:lineRule="auto" w:before="16"/>
              <w:rPr>
                <w:b/>
                <w:sz w:val="18"/>
              </w:rPr>
            </w:pPr>
            <w:r>
              <w:rPr>
                <w:b/>
                <w:sz w:val="18"/>
              </w:rPr>
              <w:t>Sazba finanční opravy</w:t>
            </w:r>
          </w:p>
        </w:tc>
      </w:tr>
      <w:tr>
        <w:trPr>
          <w:trHeight w:val="2040" w:hRule="exact"/>
        </w:trPr>
        <w:tc>
          <w:tcPr>
            <w:tcW w:w="455" w:type="dxa"/>
          </w:tcPr>
          <w:p>
            <w:pPr>
              <w:pStyle w:val="TableParagraph"/>
              <w:spacing w:line="240" w:lineRule="auto" w:before="1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820" w:type="dxa"/>
          </w:tcPr>
          <w:p>
            <w:pPr>
              <w:pStyle w:val="TableParagraph"/>
              <w:spacing w:line="240" w:lineRule="auto" w:before="19"/>
              <w:rPr>
                <w:sz w:val="20"/>
              </w:rPr>
            </w:pPr>
            <w:r>
              <w:rPr>
                <w:sz w:val="20"/>
              </w:rPr>
              <w:t>Čl. III. odst. 4</w:t>
            </w:r>
          </w:p>
        </w:tc>
        <w:tc>
          <w:tcPr>
            <w:tcW w:w="300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 termínu ukončení realizace projektu</w:t>
            </w:r>
          </w:p>
        </w:tc>
        <w:tc>
          <w:tcPr>
            <w:tcW w:w="3822" w:type="dxa"/>
          </w:tcPr>
          <w:p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Do 30 kalendářních dnů bez finanční opravy, v případě prodlení trvajícího 31- 90 kalendářních dnů finanční oprava 1% z celkové částky podpory, prodlení 91- 180 kalendářních dnů finanční oprava 3% z celkové částky podpory, prodlení delší než 180 kalendářních dnů finanční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oprava 5% z celkové částky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podpory</w:t>
            </w:r>
          </w:p>
        </w:tc>
      </w:tr>
      <w:tr>
        <w:trPr>
          <w:trHeight w:val="3240" w:hRule="exact"/>
        </w:trPr>
        <w:tc>
          <w:tcPr>
            <w:tcW w:w="455" w:type="dxa"/>
          </w:tcPr>
          <w:p>
            <w:pPr>
              <w:pStyle w:val="TableParagraph"/>
              <w:spacing w:line="240" w:lineRule="auto" w:before="1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820" w:type="dxa"/>
          </w:tcPr>
          <w:p>
            <w:pPr>
              <w:pStyle w:val="TableParagraph"/>
              <w:spacing w:line="253" w:lineRule="exact" w:before="19"/>
              <w:rPr>
                <w:sz w:val="20"/>
              </w:rPr>
            </w:pPr>
            <w:r>
              <w:rPr>
                <w:sz w:val="20"/>
              </w:rPr>
              <w:t>Čl. III. odst. 5 a čl.</w:t>
            </w:r>
          </w:p>
          <w:p>
            <w:pPr>
              <w:pStyle w:val="TableParagraph"/>
              <w:spacing w:line="253" w:lineRule="exact" w:before="0"/>
              <w:rPr>
                <w:sz w:val="20"/>
              </w:rPr>
            </w:pPr>
            <w:r>
              <w:rPr>
                <w:sz w:val="20"/>
              </w:rPr>
              <w:t>V. odst. 9</w:t>
            </w:r>
          </w:p>
        </w:tc>
        <w:tc>
          <w:tcPr>
            <w:tcW w:w="3003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72" w:val="left" w:leader="none"/>
              </w:tabs>
              <w:spacing w:line="240" w:lineRule="exact" w:before="43" w:after="0"/>
              <w:ind w:left="55" w:right="218" w:firstLine="0"/>
              <w:jc w:val="left"/>
              <w:rPr>
                <w:sz w:val="20"/>
              </w:rPr>
            </w:pPr>
            <w:r>
              <w:rPr>
                <w:sz w:val="20"/>
              </w:rPr>
              <w:t>Nedodržení termínu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předání podkladů k závěrečnému vyhodnocení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akce.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8" w:val="left" w:leader="none"/>
              </w:tabs>
              <w:spacing w:line="240" w:lineRule="exact" w:before="0" w:after="0"/>
              <w:ind w:left="55" w:right="192" w:firstLine="0"/>
              <w:jc w:val="left"/>
              <w:rPr>
                <w:sz w:val="20"/>
              </w:rPr>
            </w:pPr>
            <w:r>
              <w:rPr>
                <w:sz w:val="20"/>
              </w:rPr>
              <w:t>Nedodržení lhůty 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doplnění či opravě žádosti 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platbu.</w:t>
            </w:r>
          </w:p>
        </w:tc>
        <w:tc>
          <w:tcPr>
            <w:tcW w:w="3822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72" w:val="left" w:leader="none"/>
              </w:tabs>
              <w:spacing w:line="240" w:lineRule="exact" w:before="43" w:after="0"/>
              <w:ind w:left="55" w:right="90" w:firstLine="0"/>
              <w:jc w:val="left"/>
              <w:rPr>
                <w:sz w:val="20"/>
              </w:rPr>
            </w:pPr>
            <w:r>
              <w:rPr>
                <w:sz w:val="20"/>
              </w:rPr>
              <w:t>Do 30 kalendářních dnů bez finanční opravy, v případě prodlení trvajícího 31- 90 kalendářních dnů finanční oprava 1% z celkové částky podpory, prodlení 91- 180 kalendářních dnů finanční oprava 3% z celkové částky podpory, prodlení delší než 180 kalendářních dnů finanční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oprava 5% z celkové částky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podpory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8" w:val="left" w:leader="none"/>
              </w:tabs>
              <w:spacing w:line="240" w:lineRule="exact" w:before="0" w:after="0"/>
              <w:ind w:left="55" w:right="87" w:firstLine="0"/>
              <w:jc w:val="left"/>
              <w:rPr>
                <w:sz w:val="20"/>
              </w:rPr>
            </w:pPr>
            <w:r>
              <w:rPr>
                <w:sz w:val="20"/>
              </w:rPr>
              <w:t>lhůta k nápravě 30 dnů od vrácení žádosti k doplnění/opravě, tj. bez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finanční opravy; poté finanční oprava ve výši 0,25% z celkové částky podpory za každých započatých 30 kalendářních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dnů</w:t>
            </w:r>
          </w:p>
        </w:tc>
      </w:tr>
      <w:tr>
        <w:trPr>
          <w:trHeight w:val="600" w:hRule="exact"/>
        </w:trPr>
        <w:tc>
          <w:tcPr>
            <w:tcW w:w="455" w:type="dxa"/>
          </w:tcPr>
          <w:p>
            <w:pPr>
              <w:pStyle w:val="TableParagraph"/>
              <w:spacing w:line="240" w:lineRule="auto" w:before="1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820" w:type="dxa"/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sz w:val="20"/>
              </w:rPr>
              <w:t>Čl. IV. odst. 1 písm. a)</w:t>
            </w:r>
          </w:p>
        </w:tc>
        <w:tc>
          <w:tcPr>
            <w:tcW w:w="300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Nezajištění řádného stavebního dozoru</w:t>
            </w:r>
          </w:p>
        </w:tc>
        <w:tc>
          <w:tcPr>
            <w:tcW w:w="382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Finanční oprava 5% z celkové částky podpory</w:t>
            </w:r>
          </w:p>
        </w:tc>
      </w:tr>
      <w:tr>
        <w:trPr>
          <w:trHeight w:val="600" w:hRule="exact"/>
        </w:trPr>
        <w:tc>
          <w:tcPr>
            <w:tcW w:w="455" w:type="dxa"/>
          </w:tcPr>
          <w:p>
            <w:pPr>
              <w:pStyle w:val="TableParagraph"/>
              <w:spacing w:line="240" w:lineRule="auto" w:before="1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820" w:type="dxa"/>
          </w:tcPr>
          <w:p>
            <w:pPr>
              <w:pStyle w:val="TableParagraph"/>
              <w:spacing w:line="253" w:lineRule="exact" w:before="19"/>
              <w:rPr>
                <w:sz w:val="20"/>
              </w:rPr>
            </w:pPr>
            <w:r>
              <w:rPr>
                <w:sz w:val="20"/>
              </w:rPr>
              <w:t>Čl. IV. odst. 1 písm.</w:t>
            </w:r>
          </w:p>
          <w:p>
            <w:pPr>
              <w:pStyle w:val="TableParagraph"/>
              <w:spacing w:line="253" w:lineRule="exact" w:before="0"/>
              <w:rPr>
                <w:sz w:val="20"/>
              </w:rPr>
            </w:pPr>
            <w:r>
              <w:rPr>
                <w:sz w:val="20"/>
              </w:rPr>
              <w:t>h) až k)</w:t>
            </w:r>
          </w:p>
        </w:tc>
        <w:tc>
          <w:tcPr>
            <w:tcW w:w="3003" w:type="dxa"/>
          </w:tcPr>
          <w:p>
            <w:pPr>
              <w:pStyle w:val="TableParagraph"/>
              <w:ind w:right="234"/>
              <w:rPr>
                <w:sz w:val="20"/>
              </w:rPr>
            </w:pPr>
            <w:r>
              <w:rPr>
                <w:sz w:val="20"/>
              </w:rPr>
              <w:t>Nevedení účetnictví v souladu s ust. Smlouvy</w:t>
            </w:r>
          </w:p>
        </w:tc>
        <w:tc>
          <w:tcPr>
            <w:tcW w:w="382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Finanční oprava 0,1-25% z celkové částky podpory.</w:t>
            </w:r>
          </w:p>
        </w:tc>
      </w:tr>
      <w:tr>
        <w:trPr>
          <w:trHeight w:val="600" w:hRule="exact"/>
        </w:trPr>
        <w:tc>
          <w:tcPr>
            <w:tcW w:w="455" w:type="dxa"/>
          </w:tcPr>
          <w:p>
            <w:pPr>
              <w:pStyle w:val="TableParagraph"/>
              <w:spacing w:line="240" w:lineRule="auto" w:before="1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820" w:type="dxa"/>
          </w:tcPr>
          <w:p>
            <w:pPr>
              <w:pStyle w:val="TableParagraph"/>
              <w:spacing w:line="253" w:lineRule="exact" w:before="19"/>
              <w:rPr>
                <w:sz w:val="20"/>
              </w:rPr>
            </w:pPr>
            <w:r>
              <w:rPr>
                <w:sz w:val="20"/>
              </w:rPr>
              <w:t>Čl. IV. odst. 1 písm.</w:t>
            </w:r>
          </w:p>
          <w:p>
            <w:pPr>
              <w:pStyle w:val="TableParagraph"/>
              <w:spacing w:line="253" w:lineRule="exact" w:before="0"/>
              <w:rPr>
                <w:sz w:val="20"/>
              </w:rPr>
            </w:pPr>
            <w:r>
              <w:rPr>
                <w:sz w:val="20"/>
              </w:rPr>
              <w:t>l) a o)</w:t>
            </w:r>
          </w:p>
        </w:tc>
        <w:tc>
          <w:tcPr>
            <w:tcW w:w="3003" w:type="dxa"/>
          </w:tcPr>
          <w:p>
            <w:pPr>
              <w:pStyle w:val="TableParagraph"/>
              <w:ind w:right="67"/>
              <w:rPr>
                <w:sz w:val="20"/>
              </w:rPr>
            </w:pPr>
            <w:r>
              <w:rPr>
                <w:sz w:val="20"/>
              </w:rPr>
              <w:t>Nesplnění povinností spojených s kontrolou</w:t>
            </w:r>
          </w:p>
        </w:tc>
        <w:tc>
          <w:tcPr>
            <w:tcW w:w="3822" w:type="dxa"/>
          </w:tcPr>
          <w:p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Finanční oprava ve výši 1% z celkové částky podpory</w:t>
            </w:r>
          </w:p>
        </w:tc>
      </w:tr>
      <w:tr>
        <w:trPr>
          <w:trHeight w:val="840" w:hRule="exact"/>
        </w:trPr>
        <w:tc>
          <w:tcPr>
            <w:tcW w:w="455" w:type="dxa"/>
          </w:tcPr>
          <w:p>
            <w:pPr>
              <w:pStyle w:val="TableParagraph"/>
              <w:spacing w:line="240" w:lineRule="auto" w:before="1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820" w:type="dxa"/>
          </w:tcPr>
          <w:p>
            <w:pPr>
              <w:pStyle w:val="TableParagraph"/>
              <w:spacing w:line="253" w:lineRule="exact" w:before="19"/>
              <w:rPr>
                <w:sz w:val="20"/>
              </w:rPr>
            </w:pPr>
            <w:r>
              <w:rPr>
                <w:sz w:val="20"/>
              </w:rPr>
              <w:t>Čl. IV. Odst. 1 písm.</w:t>
            </w:r>
          </w:p>
          <w:p>
            <w:pPr>
              <w:pStyle w:val="TableParagraph"/>
              <w:spacing w:line="253" w:lineRule="exact" w:before="0"/>
              <w:rPr>
                <w:sz w:val="20"/>
              </w:rPr>
            </w:pPr>
            <w:r>
              <w:rPr>
                <w:sz w:val="20"/>
              </w:rPr>
              <w:t>m) a n)</w:t>
            </w:r>
          </w:p>
        </w:tc>
        <w:tc>
          <w:tcPr>
            <w:tcW w:w="300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Nesplnění některé z povinností spojených s uchováváním dokumentů</w:t>
            </w:r>
          </w:p>
        </w:tc>
        <w:tc>
          <w:tcPr>
            <w:tcW w:w="382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Finanční oprava 0,1-25% z celkové částky podpory</w:t>
            </w:r>
          </w:p>
        </w:tc>
      </w:tr>
    </w:tbl>
    <w:p>
      <w:pPr>
        <w:spacing w:after="0"/>
        <w:rPr>
          <w:sz w:val="20"/>
        </w:rPr>
        <w:sectPr>
          <w:headerReference w:type="default" r:id="rId5"/>
          <w:footerReference w:type="default" r:id="rId6"/>
          <w:type w:val="continuous"/>
          <w:pgSz w:w="11900" w:h="16840"/>
          <w:pgMar w:header="817" w:footer="1789" w:top="1960" w:bottom="1980" w:left="1000" w:right="840"/>
          <w:pgNumType w:start="1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7"/>
        </w:rPr>
      </w:pPr>
    </w:p>
    <w:tbl>
      <w:tblPr>
        <w:tblW w:w="0" w:type="auto"/>
        <w:jc w:val="left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5"/>
        <w:gridCol w:w="1820"/>
        <w:gridCol w:w="3003"/>
        <w:gridCol w:w="3822"/>
      </w:tblGrid>
      <w:tr>
        <w:trPr>
          <w:trHeight w:val="1080" w:hRule="exact"/>
        </w:trPr>
        <w:tc>
          <w:tcPr>
            <w:tcW w:w="455" w:type="dxa"/>
          </w:tcPr>
          <w:p>
            <w:pPr>
              <w:pStyle w:val="TableParagraph"/>
              <w:spacing w:line="240" w:lineRule="auto" w:before="1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820" w:type="dxa"/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sz w:val="20"/>
              </w:rPr>
              <w:t>Čl. IV. odst. 1 písm. p)</w:t>
            </w:r>
          </w:p>
        </w:tc>
        <w:tc>
          <w:tcPr>
            <w:tcW w:w="300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Nesplnění povinnosti předkládat Fondu průběžné a závěrečné monitorovací zprávy projektu</w:t>
            </w:r>
          </w:p>
        </w:tc>
        <w:tc>
          <w:tcPr>
            <w:tcW w:w="382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 30 dnů bez finanční opravy, dále finanční oprava 0,1% z celkové částky podpory za každou zprávu nedodanou ve stanoveném termínu</w:t>
            </w:r>
          </w:p>
        </w:tc>
      </w:tr>
      <w:tr>
        <w:trPr>
          <w:trHeight w:val="1080" w:hRule="exact"/>
        </w:trPr>
        <w:tc>
          <w:tcPr>
            <w:tcW w:w="455" w:type="dxa"/>
          </w:tcPr>
          <w:p>
            <w:pPr>
              <w:pStyle w:val="TableParagraph"/>
              <w:spacing w:line="240" w:lineRule="auto" w:before="1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820" w:type="dxa"/>
          </w:tcPr>
          <w:p>
            <w:pPr>
              <w:pStyle w:val="TableParagraph"/>
              <w:spacing w:line="253" w:lineRule="exact" w:before="19"/>
              <w:rPr>
                <w:sz w:val="20"/>
              </w:rPr>
            </w:pPr>
            <w:r>
              <w:rPr>
                <w:sz w:val="20"/>
              </w:rPr>
              <w:t>Čl. IV. odst. 1 písm.</w:t>
            </w:r>
          </w:p>
          <w:p>
            <w:pPr>
              <w:pStyle w:val="TableParagraph"/>
              <w:spacing w:line="253" w:lineRule="exact" w:before="0"/>
              <w:rPr>
                <w:sz w:val="20"/>
              </w:rPr>
            </w:pPr>
            <w:r>
              <w:rPr>
                <w:sz w:val="20"/>
              </w:rPr>
              <w:t>q) a r)</w:t>
            </w:r>
          </w:p>
        </w:tc>
        <w:tc>
          <w:tcPr>
            <w:tcW w:w="3003" w:type="dxa"/>
          </w:tcPr>
          <w:p>
            <w:pPr>
              <w:pStyle w:val="TableParagraph"/>
              <w:spacing w:line="240" w:lineRule="auto" w:before="19"/>
              <w:rPr>
                <w:sz w:val="20"/>
              </w:rPr>
            </w:pPr>
            <w:r>
              <w:rPr>
                <w:sz w:val="20"/>
              </w:rPr>
              <w:t>Nesplnění informační povinnosti</w:t>
            </w:r>
          </w:p>
        </w:tc>
        <w:tc>
          <w:tcPr>
            <w:tcW w:w="3822" w:type="dxa"/>
          </w:tcPr>
          <w:p>
            <w:pPr>
              <w:pStyle w:val="TableParagraph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Finanční oprava 0,1-25% z celkové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částky podpory s výjimkou informace o rozsahu prací (vícepráce), které bude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postiženo</w:t>
            </w:r>
          </w:p>
          <w:p>
            <w:pPr>
              <w:pStyle w:val="TableParagraph"/>
              <w:spacing w:line="242" w:lineRule="exact" w:before="0"/>
              <w:jc w:val="both"/>
              <w:rPr>
                <w:sz w:val="20"/>
              </w:rPr>
            </w:pPr>
            <w:r>
              <w:rPr>
                <w:sz w:val="20"/>
              </w:rPr>
              <w:t>v souladu čl. VIII. bodu 1.2 Smlouvy</w:t>
            </w:r>
          </w:p>
        </w:tc>
      </w:tr>
      <w:tr>
        <w:trPr>
          <w:trHeight w:val="1560" w:hRule="exact"/>
        </w:trPr>
        <w:tc>
          <w:tcPr>
            <w:tcW w:w="455" w:type="dxa"/>
          </w:tcPr>
          <w:p>
            <w:pPr>
              <w:pStyle w:val="TableParagraph"/>
              <w:spacing w:line="240" w:lineRule="auto" w:before="1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820" w:type="dxa"/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sz w:val="20"/>
              </w:rPr>
              <w:t>Čl. IV. odst. 1 písm. v)</w:t>
            </w:r>
          </w:p>
        </w:tc>
        <w:tc>
          <w:tcPr>
            <w:tcW w:w="3003" w:type="dxa"/>
          </w:tcPr>
          <w:p>
            <w:pPr>
              <w:pStyle w:val="TableParagraph"/>
              <w:ind w:right="67"/>
              <w:rPr>
                <w:sz w:val="20"/>
              </w:rPr>
            </w:pPr>
            <w:r>
              <w:rPr>
                <w:sz w:val="20"/>
              </w:rPr>
              <w:t>Nesplnění některé z povinností souvisejících s propagací projektu</w:t>
            </w:r>
          </w:p>
        </w:tc>
        <w:tc>
          <w:tcPr>
            <w:tcW w:w="3822" w:type="dxa"/>
          </w:tcPr>
          <w:p>
            <w:pPr>
              <w:pStyle w:val="TableParagraph"/>
              <w:ind w:right="73"/>
              <w:rPr>
                <w:sz w:val="20"/>
              </w:rPr>
            </w:pPr>
            <w:r>
              <w:rPr>
                <w:sz w:val="20"/>
              </w:rPr>
              <w:t>Finanční oprava 0,1-1,2% z celkové částky podpory ke dni udělení sankce dle Metodického pokynu pro publicitu a komunikaci Evropských strukturálních a investičních fondů v programovém období 2014 - 2020</w:t>
            </w:r>
          </w:p>
        </w:tc>
      </w:tr>
    </w:tbl>
    <w:sectPr>
      <w:pgSz w:w="11900" w:h="16840"/>
      <w:pgMar w:header="817" w:footer="1789" w:top="1960" w:bottom="1980" w:left="100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2pt;margin-top:738.5672pt;width:456.65pt;height:31.85pt;mso-position-horizontal-relative:page;mso-position-vertical-relative:page;z-index:-5512" type="#_x0000_t202" filled="false" stroked="false">
          <v:textbox inset="0,0,0,0">
            <w:txbxContent>
              <w:p>
                <w:pPr>
                  <w:pStyle w:val="BodyText"/>
                  <w:spacing w:line="202" w:lineRule="exact" w:before="20"/>
                  <w:ind w:left="20"/>
                </w:pPr>
                <w:r>
                  <w:rPr>
                    <w:color w:val="666666"/>
                  </w:rPr>
                  <w:t>Státní fond životního prostředí ČR, sídlo: Kaplanova 1931/1, 148 00 Praha 11</w:t>
                </w:r>
              </w:p>
              <w:p>
                <w:pPr>
                  <w:pStyle w:val="BodyText"/>
                  <w:spacing w:line="192" w:lineRule="exact" w:before="8"/>
                  <w:ind w:left="20" w:right="-10"/>
                </w:pPr>
                <w:r>
                  <w:rPr>
                    <w:color w:val="666666"/>
                  </w:rPr>
                  <w:t>Korespondenční a kontaktní adresa: Olbrachtova 2006/9, 140 00 Praha 4, T: +420 267 994 300, F: +420 272 936 585, IČ: 00020729 </w:t>
                </w:r>
                <w:hyperlink r:id="rId1">
                  <w:r>
                    <w:rPr>
                      <w:color w:val="666666"/>
                    </w:rPr>
                    <w:t>www.sfzp.cz,</w:t>
                  </w:r>
                </w:hyperlink>
                <w:r>
                  <w:rPr>
                    <w:color w:val="666666"/>
                  </w:rPr>
                  <w:t> </w:t>
                </w:r>
                <w:hyperlink r:id="rId2">
                  <w:r>
                    <w:rPr>
                      <w:color w:val="666666"/>
                    </w:rPr>
                    <w:t>dotazy@sfzp.cz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40.690002pt;margin-top:773.367188pt;width:8.35pt;height:12.65pt;mso-position-horizontal-relative:page;mso-position-vertical-relative:page;z-index:-548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40"/>
                </w:pPr>
                <w:r>
                  <w:rPr/>
                  <w:fldChar w:fldCharType="begin"/>
                </w:r>
                <w:r>
                  <w:rPr>
                    <w:color w:val="666666"/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9919">
          <wp:simplePos x="0" y="0"/>
          <wp:positionH relativeFrom="page">
            <wp:posOffset>698500</wp:posOffset>
          </wp:positionH>
          <wp:positionV relativeFrom="page">
            <wp:posOffset>518922</wp:posOffset>
          </wp:positionV>
          <wp:extent cx="2540000" cy="725677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40000" cy="7256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)"/>
      <w:lvlJc w:val="left"/>
      <w:pPr>
        <w:ind w:left="55" w:hanging="217"/>
        <w:jc w:val="left"/>
      </w:pPr>
      <w:rPr>
        <w:rFonts w:hint="default" w:ascii="Segoe UI" w:hAnsi="Segoe UI" w:eastAsia="Segoe UI" w:cs="Segoe UI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435" w:hanging="2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10" w:hanging="2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5" w:hanging="2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60" w:hanging="2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36" w:hanging="2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11" w:hanging="2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86" w:hanging="2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061" w:hanging="217"/>
      </w:pPr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55" w:hanging="217"/>
        <w:jc w:val="left"/>
      </w:pPr>
      <w:rPr>
        <w:rFonts w:hint="default" w:ascii="Segoe UI" w:hAnsi="Segoe UI" w:eastAsia="Segoe UI" w:cs="Segoe UI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53" w:hanging="2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46" w:hanging="2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39" w:hanging="2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33" w:hanging="2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26" w:hanging="2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19" w:hanging="2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13" w:hanging="2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06" w:hanging="217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36"/>
      <w:ind w:left="460"/>
      <w:outlineLvl w:val="1"/>
    </w:pPr>
    <w:rPr>
      <w:rFonts w:ascii="Segoe UI" w:hAnsi="Segoe UI" w:eastAsia="Segoe UI" w:cs="Segoe UI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43" w:line="240" w:lineRule="exact"/>
      <w:ind w:left="55"/>
    </w:pPr>
    <w:rPr>
      <w:rFonts w:ascii="Segoe UI" w:hAnsi="Segoe UI" w:eastAsia="Segoe UI" w:cs="Segoe U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zp.cz/" TargetMode="External"/><Relationship Id="rId2" Type="http://schemas.openxmlformats.org/officeDocument/2006/relationships/hyperlink" Target="mailto:dotazy@sfzp.cz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2020-05-18T14:17:10Z</dcterms:created>
  <dcterms:modified xsi:type="dcterms:W3CDTF">2020-05-18T14:17:10Z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LastSaved">
    <vt:filetime>2020-05-18T00:00:00Z</vt:filetime>
  </property>
</Properties>
</file>