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line="384" w:lineRule="exact" w:before="287"/>
        <w:ind w:left="460" w:right="0" w:firstLine="0"/>
        <w:jc w:val="left"/>
        <w:rPr>
          <w:b/>
          <w:sz w:val="32"/>
        </w:rPr>
      </w:pPr>
      <w:r>
        <w:rPr>
          <w:b/>
          <w:sz w:val="32"/>
        </w:rPr>
        <w:t>Stanovení finančních oprav, které se použijí pro výdaje spolufinancované z prostředků SFŽP ČR v případě porušení povinností při zadávání zakázek / veřejných zakázek</w:t>
      </w:r>
    </w:p>
    <w:p>
      <w:pPr>
        <w:pStyle w:val="BodyText"/>
        <w:rPr>
          <w:b/>
          <w:sz w:val="42"/>
        </w:rPr>
      </w:pPr>
    </w:p>
    <w:p>
      <w:pPr>
        <w:tabs>
          <w:tab w:pos="5009" w:val="left" w:leader="none"/>
        </w:tabs>
        <w:spacing w:before="286"/>
        <w:ind w:left="460" w:right="0" w:firstLine="0"/>
        <w:jc w:val="left"/>
        <w:rPr>
          <w:sz w:val="18"/>
        </w:rPr>
      </w:pPr>
      <w:r>
        <w:rPr>
          <w:sz w:val="18"/>
        </w:rPr>
        <w:t>Evidenční</w:t>
      </w:r>
      <w:r>
        <w:rPr>
          <w:spacing w:val="-2"/>
          <w:sz w:val="18"/>
        </w:rPr>
        <w:t> </w:t>
      </w:r>
      <w:r>
        <w:rPr>
          <w:sz w:val="18"/>
        </w:rPr>
        <w:t>číslo:</w:t>
        <w:tab/>
        <w:t>2017010005</w:t>
      </w:r>
    </w:p>
    <w:p>
      <w:pPr>
        <w:tabs>
          <w:tab w:pos="5009" w:val="left" w:leader="none"/>
        </w:tabs>
        <w:spacing w:before="36"/>
        <w:ind w:left="460" w:right="0" w:firstLine="0"/>
        <w:jc w:val="left"/>
        <w:rPr>
          <w:sz w:val="18"/>
        </w:rPr>
      </w:pPr>
      <w:r>
        <w:rPr>
          <w:sz w:val="18"/>
        </w:rPr>
        <w:t>Příjemce</w:t>
      </w:r>
      <w:r>
        <w:rPr>
          <w:spacing w:val="-2"/>
          <w:sz w:val="18"/>
        </w:rPr>
        <w:t> </w:t>
      </w:r>
      <w:r>
        <w:rPr>
          <w:sz w:val="18"/>
        </w:rPr>
        <w:t>podpory:</w:t>
        <w:tab/>
        <w:t>Výzkumný ústav organických syntéz</w:t>
      </w:r>
      <w:r>
        <w:rPr>
          <w:spacing w:val="-8"/>
          <w:sz w:val="18"/>
        </w:rPr>
        <w:t> </w:t>
      </w:r>
      <w:r>
        <w:rPr>
          <w:sz w:val="18"/>
        </w:rPr>
        <w:t>a.s.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0" w:after="0"/>
        <w:ind w:left="915" w:right="598" w:hanging="455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finanční opravy za </w:t>
      </w:r>
      <w:r>
        <w:rPr>
          <w:spacing w:val="8"/>
          <w:sz w:val="20"/>
        </w:rPr>
        <w:t>porušení </w:t>
      </w:r>
      <w:r>
        <w:rPr>
          <w:spacing w:val="9"/>
          <w:sz w:val="20"/>
        </w:rPr>
        <w:t>rozpočtové </w:t>
      </w:r>
      <w:r>
        <w:rPr>
          <w:spacing w:val="8"/>
          <w:sz w:val="20"/>
        </w:rPr>
        <w:t>kázně </w:t>
      </w:r>
      <w:r>
        <w:rPr>
          <w:sz w:val="20"/>
        </w:rPr>
        <w:t>v </w:t>
      </w:r>
      <w:r>
        <w:rPr>
          <w:spacing w:val="8"/>
          <w:sz w:val="20"/>
        </w:rPr>
        <w:t>případě </w:t>
      </w:r>
      <w:r>
        <w:rPr>
          <w:spacing w:val="9"/>
          <w:sz w:val="20"/>
        </w:rPr>
        <w:t>pochybení, </w:t>
      </w:r>
      <w:r>
        <w:rPr>
          <w:spacing w:val="8"/>
          <w:sz w:val="20"/>
        </w:rPr>
        <w:t>které spočívá </w:t>
      </w:r>
      <w:r>
        <w:rPr>
          <w:sz w:val="20"/>
        </w:rPr>
        <w:t>v </w:t>
      </w:r>
      <w:r>
        <w:rPr>
          <w:spacing w:val="8"/>
          <w:sz w:val="20"/>
        </w:rPr>
        <w:t>porušení </w:t>
      </w:r>
      <w:r>
        <w:rPr>
          <w:spacing w:val="10"/>
          <w:sz w:val="20"/>
        </w:rPr>
        <w:t>povinností </w:t>
      </w:r>
      <w:r>
        <w:rPr>
          <w:spacing w:val="3"/>
          <w:sz w:val="20"/>
        </w:rPr>
        <w:t>stanovených </w:t>
      </w:r>
      <w:r>
        <w:rPr>
          <w:sz w:val="20"/>
        </w:rPr>
        <w:t>v </w:t>
      </w:r>
      <w:r>
        <w:rPr>
          <w:spacing w:val="2"/>
          <w:sz w:val="20"/>
        </w:rPr>
        <w:t>čl. IV. </w:t>
      </w:r>
      <w:r>
        <w:rPr>
          <w:spacing w:val="3"/>
          <w:sz w:val="20"/>
        </w:rPr>
        <w:t>odst. </w:t>
      </w:r>
      <w:r>
        <w:rPr>
          <w:sz w:val="20"/>
        </w:rPr>
        <w:t>1 </w:t>
      </w:r>
      <w:r>
        <w:rPr>
          <w:spacing w:val="3"/>
          <w:sz w:val="20"/>
        </w:rPr>
        <w:t>písm. </w:t>
      </w:r>
      <w:r>
        <w:rPr>
          <w:sz w:val="20"/>
        </w:rPr>
        <w:t>s) </w:t>
      </w:r>
      <w:r>
        <w:rPr>
          <w:spacing w:val="3"/>
          <w:sz w:val="20"/>
        </w:rPr>
        <w:t>Smlouvy </w:t>
      </w:r>
      <w:r>
        <w:rPr>
          <w:spacing w:val="2"/>
          <w:sz w:val="20"/>
        </w:rPr>
        <w:t>při </w:t>
      </w:r>
      <w:r>
        <w:rPr>
          <w:spacing w:val="3"/>
          <w:sz w:val="20"/>
        </w:rPr>
        <w:t>zadávání zakázek/veřejných zakázek </w:t>
      </w:r>
      <w:r>
        <w:rPr>
          <w:spacing w:val="4"/>
          <w:sz w:val="20"/>
        </w:rPr>
        <w:t>(dále </w:t>
      </w:r>
      <w:r>
        <w:rPr>
          <w:sz w:val="20"/>
        </w:rPr>
        <w:t>souhrnně jen „veřejné zakázky“), zejména v nedodržení postupu podle zákona č. 134/2016 Sb.,    o </w:t>
      </w:r>
      <w:r>
        <w:rPr>
          <w:spacing w:val="2"/>
          <w:sz w:val="20"/>
        </w:rPr>
        <w:t>zadávání veřejných zakázek, </w:t>
      </w:r>
      <w:r>
        <w:rPr>
          <w:sz w:val="20"/>
        </w:rPr>
        <w:t>ve </w:t>
      </w:r>
      <w:r>
        <w:rPr>
          <w:spacing w:val="2"/>
          <w:sz w:val="20"/>
        </w:rPr>
        <w:t>znění účinném </w:t>
      </w:r>
      <w:r>
        <w:rPr>
          <w:sz w:val="20"/>
        </w:rPr>
        <w:t>v </w:t>
      </w:r>
      <w:r>
        <w:rPr>
          <w:spacing w:val="2"/>
          <w:sz w:val="20"/>
        </w:rPr>
        <w:t>době zahájení zadávacího řízení, </w:t>
      </w:r>
      <w:r>
        <w:rPr>
          <w:spacing w:val="3"/>
          <w:sz w:val="20"/>
        </w:rPr>
        <w:t>případně </w:t>
      </w:r>
      <w:r>
        <w:rPr>
          <w:spacing w:val="2"/>
          <w:sz w:val="20"/>
        </w:rPr>
        <w:t>zákona </w:t>
      </w:r>
      <w:r>
        <w:rPr>
          <w:sz w:val="20"/>
        </w:rPr>
        <w:t>č. </w:t>
      </w:r>
      <w:r>
        <w:rPr>
          <w:spacing w:val="2"/>
          <w:sz w:val="20"/>
        </w:rPr>
        <w:t>137/2006 Sb., </w:t>
      </w:r>
      <w:r>
        <w:rPr>
          <w:sz w:val="20"/>
        </w:rPr>
        <w:t>o </w:t>
      </w:r>
      <w:r>
        <w:rPr>
          <w:spacing w:val="2"/>
          <w:sz w:val="20"/>
        </w:rPr>
        <w:t>veřejných zakázkách, </w:t>
      </w:r>
      <w:r>
        <w:rPr>
          <w:sz w:val="20"/>
        </w:rPr>
        <w:t>ve </w:t>
      </w:r>
      <w:r>
        <w:rPr>
          <w:spacing w:val="2"/>
          <w:sz w:val="20"/>
        </w:rPr>
        <w:t>znění účinném </w:t>
      </w:r>
      <w:r>
        <w:rPr>
          <w:sz w:val="20"/>
        </w:rPr>
        <w:t>v </w:t>
      </w:r>
      <w:r>
        <w:rPr>
          <w:spacing w:val="2"/>
          <w:sz w:val="20"/>
        </w:rPr>
        <w:t>době zahájení </w:t>
      </w:r>
      <w:r>
        <w:rPr>
          <w:spacing w:val="3"/>
          <w:sz w:val="20"/>
        </w:rPr>
        <w:t>zadávacího řízení (dále souhrnně </w:t>
      </w:r>
      <w:r>
        <w:rPr>
          <w:spacing w:val="2"/>
          <w:sz w:val="20"/>
        </w:rPr>
        <w:t>jen </w:t>
      </w:r>
      <w:r>
        <w:rPr>
          <w:spacing w:val="3"/>
          <w:sz w:val="20"/>
        </w:rPr>
        <w:t>„zákon“) a/nebo nedodržení postupu stanoveného </w:t>
      </w:r>
      <w:r>
        <w:rPr>
          <w:sz w:val="20"/>
        </w:rPr>
        <w:t>v </w:t>
      </w:r>
      <w:r>
        <w:rPr>
          <w:spacing w:val="3"/>
          <w:sz w:val="20"/>
        </w:rPr>
        <w:t>Pokynech </w:t>
      </w:r>
      <w:r>
        <w:rPr>
          <w:spacing w:val="4"/>
          <w:sz w:val="20"/>
        </w:rPr>
        <w:t>pro </w:t>
      </w:r>
      <w:r>
        <w:rPr>
          <w:sz w:val="20"/>
        </w:rPr>
        <w:t>zadávání veřejných zakázek v OPŽP 2014 – 2020, ve znění účinném v době zahájení výběrového / zadávacího řízení (dále jen „Pokyny OPŽP“), případně v dokumentu Zadávání veřejných zakázek   v OPŽP 2014 – 2020, ve znění účinném v době zahájení výběrového / zadávacího řízení (dále</w:t>
      </w:r>
      <w:r>
        <w:rPr>
          <w:spacing w:val="3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42" w:lineRule="exact"/>
        <w:ind w:left="915"/>
      </w:pPr>
      <w:r>
        <w:rPr/>
        <w:t>„Zadávání VZ v OPŽP“).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18" w:after="0"/>
        <w:ind w:left="915" w:right="616" w:hanging="455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37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20" w:after="0"/>
        <w:ind w:left="915" w:right="617" w:hanging="455"/>
        <w:jc w:val="both"/>
        <w:rPr>
          <w:sz w:val="20"/>
        </w:rPr>
      </w:pPr>
      <w:r>
        <w:rPr>
          <w:sz w:val="20"/>
        </w:rPr>
        <w:t>Finanční oprava bude vždy stanovena paušální sazbou dle níže uvedených typů porušení a sazeb finančních</w:t>
      </w:r>
      <w:r>
        <w:rPr>
          <w:spacing w:val="-2"/>
          <w:sz w:val="20"/>
        </w:rPr>
        <w:t> </w:t>
      </w:r>
      <w:r>
        <w:rPr>
          <w:sz w:val="20"/>
        </w:rPr>
        <w:t>oprav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20" w:after="0"/>
        <w:ind w:left="915" w:right="616" w:hanging="455"/>
        <w:jc w:val="both"/>
        <w:rPr>
          <w:sz w:val="20"/>
        </w:rPr>
      </w:pPr>
      <w:r>
        <w:rPr>
          <w:sz w:val="20"/>
        </w:rPr>
        <w:t>Výše finanční opravy se vypočte z částky, která byla nebo má být poskytnuta z prostředků SFŽP ČR (tj. z částky dotace) v souvislosti s veřejnou zakázkou, u které se porušení  </w:t>
      </w:r>
      <w:r>
        <w:rPr>
          <w:spacing w:val="2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20" w:after="0"/>
        <w:ind w:left="915" w:right="610" w:hanging="455"/>
        <w:jc w:val="both"/>
        <w:rPr>
          <w:sz w:val="20"/>
        </w:rPr>
      </w:pPr>
      <w:r>
        <w:rPr>
          <w:sz w:val="20"/>
        </w:rPr>
        <w:t>V </w:t>
      </w:r>
      <w:r>
        <w:rPr>
          <w:spacing w:val="5"/>
          <w:sz w:val="20"/>
        </w:rPr>
        <w:t>případě, </w:t>
      </w:r>
      <w:r>
        <w:rPr>
          <w:spacing w:val="3"/>
          <w:sz w:val="20"/>
        </w:rPr>
        <w:t>že </w:t>
      </w:r>
      <w:r>
        <w:rPr>
          <w:sz w:val="20"/>
        </w:rPr>
        <w:t>u </w:t>
      </w:r>
      <w:r>
        <w:rPr>
          <w:spacing w:val="5"/>
          <w:sz w:val="20"/>
        </w:rPr>
        <w:t>veřejné zakázky </w:t>
      </w:r>
      <w:r>
        <w:rPr>
          <w:spacing w:val="4"/>
          <w:sz w:val="20"/>
        </w:rPr>
        <w:t>bude </w:t>
      </w:r>
      <w:r>
        <w:rPr>
          <w:spacing w:val="5"/>
          <w:sz w:val="20"/>
        </w:rPr>
        <w:t>identifikováno </w:t>
      </w:r>
      <w:r>
        <w:rPr>
          <w:spacing w:val="4"/>
          <w:sz w:val="20"/>
        </w:rPr>
        <w:t>více </w:t>
      </w:r>
      <w:r>
        <w:rPr>
          <w:spacing w:val="5"/>
          <w:sz w:val="20"/>
        </w:rPr>
        <w:t>porušení, </w:t>
      </w:r>
      <w:r>
        <w:rPr>
          <w:spacing w:val="4"/>
          <w:sz w:val="20"/>
        </w:rPr>
        <w:t>výše </w:t>
      </w:r>
      <w:r>
        <w:rPr>
          <w:spacing w:val="5"/>
          <w:sz w:val="20"/>
        </w:rPr>
        <w:t>finančních </w:t>
      </w:r>
      <w:r>
        <w:rPr>
          <w:spacing w:val="6"/>
          <w:sz w:val="20"/>
        </w:rPr>
        <w:t>oprav stanovených </w:t>
      </w:r>
      <w:r>
        <w:rPr>
          <w:spacing w:val="3"/>
          <w:sz w:val="20"/>
        </w:rPr>
        <w:t>za  </w:t>
      </w:r>
      <w:r>
        <w:rPr>
          <w:spacing w:val="6"/>
          <w:sz w:val="20"/>
        </w:rPr>
        <w:t>jednotlivá porušení </w:t>
      </w:r>
      <w:r>
        <w:rPr>
          <w:spacing w:val="3"/>
          <w:sz w:val="20"/>
        </w:rPr>
        <w:t>se  </w:t>
      </w:r>
      <w:r>
        <w:rPr>
          <w:spacing w:val="6"/>
          <w:sz w:val="20"/>
        </w:rPr>
        <w:t>nesčítají </w:t>
      </w:r>
      <w:r>
        <w:rPr>
          <w:sz w:val="20"/>
        </w:rPr>
        <w:t>a  </w:t>
      </w:r>
      <w:r>
        <w:rPr>
          <w:spacing w:val="6"/>
          <w:sz w:val="20"/>
        </w:rPr>
        <w:t>výsledná finanční </w:t>
      </w:r>
      <w:r>
        <w:rPr>
          <w:spacing w:val="5"/>
          <w:sz w:val="20"/>
        </w:rPr>
        <w:t>oprava  </w:t>
      </w:r>
      <w:r>
        <w:rPr>
          <w:spacing w:val="3"/>
          <w:sz w:val="20"/>
        </w:rPr>
        <w:t>je  </w:t>
      </w:r>
      <w:r>
        <w:rPr>
          <w:spacing w:val="7"/>
          <w:sz w:val="20"/>
        </w:rPr>
        <w:t>stanovena </w:t>
      </w:r>
      <w:r>
        <w:rPr>
          <w:sz w:val="20"/>
        </w:rPr>
        <w:t>s </w:t>
      </w:r>
      <w:r>
        <w:rPr>
          <w:spacing w:val="6"/>
          <w:sz w:val="20"/>
        </w:rPr>
        <w:t>ohledem </w:t>
      </w:r>
      <w:r>
        <w:rPr>
          <w:spacing w:val="3"/>
          <w:sz w:val="20"/>
        </w:rPr>
        <w:t>na  </w:t>
      </w:r>
      <w:r>
        <w:rPr>
          <w:spacing w:val="6"/>
          <w:sz w:val="20"/>
        </w:rPr>
        <w:t>nejzávažnější</w:t>
      </w:r>
      <w:r>
        <w:rPr>
          <w:spacing w:val="55"/>
          <w:sz w:val="20"/>
        </w:rPr>
        <w:t> </w:t>
      </w:r>
      <w:r>
        <w:rPr>
          <w:spacing w:val="7"/>
          <w:sz w:val="20"/>
        </w:rPr>
        <w:t>porušení.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20" w:after="0"/>
        <w:ind w:left="915" w:right="608" w:hanging="455"/>
        <w:jc w:val="both"/>
        <w:rPr>
          <w:sz w:val="20"/>
        </w:rPr>
      </w:pPr>
      <w:r>
        <w:rPr>
          <w:spacing w:val="3"/>
          <w:sz w:val="20"/>
        </w:rPr>
        <w:t>Závažnost porušení </w:t>
      </w:r>
      <w:r>
        <w:rPr>
          <w:sz w:val="20"/>
        </w:rPr>
        <w:t>je </w:t>
      </w:r>
      <w:r>
        <w:rPr>
          <w:spacing w:val="3"/>
          <w:sz w:val="20"/>
        </w:rPr>
        <w:t>posuzována zejména </w:t>
      </w:r>
      <w:r>
        <w:rPr>
          <w:sz w:val="20"/>
        </w:rPr>
        <w:t>z </w:t>
      </w:r>
      <w:r>
        <w:rPr>
          <w:spacing w:val="3"/>
          <w:sz w:val="20"/>
        </w:rPr>
        <w:t>hlediska jeho skutečného nebo možného </w:t>
      </w:r>
      <w:r>
        <w:rPr>
          <w:spacing w:val="4"/>
          <w:sz w:val="20"/>
        </w:rPr>
        <w:t>vlivu </w:t>
      </w:r>
      <w:r>
        <w:rPr>
          <w:sz w:val="20"/>
        </w:rPr>
        <w:t>na výsledek výběrového / zadávacího řízení, z hlediska míry porušení základních zásad zadávání veřejných zakázek a z hlediska míry porušení principů hospodárnosti, efektivity a účelnosti </w:t>
      </w:r>
      <w:r>
        <w:rPr>
          <w:spacing w:val="2"/>
          <w:sz w:val="20"/>
        </w:rPr>
        <w:t>při </w:t>
      </w:r>
      <w:r>
        <w:rPr>
          <w:spacing w:val="8"/>
          <w:sz w:val="20"/>
        </w:rPr>
        <w:t>vynakládání veřejných prostředků. </w:t>
      </w:r>
      <w:r>
        <w:rPr>
          <w:spacing w:val="7"/>
          <w:sz w:val="20"/>
        </w:rPr>
        <w:t>Porušení </w:t>
      </w:r>
      <w:r>
        <w:rPr>
          <w:spacing w:val="4"/>
          <w:sz w:val="20"/>
        </w:rPr>
        <w:t>je  </w:t>
      </w:r>
      <w:r>
        <w:rPr>
          <w:spacing w:val="7"/>
          <w:sz w:val="20"/>
        </w:rPr>
        <w:t>nutno </w:t>
      </w:r>
      <w:r>
        <w:rPr>
          <w:spacing w:val="8"/>
          <w:sz w:val="20"/>
        </w:rPr>
        <w:t>považovat </w:t>
      </w:r>
      <w:r>
        <w:rPr>
          <w:spacing w:val="4"/>
          <w:sz w:val="20"/>
        </w:rPr>
        <w:t>za  </w:t>
      </w:r>
      <w:r>
        <w:rPr>
          <w:spacing w:val="7"/>
          <w:sz w:val="20"/>
        </w:rPr>
        <w:t>závažné </w:t>
      </w:r>
      <w:r>
        <w:rPr>
          <w:spacing w:val="9"/>
          <w:sz w:val="20"/>
        </w:rPr>
        <w:t>především    </w:t>
      </w:r>
      <w:r>
        <w:rPr>
          <w:sz w:val="20"/>
        </w:rPr>
        <w:t>v </w:t>
      </w:r>
      <w:r>
        <w:rPr>
          <w:spacing w:val="8"/>
          <w:sz w:val="20"/>
        </w:rPr>
        <w:t>případech, </w:t>
      </w:r>
      <w:r>
        <w:rPr>
          <w:spacing w:val="6"/>
          <w:sz w:val="20"/>
        </w:rPr>
        <w:t>kdy  </w:t>
      </w:r>
      <w:r>
        <w:rPr>
          <w:sz w:val="20"/>
        </w:rPr>
        <w:t>v </w:t>
      </w:r>
      <w:r>
        <w:rPr>
          <w:spacing w:val="6"/>
          <w:sz w:val="20"/>
        </w:rPr>
        <w:t>jeho  </w:t>
      </w:r>
      <w:r>
        <w:rPr>
          <w:spacing w:val="7"/>
          <w:sz w:val="20"/>
        </w:rPr>
        <w:t>důsledku došlo </w:t>
      </w:r>
      <w:r>
        <w:rPr>
          <w:sz w:val="20"/>
        </w:rPr>
        <w:t>k </w:t>
      </w:r>
      <w:r>
        <w:rPr>
          <w:spacing w:val="7"/>
          <w:sz w:val="20"/>
        </w:rPr>
        <w:t>odrazení </w:t>
      </w:r>
      <w:r>
        <w:rPr>
          <w:spacing w:val="8"/>
          <w:sz w:val="20"/>
        </w:rPr>
        <w:t>potenciálních dodavatelů </w:t>
      </w:r>
      <w:r>
        <w:rPr>
          <w:spacing w:val="4"/>
          <w:sz w:val="20"/>
        </w:rPr>
        <w:t>od  </w:t>
      </w:r>
      <w:r>
        <w:rPr>
          <w:spacing w:val="9"/>
          <w:sz w:val="20"/>
        </w:rPr>
        <w:t>účasti  </w:t>
      </w:r>
      <w:r>
        <w:rPr>
          <w:sz w:val="20"/>
        </w:rPr>
        <w:t>ve výběrovém / zadávacím řízení nebo k zadání veřejné zakázky jinému dodavateli, než kterému měla být</w:t>
      </w:r>
      <w:r>
        <w:rPr>
          <w:spacing w:val="17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40" w:lineRule="exact" w:before="120" w:after="0"/>
        <w:ind w:left="915" w:right="614" w:hanging="455"/>
        <w:jc w:val="both"/>
        <w:rPr>
          <w:sz w:val="20"/>
        </w:rPr>
      </w:pPr>
      <w:r>
        <w:rPr>
          <w:sz w:val="20"/>
        </w:rPr>
        <w:t>V </w:t>
      </w:r>
      <w:r>
        <w:rPr>
          <w:spacing w:val="2"/>
          <w:sz w:val="20"/>
        </w:rPr>
        <w:t>případě, </w:t>
      </w:r>
      <w:r>
        <w:rPr>
          <w:sz w:val="20"/>
        </w:rPr>
        <w:t>že </w:t>
      </w:r>
      <w:r>
        <w:rPr>
          <w:spacing w:val="2"/>
          <w:sz w:val="20"/>
        </w:rPr>
        <w:t>bude identifikováno porušení, které nelze podřadit </w:t>
      </w:r>
      <w:r>
        <w:rPr>
          <w:sz w:val="20"/>
        </w:rPr>
        <w:t>pod </w:t>
      </w:r>
      <w:r>
        <w:rPr>
          <w:spacing w:val="2"/>
          <w:sz w:val="20"/>
        </w:rPr>
        <w:t>konkrétní </w:t>
      </w:r>
      <w:r>
        <w:rPr>
          <w:sz w:val="20"/>
        </w:rPr>
        <w:t>typ </w:t>
      </w:r>
      <w:r>
        <w:rPr>
          <w:spacing w:val="3"/>
          <w:sz w:val="20"/>
        </w:rPr>
        <w:t>porušení </w:t>
      </w:r>
      <w:r>
        <w:rPr>
          <w:spacing w:val="2"/>
          <w:sz w:val="20"/>
        </w:rPr>
        <w:t>uvedený </w:t>
      </w:r>
      <w:r>
        <w:rPr>
          <w:sz w:val="20"/>
        </w:rPr>
        <w:t>v </w:t>
      </w:r>
      <w:r>
        <w:rPr>
          <w:spacing w:val="2"/>
          <w:sz w:val="20"/>
        </w:rPr>
        <w:t>tabulce níže, bude stanovena finanční oprava analogicky </w:t>
      </w:r>
      <w:r>
        <w:rPr>
          <w:sz w:val="20"/>
        </w:rPr>
        <w:t>dle </w:t>
      </w:r>
      <w:r>
        <w:rPr>
          <w:spacing w:val="2"/>
          <w:sz w:val="20"/>
        </w:rPr>
        <w:t>zásady  </w:t>
      </w:r>
      <w:r>
        <w:rPr>
          <w:spacing w:val="55"/>
          <w:sz w:val="20"/>
        </w:rPr>
        <w:t> </w:t>
      </w:r>
      <w:r>
        <w:rPr>
          <w:spacing w:val="3"/>
          <w:sz w:val="20"/>
        </w:rPr>
        <w:t>přiměřenosti.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336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2639" w:type="dxa"/>
          </w:tcPr>
          <w:p>
            <w:pPr>
              <w:pStyle w:val="TableParagraph"/>
              <w:spacing w:line="240" w:lineRule="auto"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Typ porušení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Popis porušení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Sazba finanční opravy</w:t>
            </w:r>
          </w:p>
        </w:tc>
      </w:tr>
    </w:tbl>
    <w:p>
      <w:pPr>
        <w:spacing w:after="0" w:line="240" w:lineRule="auto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817" w:footer="1789" w:top="1960" w:bottom="1980" w:left="1000" w:right="84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3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požadovaného způsobu zahájení řízení a jeho uveřejnění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 uveřejnění)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 OPŽP, příp. s dokumentem Zadávání VZ v OPŽP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 dodavatelům přístup k zadávané veřejné zakázce</w:t>
            </w:r>
          </w:p>
        </w:tc>
      </w:tr>
      <w:tr>
        <w:trPr>
          <w:trHeight w:val="84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 rozdělení předmětu veřejné zakázky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Zadavatel uměle rozdělil předmět veřejné zakázky tak, že tím došlo ke snížení předpokládané hodnoty pod finanční limity stanovené</w:t>
            </w:r>
          </w:p>
          <w:p>
            <w:pPr>
              <w:pStyle w:val="TableParagraph"/>
              <w:spacing w:before="0"/>
              <w:ind w:right="92"/>
              <w:rPr>
                <w:sz w:val="20"/>
              </w:rPr>
            </w:pPr>
            <w:r>
              <w:rPr>
                <w:sz w:val="20"/>
              </w:rPr>
              <w:t>v zákoně nebo v Pokynech OPŽP, příp. v dokumentu Zadávání VZ v OPŽP, čímž nebylo zajištěno řádné uveřejnění veřejné zakázky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>
        <w:trPr>
          <w:trHeight w:val="16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 dodavatelům přístup k zadávané veřejné zakázce</w:t>
            </w:r>
          </w:p>
        </w:tc>
      </w:tr>
      <w:tr>
        <w:trPr>
          <w:trHeight w:val="156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 v písemné zprávě zadavatele neodůvodnil či toto odůvodnění nebylo dostatečné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108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"/>
              <w:ind w:right="65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vyždaovala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 stanovených</w:t>
            </w:r>
          </w:p>
          <w:p>
            <w:pPr>
              <w:pStyle w:val="TableParagraph"/>
              <w:spacing w:before="0"/>
              <w:ind w:right="92"/>
              <w:rPr>
                <w:sz w:val="20"/>
              </w:rPr>
            </w:pPr>
            <w:r>
              <w:rPr>
                <w:sz w:val="20"/>
              </w:rPr>
              <w:t>v zákoně nebo v Pokynech OPŽP, příp. v dokumentu Zadávání VZ v OPŽP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zadavatel v případě takové změny zadávacích podmínek, jejichž povaha to vyžadovala, přiměřeně tuto lhůtu neprodloužil.</w:t>
            </w:r>
          </w:p>
        </w:tc>
        <w:tc>
          <w:tcPr>
            <w:tcW w:w="3003" w:type="dxa"/>
          </w:tcPr>
          <w:p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 rovna nebo kratší než 5 dnů.</w:t>
            </w:r>
          </w:p>
        </w:tc>
      </w:tr>
      <w:tr>
        <w:trPr>
          <w:trHeight w:val="10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  <w:tr>
        <w:trPr>
          <w:trHeight w:val="276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"/>
              <w:ind w:right="282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 zadávacích podmínek, jejichž povaha to vyžadovala</w:t>
            </w:r>
          </w:p>
        </w:tc>
      </w:tr>
      <w:tr>
        <w:trPr>
          <w:trHeight w:val="8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132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 přičemž doba, ve které si ji mohou potenciální dodavatelé opatřit, je příliš krátká, či zadavatel jinak vytváří neodůvodněnou překážku pro řádnou hospodářskou soutěž.</w:t>
            </w:r>
          </w:p>
        </w:tc>
        <w:tc>
          <w:tcPr>
            <w:tcW w:w="3003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 nabídek méně než nebo 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rovna 50 % stanovené lhůty pro doručení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2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 méně než nebo 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rovna 80 % stanovené lhůty pro doručení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2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25 %, pokud je doba pro získání zadávací dokumentace rovna nebo nižší 5 dnům</w:t>
            </w:r>
          </w:p>
          <w:p>
            <w:pPr>
              <w:pStyle w:val="TableParagraph"/>
              <w:spacing w:before="0"/>
              <w:ind w:right="452"/>
              <w:rPr>
                <w:sz w:val="20"/>
              </w:rPr>
            </w:pPr>
            <w:r>
              <w:rPr>
                <w:sz w:val="20"/>
              </w:rPr>
              <w:t>nebo zadavatel vůbec neumožnil bezplatný, neomezený a přímý přístup k zadávací dokumentaci elektronickým způsobem</w:t>
            </w:r>
          </w:p>
        </w:tc>
      </w:tr>
      <w:tr>
        <w:trPr>
          <w:trHeight w:val="60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 nedodržení stanovené lhůty pro poskytnutí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Zadavatel v průběhu výběrového/zadávacího řízení prodloužil lhůtu pro podání nabídek, předběžných nabídek nebo žádostí o účast, aniž by tuto skutečnost uveřejnil způsobem stanoveným v zákoně nebo v Pokynech OPŽP, příp.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v dokumentu Zadávání VZ</w:t>
            </w:r>
          </w:p>
          <w:p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řízení, nebo 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>
        <w:trPr>
          <w:trHeight w:val="38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1003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>
            <w:pPr>
              <w:pStyle w:val="TableParagraph"/>
              <w:spacing w:line="229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nebo pokud nedošlo</w:t>
            </w:r>
          </w:p>
          <w:p>
            <w:pPr>
              <w:pStyle w:val="TableParagraph"/>
              <w:spacing w:before="11"/>
              <w:ind w:right="181"/>
              <w:jc w:val="both"/>
              <w:rPr>
                <w:sz w:val="20"/>
              </w:rPr>
            </w:pPr>
            <w:r>
              <w:rPr>
                <w:sz w:val="20"/>
              </w:rPr>
              <w:t>k prodloužení lhůty pro podání nabídek v důsledku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</w:tbl>
    <w:p>
      <w:pPr>
        <w:spacing w:after="0"/>
        <w:jc w:val="both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3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 zákonné podmínky pro takový postup, nebo v průběhu jednacího řízení s uveřejněním nebo v soutěžním dialogu podstatně změnil zadávací podmínky.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00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 tohoto druhu řízení v zadávací dokumentaci, nebyl omezen počet potenciálních dodavatelů, kteří mohli podat nabídku nebo žádost o účast, a současně byl zajištěn rovný přístup ke všem účastníkům, kteří podali nabídku či žádost o účast</w:t>
            </w:r>
          </w:p>
        </w:tc>
      </w:tr>
      <w:tr>
        <w:trPr>
          <w:trHeight w:val="132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Nesoulad se stanovenými postupy pro elektronické nebo souhrnné zadávání veřejných zakázek</w:t>
            </w:r>
            <w:r>
              <w:rPr>
                <w:position w:val="7"/>
                <w:sz w:val="16"/>
              </w:rPr>
              <w:t>1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Nedodržení stanovených postupů pro elektronické nebo souhrnné zadávání veřejných zakázek (tj. rámcové dohody, dynamické nákupní systémy, elektronické aukce, elektronické katalogy, centralizované zadávání, společné zadávání</w:t>
            </w:r>
          </w:p>
          <w:p>
            <w:pPr>
              <w:pStyle w:val="TableParagraph"/>
              <w:spacing w:before="0"/>
              <w:ind w:right="49"/>
              <w:rPr>
                <w:sz w:val="20"/>
              </w:rPr>
            </w:pPr>
            <w:r>
              <w:rPr>
                <w:sz w:val="20"/>
              </w:rPr>
              <w:t>a postupy centrálních zadavatelů).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25 %, pokud následkem tohoto porušení bylo přidělení veřejné zakázky jinému účastníkovi, než který by zvítězil, pokud by se zadavatel pochybení nedopustil</w:t>
            </w:r>
          </w:p>
        </w:tc>
      </w:tr>
      <w:tr>
        <w:trPr>
          <w:trHeight w:val="120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/>
          </w:p>
        </w:tc>
      </w:tr>
      <w:tr>
        <w:trPr>
          <w:trHeight w:val="84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Neuvedení nebo nedostatečné vymezení požadavků na kvalifikaci nebo hodnotících kritérií a jejich vah, 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plnění veřejné zakázky nebo technické specifikace</w:t>
            </w:r>
          </w:p>
          <w:p>
            <w:pPr>
              <w:pStyle w:val="TableParagraph"/>
              <w:spacing w:before="0"/>
              <w:ind w:right="1225"/>
              <w:rPr>
                <w:sz w:val="20"/>
              </w:rPr>
            </w:pPr>
            <w:r>
              <w:rPr>
                <w:sz w:val="20"/>
              </w:rPr>
              <w:t>nebo neuveřejnění či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neposkytnutí vysvětlení objasňující či doplňující kvalifikační nebo hodnotící kritéria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Zadavatel neuvedl v oznámení o zahájení výběrového/zadávacího řízení požadavky na kvalifikaci, hodnotící kritéria (vč. jejich vah a jasného způsobu hodnocení nabídek), podmínky plnění veřejné zakázky nebo technické specifikace, případně tyto požadavky  nevymezil dostatečně určitě</w:t>
            </w:r>
          </w:p>
          <w:p>
            <w:pPr>
              <w:pStyle w:val="TableParagraph"/>
              <w:spacing w:before="0"/>
              <w:ind w:right="282"/>
              <w:rPr>
                <w:sz w:val="20"/>
              </w:rPr>
            </w:pPr>
            <w:r>
              <w:rPr>
                <w:sz w:val="20"/>
              </w:rPr>
              <w:t>nebo objasnění či doplnění kvalifikačních či hodnotících kritérií nebylo sděleno všem účastníkům, popř. tyto informace nebyly uveřejněny.</w:t>
            </w:r>
          </w:p>
        </w:tc>
        <w:tc>
          <w:tcPr>
            <w:tcW w:w="3003" w:type="dxa"/>
          </w:tcPr>
          <w:p>
            <w:pPr>
              <w:pStyle w:val="TableParagraph"/>
              <w:spacing w:line="253" w:lineRule="exact" w:before="19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k uveřejnění kvalifikačních nebo hodnotících kritérií a jejich vah</w:t>
            </w:r>
          </w:p>
        </w:tc>
      </w:tr>
      <w:tr>
        <w:trPr>
          <w:trHeight w:val="372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 nebo</w:t>
            </w:r>
          </w:p>
          <w:p>
            <w:pPr>
              <w:pStyle w:val="TableParagraph"/>
              <w:spacing w:before="0"/>
              <w:ind w:right="92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 určitě, což mohlo mít odrazující účinek na potenciální dodavatele, nebo vysvětlení objasňující či doplňující kvalifikační nebo hodnotící kritéria nebyla sdělena všem známým dodavatelům a/nebo nebyla uveřejněna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108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Stanovení diskriminačních kritérií pro vyloučení, požadavků na kvalifikaci dodavatelů, kritérií hodnocení nabídek, podmínek pro plnění veřejné zakázky nebo technických specifikací</w:t>
            </w:r>
          </w:p>
          <w:p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v rozporu se zákonem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 s Pokyny OPŽP, příp. s dokumentem Zadávání VZ v OPŽP, a to 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vztahu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 národním, regionálním nebo lokálním preferencím.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 vyloučení, požadavky na kvalifikaci dodavatelů, kritérií hodnocení nabídek, podmínek pro plnění veřejné zakázky nebo technických specifikací nutných pro účast ve výběrovém/zadávacím řízení ve vztahu k místu realizace (např.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případě požadavku na zkušenosti, zařízení, provozovnu atd. z určitého regionu či státu).</w:t>
            </w:r>
          </w:p>
        </w:tc>
        <w:tc>
          <w:tcPr>
            <w:tcW w:w="3003" w:type="dxa"/>
          </w:tcPr>
          <w:p>
            <w:pPr>
              <w:pStyle w:val="TableParagraph"/>
              <w:ind w:right="764"/>
              <w:jc w:val="both"/>
              <w:rPr>
                <w:sz w:val="20"/>
              </w:rPr>
            </w:pPr>
            <w:r>
              <w:rPr>
                <w:sz w:val="20"/>
              </w:rPr>
              <w:t>25 %, pokud mohlo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dojít k odrazení potenciálních dodavatelů od účasti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42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>
        <w:trPr>
          <w:trHeight w:val="240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>
        <w:trPr>
          <w:trHeight w:val="252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Stanovení diskriminačních kritérií pro vyloučení, požadavků na kvalifikaci dodavatelů, kritérií hodnocení nabídek, podmínek pro plnění veřejné zakázky nebo technických specifikací v rozporu se zákonem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 Pokyny OPŽP, příp. s dokumentem Zadávání VZ v OPŽP v ostatních aspektech než 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sz w:val="20"/>
              </w:rPr>
              <w:t>v předchozím bodu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 vyloučení, požadavky na kvalifikaci dodavatelů, kritérií hodnocení nabídek, podmínek pro plnění veřejné zakázky nebo technických specifikací nutných pro účast ve výběrovém/zadávacím řízení (např. požadavky bezprostředně nesouvisely s předmětem veřejné zakázky, nebo hodnotící kritéria nevyjadřovaly vztah užitné hodnoty a ceny).</w:t>
            </w:r>
          </w:p>
        </w:tc>
        <w:tc>
          <w:tcPr>
            <w:tcW w:w="3003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25 %, pokud stanovené podmínky zjevně neodpovídají předmětu veřejné zakázky nebo v případech, kdy toto omezení umožnilo účast pouze jednoho dodavatele a současně účast tohoto jednoho dodavatele není odůvodnitelná specifickým technickým charakterem předmětu veřejné zakázky</w:t>
            </w:r>
          </w:p>
        </w:tc>
      </w:tr>
      <w:tr>
        <w:trPr>
          <w:trHeight w:val="46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 přiměřené, nebo v případech, kdy kvalifikační kritéria byla užita jako hodnotící kritéria, nebo v případech stanovení technických podmínek prostřednictvím přímého nebo nepřímého odkazu na určité dodavatele, výrobky, patenty na vynálezy, užitné vzory, průmyslové vzory, ochranné známky nebo označení původu s výjimkou případů, kdy použití této specifikace se týká pouze doplňkové části veřejné zakázky a potenciální dopad na národní prostředky je pouze formální</w:t>
            </w:r>
          </w:p>
        </w:tc>
      </w:tr>
      <w:tr>
        <w:trPr>
          <w:trHeight w:val="132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 hospodářské soutěže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204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>
            <w:pPr>
              <w:pStyle w:val="TableParagraph"/>
              <w:spacing w:before="0"/>
              <w:ind w:right="92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 dodavatele od podání nabídky, předběžné nabídky či žádosti o účast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80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003" w:type="dxa"/>
          </w:tcPr>
          <w:p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Zadavatel omezil možnost využití poddodavatelů při realizaci veřejné zakázky např. procentuálně, a to bez relevantního odůvodnění tohoto omezení s ohledem na klíčové části veřejné zakázky.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396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39" w:type="dxa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Nedodržení či nesprávná aplikace kvalifikačních kritérií nebo technických či jiných zadávacích podmínek při posouzení a hodnocení nabídek či žádostí o účast</w:t>
            </w:r>
          </w:p>
        </w:tc>
        <w:tc>
          <w:tcPr>
            <w:tcW w:w="3003" w:type="dxa"/>
          </w:tcPr>
          <w:p>
            <w:pPr>
              <w:pStyle w:val="TableParagraph"/>
              <w:spacing w:line="253" w:lineRule="exact" w:before="19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>
            <w:pPr>
              <w:pStyle w:val="TableParagraph"/>
              <w:spacing w:before="11"/>
              <w:ind w:right="49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technické podmínky, požadavky na kvalifikaci, obchodní podmínky nebo jiné podmínky účasti ve výběrovém/zadávacím řízení nebo podmínky průběhu výběrového/zadávacího řízení a ve svém důsledku tak změnil zadávací podmínky v průběhu posouzení nabídek, což mělo za následek přijetí či odmítnutí nabídek či žádostí o účast, které přijmuty/odmínuty být neměly.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spacing w:line="253" w:lineRule="exact" w:before="19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>
            <w:pPr>
              <w:pStyle w:val="TableParagraph"/>
              <w:spacing w:before="0"/>
              <w:ind w:right="121"/>
              <w:rPr>
                <w:sz w:val="20"/>
              </w:rPr>
            </w:pPr>
            <w:r>
              <w:rPr>
                <w:sz w:val="20"/>
              </w:rPr>
              <w:t>nebo hodnocení nabídek dle dodatečně stanovených kritérií, která nebyla uveřejněna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Kritéria, která zadavatel stanovil pro hodnocení nabídek, nebyla dodržena či bylo užito dalších hodnotících kritérií, které nebyly uveřejněny.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4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spacing w:line="253" w:lineRule="exact" w:before="19"/>
              <w:rPr>
                <w:sz w:val="20"/>
              </w:rPr>
            </w:pPr>
            <w:r>
              <w:rPr>
                <w:sz w:val="20"/>
              </w:rPr>
              <w:t>25 %, pokud došlo</w:t>
            </w:r>
          </w:p>
          <w:p>
            <w:pPr>
              <w:pStyle w:val="TableParagraph"/>
              <w:spacing w:before="11"/>
              <w:ind w:right="49"/>
              <w:rPr>
                <w:sz w:val="20"/>
              </w:rPr>
            </w:pPr>
            <w:r>
              <w:rPr>
                <w:sz w:val="20"/>
              </w:rPr>
              <w:t>k diskriminaci účastníků na základě národních, regionálních či lokálních preferencí.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15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Doložené podklady jasně nevysvětlují, jakým způsobem byly hodnoceny nabídky a jak byla vybrána nejvýhodnější nabídka, což má za následek nedostatečnou transparentnost.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6006" w:type="dxa"/>
            <w:gridSpan w:val="2"/>
          </w:tcPr>
          <w:p>
            <w:pPr/>
          </w:p>
        </w:tc>
      </w:tr>
      <w:tr>
        <w:trPr>
          <w:trHeight w:val="517" w:hRule="exact"/>
        </w:trPr>
        <w:tc>
          <w:tcPr>
            <w:tcW w:w="45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nabídky v průběhu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hodnocení nabídek, čímž došlo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42"/>
              <w:rPr>
                <w:sz w:val="20"/>
              </w:rPr>
            </w:pPr>
            <w:r>
              <w:rPr>
                <w:sz w:val="20"/>
              </w:rPr>
              <w:t>k výběru tohoto účastníka, nebo onem nebo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OPŽP,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příp. s dokumentem Zadávání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VZ v OPŽP jednal v průběhu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hodnocení nabídek s účastníky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řízení, což vedlo k podstatné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změně zadávacích podmínek,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455" w:type="dxa"/>
            <w:tcBorders>
              <w:top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</w:tcBorders>
          </w:tcPr>
          <w:p>
            <w:pPr/>
          </w:p>
        </w:tc>
        <w:tc>
          <w:tcPr>
            <w:tcW w:w="3003" w:type="dxa"/>
            <w:tcBorders>
              <w:top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3003" w:type="dxa"/>
            <w:tcBorders>
              <w:top w:val="nil"/>
            </w:tcBorders>
          </w:tcPr>
          <w:p>
            <w:pPr/>
          </w:p>
        </w:tc>
      </w:tr>
      <w:tr>
        <w:trPr>
          <w:trHeight w:val="517" w:hRule="exact"/>
        </w:trPr>
        <w:tc>
          <w:tcPr>
            <w:tcW w:w="45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 předchozí zapojení dodavatelů do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případech, kdy takovéto zapojení dodavatele do přípravy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má za následek porušení zásady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řízení či obdobná forma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nediskriminace, transparentnosti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63" w:hRule="exact"/>
        </w:trPr>
        <w:tc>
          <w:tcPr>
            <w:tcW w:w="455" w:type="dxa"/>
            <w:tcBorders>
              <w:top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00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a rovného zacházení či vede k narušení hospodářské soutěže.</w:t>
            </w:r>
          </w:p>
        </w:tc>
        <w:tc>
          <w:tcPr>
            <w:tcW w:w="3003" w:type="dxa"/>
            <w:tcBorders>
              <w:top w:val="nil"/>
            </w:tcBorders>
          </w:tcPr>
          <w:p>
            <w:pPr/>
          </w:p>
        </w:tc>
      </w:tr>
      <w:tr>
        <w:trPr>
          <w:trHeight w:val="517" w:hRule="exact"/>
        </w:trPr>
        <w:tc>
          <w:tcPr>
            <w:tcW w:w="45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39" w:type="dxa"/>
            <w:tcBorders>
              <w:bottom w:val="nil"/>
            </w:tcBorders>
          </w:tcPr>
          <w:p>
            <w:pPr>
              <w:pStyle w:val="TableParagraph"/>
              <w:ind w:right="653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V průběhu jednacího řízení s uveřejněním došlo</w:t>
            </w:r>
          </w:p>
        </w:tc>
        <w:tc>
          <w:tcPr>
            <w:tcW w:w="3003" w:type="dxa"/>
            <w:tcBorders>
              <w:bottom w:val="nil"/>
            </w:tcBorders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v rámci jednacího řízení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k podstatným změnám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s uveřejněním vedoucí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původních zadávacích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k podstatné změně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63" w:hRule="exact"/>
        </w:trPr>
        <w:tc>
          <w:tcPr>
            <w:tcW w:w="455" w:type="dxa"/>
            <w:tcBorders>
              <w:top w:val="nil"/>
            </w:tcBorders>
          </w:tcPr>
          <w:p>
            <w:pPr/>
          </w:p>
        </w:tc>
        <w:tc>
          <w:tcPr>
            <w:tcW w:w="2639" w:type="dxa"/>
            <w:tcBorders>
              <w:top w:val="nil"/>
            </w:tcBorders>
          </w:tcPr>
          <w:p>
            <w:pPr>
              <w:pStyle w:val="TableParagraph"/>
              <w:spacing w:line="253" w:lineRule="exact" w:before="0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00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následek povinnost nového uveřejnění řízení.</w:t>
            </w:r>
          </w:p>
        </w:tc>
        <w:tc>
          <w:tcPr>
            <w:tcW w:w="3003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324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39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 nabídkové ceny</w:t>
            </w:r>
          </w:p>
        </w:tc>
        <w:tc>
          <w:tcPr>
            <w:tcW w:w="3003" w:type="dxa"/>
          </w:tcPr>
          <w:p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Zadavatel vyloučil nabídku z důvodu mimořádně nízké</w:t>
            </w:r>
          </w:p>
          <w:p>
            <w:pPr>
              <w:pStyle w:val="TableParagraph"/>
              <w:spacing w:before="0"/>
              <w:ind w:right="49"/>
              <w:rPr>
                <w:sz w:val="20"/>
              </w:rPr>
            </w:pPr>
            <w:r>
              <w:rPr>
                <w:sz w:val="20"/>
              </w:rPr>
              <w:t>nabídkové ceny, aniž by požádal účastníka výběrového/zadávacího řízení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 prokázat, že odpovědi účastníků posoudil odpovídajícím způsobem.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80" w:hRule="exact"/>
        </w:trPr>
        <w:tc>
          <w:tcPr>
            <w:tcW w:w="455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39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Střet zájmů s dopadem na výsledek zadávacího/výběrového řízení</w:t>
            </w:r>
          </w:p>
        </w:tc>
        <w:tc>
          <w:tcPr>
            <w:tcW w:w="3003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z w:val="20"/>
              </w:rPr>
              <w:t>V případě, kdy při zadání veřejné zakázky dojde ke střetu zájmů, přičemž dotčený účastník zvítězí v zadávacím/výběrovém řízení.</w:t>
            </w:r>
            <w:r>
              <w:rPr>
                <w:position w:val="7"/>
                <w:sz w:val="16"/>
              </w:rPr>
              <w:t>2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0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při zadávání výběrového/zadávacího řízení došlo ke kartelové dohodě či jiné formě zakázané spolupráce mezi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3003" w:type="dxa"/>
          </w:tcPr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 a jeden z nich se stal vybraným dodavatelem</w:t>
            </w:r>
          </w:p>
        </w:tc>
      </w:tr>
      <w:tr>
        <w:trPr>
          <w:trHeight w:val="84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25 %, pokud se na bid-riggingu nepodíleli jiní dodavatelé než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ti, kteří se bid-riggingu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2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100 %, pokud se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bid-riggingu podílela osoba v rámci řídícího či kontrolního systému nebo zadavatel 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spolupráci</w:t>
            </w:r>
          </w:p>
          <w:p>
            <w:pPr>
              <w:pStyle w:val="TableParagraph"/>
              <w:spacing w:before="0"/>
              <w:ind w:right="222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 z nich se stal vybraným dodavatelem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817" w:footer="1789" w:top="1960" w:bottom="1980" w:left="1000" w:right="8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2639"/>
        <w:gridCol w:w="3003"/>
        <w:gridCol w:w="3003"/>
      </w:tblGrid>
      <w:tr>
        <w:trPr>
          <w:trHeight w:val="15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 práv a povinností vyplývajících ze smlouvy na plnění veřejné zakázky v rozporu se zákonem nebo s Pokyny v OPŽP, příp.</w:t>
            </w:r>
          </w:p>
          <w:p>
            <w:pPr>
              <w:pStyle w:val="TableParagraph"/>
              <w:spacing w:before="0"/>
              <w:ind w:right="397"/>
              <w:rPr>
                <w:sz w:val="20"/>
              </w:rPr>
            </w:pPr>
            <w:r>
              <w:rPr>
                <w:sz w:val="20"/>
              </w:rPr>
              <w:t>s dokumentem Zadávání VZ v OPŽP.</w:t>
            </w:r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25 % z hodnoty dodatečných stavebních prací, dodávek nebo služeb (tzv. vícepráce)</w:t>
            </w:r>
          </w:p>
        </w:tc>
      </w:tr>
      <w:tr>
        <w:trPr>
          <w:trHeight w:val="228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>
            <w:pPr>
              <w:pStyle w:val="TableParagraph"/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 takové zvýšení převyšuje 50 % hodnoty původní veřejné zakázky</w:t>
            </w:r>
          </w:p>
        </w:tc>
      </w:tr>
      <w:tr>
        <w:trPr>
          <w:trHeight w:val="360" w:hRule="exact"/>
        </w:trPr>
        <w:tc>
          <w:tcPr>
            <w:tcW w:w="455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39" w:type="dxa"/>
            <w:vMerge w:val="restart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003" w:type="dxa"/>
            <w:vMerge w:val="restart"/>
          </w:tcPr>
          <w:p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 znemožnilo ověření souladu jeho postupu s čl. IV. odst. 1 písm. s) Smlouvy včetně nedodržení základních zásad zadávacího řízení.</w:t>
            </w:r>
          </w:p>
        </w:tc>
        <w:tc>
          <w:tcPr>
            <w:tcW w:w="3003" w:type="dxa"/>
          </w:tcPr>
          <w:p>
            <w:pPr>
              <w:pStyle w:val="TableParagraph"/>
              <w:spacing w:line="240" w:lineRule="auto" w:before="19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20" w:hRule="exact"/>
        </w:trPr>
        <w:tc>
          <w:tcPr>
            <w:tcW w:w="455" w:type="dxa"/>
            <w:vMerge/>
          </w:tcPr>
          <w:p>
            <w:pPr/>
          </w:p>
        </w:tc>
        <w:tc>
          <w:tcPr>
            <w:tcW w:w="2639" w:type="dxa"/>
            <w:vMerge/>
          </w:tcPr>
          <w:p>
            <w:pPr/>
          </w:p>
        </w:tc>
        <w:tc>
          <w:tcPr>
            <w:tcW w:w="3003" w:type="dxa"/>
            <w:vMerge/>
          </w:tcPr>
          <w:p>
            <w:pPr/>
          </w:p>
        </w:tc>
        <w:tc>
          <w:tcPr>
            <w:tcW w:w="30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99"/>
        <w:ind w:left="460" w:right="0" w:firstLine="0"/>
        <w:jc w:val="left"/>
        <w:rPr>
          <w:sz w:val="14"/>
        </w:rPr>
      </w:pPr>
      <w:r>
        <w:rPr>
          <w:position w:val="5"/>
          <w:sz w:val="11"/>
        </w:rPr>
        <w:t>1 </w:t>
      </w:r>
      <w:r>
        <w:rPr>
          <w:sz w:val="14"/>
        </w:rPr>
        <w:t>Kromě případů, kdy nesrovnalost spadá pod jiný typ porušení.</w:t>
      </w:r>
    </w:p>
    <w:p>
      <w:pPr>
        <w:spacing w:before="24"/>
        <w:ind w:left="460" w:right="0" w:firstLine="0"/>
        <w:jc w:val="left"/>
        <w:rPr>
          <w:sz w:val="14"/>
        </w:rPr>
      </w:pPr>
      <w:r>
        <w:rPr>
          <w:position w:val="5"/>
          <w:sz w:val="11"/>
        </w:rPr>
        <w:t>2 </w:t>
      </w:r>
      <w:r>
        <w:rPr>
          <w:sz w:val="14"/>
        </w:rPr>
        <w:t>Střet zájmů může nastat již ve fázi přípravy projektu, pokud měla příprava projektu vliv na zadávací dokumentaci/zadávací řízení.</w:t>
      </w:r>
    </w:p>
    <w:sectPr>
      <w:pgSz w:w="11900" w:h="16840"/>
      <w:pgMar w:header="817" w:footer="1789" w:top="1960" w:bottom="1980" w:left="10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pt;margin-top:738.5672pt;width:456.65pt;height:31.85pt;mso-position-horizontal-relative:page;mso-position-vertical-relative:page;z-index:-19984" type="#_x0000_t202" filled="false" stroked="false">
          <v:textbox inset="0,0,0,0">
            <w:txbxContent>
              <w:p>
                <w:pPr>
                  <w:spacing w:line="202" w:lineRule="exact"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>Státní fond životního prostředí ČR, sídlo: Kaplanova 1931/1, 148 00 Praha 11</w:t>
                </w:r>
              </w:p>
              <w:p>
                <w:pPr>
                  <w:spacing w:line="192" w:lineRule="exact" w:before="8"/>
                  <w:ind w:left="20" w:right="-10" w:firstLine="0"/>
                  <w:jc w:val="left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>Korespondenční a kontaktní adresa: Olbrachtova 2006/9, 140 00 Praha 4, T: +420 267 994 300, F: +420 272 936 585, IČ: 00020729 </w:t>
                </w:r>
                <w:hyperlink r:id="rId1">
                  <w:r>
                    <w:rPr>
                      <w:color w:val="666666"/>
                      <w:sz w:val="16"/>
                    </w:rPr>
                    <w:t>www.sfzp.cz,</w:t>
                  </w:r>
                </w:hyperlink>
                <w:r>
                  <w:rPr>
                    <w:color w:val="666666"/>
                    <w:sz w:val="16"/>
                  </w:rPr>
                  <w:t> </w:t>
                </w:r>
                <w:hyperlink r:id="rId2">
                  <w:r>
                    <w:rPr>
                      <w:color w:val="666666"/>
                      <w:sz w:val="16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0.690002pt;margin-top:773.367188pt;width:8.35pt;height:12.65pt;mso-position-horizontal-relative:page;mso-position-vertical-relative:page;z-index:-1996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color w:val="666666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5447">
          <wp:simplePos x="0" y="0"/>
          <wp:positionH relativeFrom="page">
            <wp:posOffset>698500</wp:posOffset>
          </wp:positionH>
          <wp:positionV relativeFrom="page">
            <wp:posOffset>518922</wp:posOffset>
          </wp:positionV>
          <wp:extent cx="2540000" cy="725677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00" cy="725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915" w:hanging="455"/>
        <w:jc w:val="left"/>
      </w:pPr>
      <w:rPr>
        <w:rFonts w:hint="default" w:ascii="Segoe UI" w:hAnsi="Segoe UI" w:eastAsia="Segoe UI" w:cs="Segoe UI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34" w:hanging="4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8" w:hanging="4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2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4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8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2" w:hanging="4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20" w:line="240" w:lineRule="exact"/>
      <w:ind w:left="915" w:right="616" w:hanging="455"/>
      <w:jc w:val="both"/>
    </w:pPr>
    <w:rPr>
      <w:rFonts w:ascii="Segoe UI" w:hAnsi="Segoe UI" w:eastAsia="Segoe UI" w:cs="Segoe UI"/>
    </w:rPr>
  </w:style>
  <w:style w:styleId="TableParagraph" w:type="paragraph">
    <w:name w:val="Table Paragraph"/>
    <w:basedOn w:val="Normal"/>
    <w:uiPriority w:val="1"/>
    <w:qFormat/>
    <w:pPr>
      <w:spacing w:before="43" w:line="240" w:lineRule="exact"/>
      <w:ind w:left="5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mailto:dotazy@sfzp.cz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2020-05-18T14:14:47Z</dcterms:created>
  <dcterms:modified xsi:type="dcterms:W3CDTF">2020-05-18T14:14:47Z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2020-05-18T00:00:00Z</vt:filetime>
  </property>
</Properties>
</file>