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Splátkový kalendář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Výzkumný ústav organických syntéz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a.s.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Rekonstrukce a dostavba skladu hořlavých kapalin a jiných hořlavých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látek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3 - Odpady a materiálové toky, ekologické zátěže 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rizika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1536"/>
        <w:gridCol w:w="3561"/>
        <w:gridCol w:w="3434"/>
        <w:gridCol w:w="2810"/>
        <w:gridCol w:w="2216"/>
      </w:tblGrid>
      <w:tr>
        <w:trPr>
          <w:trHeight w:val="268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561" w:type="dxa"/>
          </w:tcPr>
          <w:p>
            <w:pPr>
              <w:pStyle w:val="TableParagraph"/>
              <w:spacing w:before="0"/>
              <w:ind w:left="622"/>
              <w:rPr>
                <w:sz w:val="18"/>
              </w:rPr>
            </w:pPr>
            <w:r>
              <w:rPr>
                <w:sz w:val="18"/>
              </w:rPr>
              <w:t>2017010005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left="871"/>
              <w:rPr>
                <w:sz w:val="18"/>
              </w:rPr>
            </w:pPr>
            <w:r>
              <w:rPr>
                <w:color w:val="6C777E"/>
                <w:sz w:val="18"/>
              </w:rPr>
              <w:t>PM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0"/>
              <w:ind w:left="1246"/>
              <w:rPr>
                <w:sz w:val="18"/>
              </w:rPr>
            </w:pPr>
            <w:r>
              <w:rPr>
                <w:sz w:val="18"/>
              </w:rPr>
              <w:t>Kovářík Karel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561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37184989</w:t>
            </w:r>
          </w:p>
        </w:tc>
        <w:tc>
          <w:tcPr>
            <w:tcW w:w="3434" w:type="dxa"/>
          </w:tcPr>
          <w:p>
            <w:pPr>
              <w:pStyle w:val="TableParagraph"/>
              <w:spacing w:before="28"/>
              <w:ind w:left="871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Stanková Kristýna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3561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- - -</w:t>
            </w:r>
          </w:p>
        </w:tc>
        <w:tc>
          <w:tcPr>
            <w:tcW w:w="3434" w:type="dxa"/>
          </w:tcPr>
          <w:p>
            <w:pPr>
              <w:pStyle w:val="TableParagraph"/>
              <w:spacing w:before="28"/>
              <w:ind w:left="871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561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25.03.2020</w:t>
            </w:r>
          </w:p>
        </w:tc>
        <w:tc>
          <w:tcPr>
            <w:tcW w:w="3434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4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561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SFZP 012035/2018</w:t>
            </w:r>
          </w:p>
        </w:tc>
        <w:tc>
          <w:tcPr>
            <w:tcW w:w="3434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506" w:hRule="exact"/>
        </w:trPr>
        <w:tc>
          <w:tcPr>
            <w:tcW w:w="783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561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7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1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81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8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216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spacing w:before="38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561" w:type="dxa"/>
          </w:tcPr>
          <w:p>
            <w:pPr>
              <w:pStyle w:val="TableParagraph"/>
              <w:spacing w:before="38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1 551 975,95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spacing w:before="38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56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1 357 978,95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1 527,73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195 524,73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561" w:type="dxa"/>
          </w:tcPr>
          <w:p>
            <w:pPr>
              <w:pStyle w:val="TableParagraph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1 163 981,95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1 309,48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195 306,48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56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969 984,95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1 091,23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195 088,23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56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775 987,95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872,99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194 869,99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56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581 990,95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654,74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194 651,74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56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387 993,95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193 997,00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436,49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194 433,49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56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193 996,95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193 996,95</w:t>
            </w:r>
          </w:p>
        </w:tc>
        <w:tc>
          <w:tcPr>
            <w:tcW w:w="2810" w:type="dxa"/>
          </w:tcPr>
          <w:p>
            <w:pPr>
              <w:pStyle w:val="TableParagraph"/>
              <w:ind w:right="8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218,25</w:t>
            </w:r>
          </w:p>
        </w:tc>
        <w:tc>
          <w:tcPr>
            <w:tcW w:w="221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194 215,20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6840" w:h="11900" w:orient="landscape"/>
          <w:pgMar w:top="7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4264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30" w:right="720" w:firstLine="0"/>
        <w:jc w:val="center"/>
        <w:rPr>
          <w:sz w:val="18"/>
        </w:rPr>
      </w:pPr>
      <w:r>
        <w:rPr>
          <w:sz w:val="18"/>
        </w:rPr>
        <w:t>1/1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25.03.2020</w:t>
      </w:r>
    </w:p>
    <w:sectPr>
      <w:type w:val="continuous"/>
      <w:pgSz w:w="16840" w:h="11900" w:orient="landscape"/>
      <w:pgMar w:top="760" w:bottom="0" w:left="680" w:right="680"/>
      <w:cols w:num="2" w:equalWidth="0">
        <w:col w:w="8984" w:space="4273"/>
        <w:col w:w="2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2020-05-18T14:13:29Z</dcterms:created>
  <dcterms:modified xsi:type="dcterms:W3CDTF">2020-05-18T14:13:29Z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2020-05-18T00:00:00Z</vt:filetime>
  </property>
</Properties>
</file>