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76C" w:rsidRDefault="0000476C">
      <w:pPr>
        <w:pBdr>
          <w:top w:val="nil"/>
          <w:left w:val="nil"/>
          <w:bottom w:val="nil"/>
          <w:right w:val="nil"/>
          <w:between w:val="nil"/>
        </w:pBdr>
        <w:spacing w:before="120" w:after="120"/>
        <w:jc w:val="center"/>
        <w:rPr>
          <w:color w:val="000000"/>
          <w:sz w:val="28"/>
          <w:szCs w:val="28"/>
        </w:rPr>
      </w:pPr>
    </w:p>
    <w:p w:rsidR="0000476C" w:rsidRPr="00C611E2" w:rsidRDefault="008B6CE6">
      <w:pPr>
        <w:pBdr>
          <w:top w:val="nil"/>
          <w:left w:val="nil"/>
          <w:bottom w:val="nil"/>
          <w:right w:val="nil"/>
          <w:between w:val="nil"/>
        </w:pBdr>
        <w:spacing w:before="120" w:after="120"/>
        <w:jc w:val="center"/>
        <w:rPr>
          <w:color w:val="000000"/>
          <w:sz w:val="28"/>
          <w:szCs w:val="28"/>
        </w:rPr>
      </w:pPr>
      <w:r w:rsidRPr="00C611E2">
        <w:rPr>
          <w:b/>
          <w:color w:val="000000"/>
          <w:sz w:val="28"/>
          <w:szCs w:val="28"/>
        </w:rPr>
        <w:t>PODLICENČNÍ SMLOUVA</w:t>
      </w:r>
    </w:p>
    <w:p w:rsidR="0000476C" w:rsidRPr="00C611E2" w:rsidRDefault="0000476C">
      <w:pPr>
        <w:pBdr>
          <w:top w:val="nil"/>
          <w:left w:val="nil"/>
          <w:bottom w:val="nil"/>
          <w:right w:val="nil"/>
          <w:between w:val="nil"/>
        </w:pBdr>
        <w:spacing w:before="120" w:after="120"/>
        <w:jc w:val="both"/>
        <w:rPr>
          <w:color w:val="000000"/>
          <w:sz w:val="24"/>
          <w:szCs w:val="24"/>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Smluvní strany</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ind w:left="284" w:hanging="284"/>
        <w:jc w:val="both"/>
        <w:rPr>
          <w:color w:val="000000"/>
          <w:sz w:val="22"/>
          <w:szCs w:val="22"/>
        </w:rPr>
      </w:pPr>
      <w:r w:rsidRPr="00C611E2">
        <w:rPr>
          <w:b/>
          <w:color w:val="000000"/>
          <w:sz w:val="22"/>
          <w:szCs w:val="22"/>
        </w:rPr>
        <w:t>Národní filmový archiv</w:t>
      </w:r>
      <w:r w:rsidRPr="00C611E2">
        <w:rPr>
          <w:color w:val="000000"/>
          <w:sz w:val="22"/>
          <w:szCs w:val="22"/>
        </w:rPr>
        <w:t>, příspěvková organizace</w:t>
      </w:r>
    </w:p>
    <w:p w:rsidR="0000476C" w:rsidRPr="00C611E2" w:rsidRDefault="008B6CE6">
      <w:pPr>
        <w:keepNext/>
        <w:pBdr>
          <w:top w:val="nil"/>
          <w:left w:val="nil"/>
          <w:bottom w:val="nil"/>
          <w:right w:val="nil"/>
          <w:between w:val="nil"/>
        </w:pBdr>
        <w:rPr>
          <w:color w:val="000000"/>
          <w:sz w:val="22"/>
          <w:szCs w:val="22"/>
        </w:rPr>
      </w:pPr>
      <w:r w:rsidRPr="00C611E2">
        <w:rPr>
          <w:color w:val="000000"/>
          <w:sz w:val="22"/>
          <w:szCs w:val="22"/>
        </w:rPr>
        <w:t>se sídlem Praha 3</w:t>
      </w:r>
      <w:r w:rsidR="001A11B3" w:rsidRPr="00C611E2">
        <w:rPr>
          <w:color w:val="000000"/>
          <w:sz w:val="22"/>
          <w:szCs w:val="22"/>
        </w:rPr>
        <w:t xml:space="preserve"> - Žižkov</w:t>
      </w:r>
      <w:r w:rsidRPr="00C611E2">
        <w:rPr>
          <w:color w:val="000000"/>
          <w:sz w:val="22"/>
          <w:szCs w:val="22"/>
        </w:rPr>
        <w:t xml:space="preserve">, Malešická </w:t>
      </w:r>
      <w:r w:rsidR="001A11B3" w:rsidRPr="00C611E2">
        <w:rPr>
          <w:color w:val="000000"/>
          <w:sz w:val="22"/>
          <w:szCs w:val="22"/>
        </w:rPr>
        <w:t>2706/</w:t>
      </w:r>
      <w:r w:rsidRPr="00C611E2">
        <w:rPr>
          <w:color w:val="000000"/>
          <w:sz w:val="22"/>
          <w:szCs w:val="22"/>
        </w:rPr>
        <w:t>12</w:t>
      </w:r>
      <w:r w:rsidR="001A11B3" w:rsidRPr="00C611E2">
        <w:rPr>
          <w:color w:val="000000"/>
          <w:sz w:val="22"/>
          <w:szCs w:val="22"/>
        </w:rPr>
        <w:t>, PSČ: 130 00</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IČ</w:t>
      </w:r>
      <w:r w:rsidR="001A11B3" w:rsidRPr="00C611E2">
        <w:rPr>
          <w:color w:val="000000"/>
          <w:sz w:val="22"/>
          <w:szCs w:val="22"/>
        </w:rPr>
        <w:t>O</w:t>
      </w:r>
      <w:r w:rsidRPr="00C611E2">
        <w:rPr>
          <w:color w:val="000000"/>
          <w:sz w:val="22"/>
          <w:szCs w:val="22"/>
        </w:rPr>
        <w:t>: 00057266,</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 xml:space="preserve">Bankovní spojení, </w:t>
      </w:r>
      <w:proofErr w:type="spellStart"/>
      <w:r w:rsidRPr="00C611E2">
        <w:rPr>
          <w:color w:val="000000"/>
          <w:sz w:val="22"/>
          <w:szCs w:val="22"/>
        </w:rPr>
        <w:t>č.ú</w:t>
      </w:r>
      <w:proofErr w:type="spellEnd"/>
      <w:r w:rsidRPr="00C611E2">
        <w:rPr>
          <w:color w:val="000000"/>
          <w:sz w:val="22"/>
          <w:szCs w:val="22"/>
        </w:rPr>
        <w:t xml:space="preserve">. </w:t>
      </w:r>
      <w:r w:rsidR="00EF6ACC" w:rsidRPr="00C611E2">
        <w:rPr>
          <w:color w:val="000000"/>
          <w:sz w:val="22"/>
          <w:szCs w:val="22"/>
        </w:rPr>
        <w:t>10006-83337011/0710</w:t>
      </w:r>
    </w:p>
    <w:p w:rsidR="0000476C" w:rsidRPr="00C611E2" w:rsidRDefault="008B6CE6">
      <w:pPr>
        <w:pBdr>
          <w:top w:val="nil"/>
          <w:left w:val="nil"/>
          <w:bottom w:val="nil"/>
          <w:right w:val="nil"/>
          <w:between w:val="nil"/>
        </w:pBdr>
        <w:jc w:val="both"/>
        <w:rPr>
          <w:color w:val="000000"/>
          <w:sz w:val="22"/>
          <w:szCs w:val="22"/>
        </w:rPr>
      </w:pPr>
      <w:r w:rsidRPr="00C611E2">
        <w:rPr>
          <w:color w:val="000000"/>
          <w:sz w:val="22"/>
          <w:szCs w:val="22"/>
        </w:rPr>
        <w:t xml:space="preserve">zastoupený </w:t>
      </w:r>
      <w:r w:rsidR="00D00664">
        <w:rPr>
          <w:color w:val="000000"/>
          <w:sz w:val="22"/>
          <w:szCs w:val="22"/>
        </w:rPr>
        <w:t>XXX</w:t>
      </w:r>
    </w:p>
    <w:p w:rsidR="0000476C" w:rsidRPr="00C611E2" w:rsidRDefault="008B6CE6">
      <w:pPr>
        <w:pBdr>
          <w:top w:val="nil"/>
          <w:left w:val="nil"/>
          <w:bottom w:val="nil"/>
          <w:right w:val="nil"/>
          <w:between w:val="nil"/>
        </w:pBdr>
        <w:ind w:right="261"/>
        <w:jc w:val="both"/>
        <w:rPr>
          <w:color w:val="000000"/>
          <w:sz w:val="22"/>
          <w:szCs w:val="22"/>
        </w:rPr>
      </w:pPr>
      <w:r w:rsidRPr="00C611E2">
        <w:rPr>
          <w:color w:val="000000"/>
          <w:sz w:val="22"/>
          <w:szCs w:val="22"/>
        </w:rPr>
        <w:t>(dále jen „</w:t>
      </w:r>
      <w:r w:rsidRPr="00C611E2">
        <w:rPr>
          <w:b/>
          <w:color w:val="000000"/>
          <w:sz w:val="22"/>
          <w:szCs w:val="22"/>
        </w:rPr>
        <w:t>NFA</w:t>
      </w:r>
      <w:r w:rsidRPr="00C611E2">
        <w:rPr>
          <w:color w:val="000000"/>
          <w:sz w:val="22"/>
          <w:szCs w:val="22"/>
        </w:rPr>
        <w:t>“)</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pBdr>
          <w:top w:val="nil"/>
          <w:left w:val="nil"/>
          <w:bottom w:val="nil"/>
          <w:right w:val="nil"/>
          <w:between w:val="nil"/>
        </w:pBdr>
        <w:rPr>
          <w:color w:val="000000"/>
          <w:sz w:val="22"/>
          <w:szCs w:val="22"/>
        </w:rPr>
      </w:pPr>
      <w:r w:rsidRPr="00C611E2">
        <w:rPr>
          <w:b/>
          <w:color w:val="000000"/>
          <w:sz w:val="22"/>
          <w:szCs w:val="22"/>
        </w:rPr>
        <w:t>a</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pBdr>
          <w:top w:val="nil"/>
          <w:left w:val="nil"/>
          <w:bottom w:val="nil"/>
          <w:right w:val="nil"/>
          <w:between w:val="nil"/>
        </w:pBdr>
        <w:rPr>
          <w:color w:val="222222"/>
          <w:sz w:val="22"/>
          <w:szCs w:val="22"/>
        </w:rPr>
      </w:pPr>
      <w:r w:rsidRPr="00C611E2">
        <w:rPr>
          <w:b/>
          <w:color w:val="222222"/>
          <w:sz w:val="22"/>
          <w:szCs w:val="22"/>
        </w:rPr>
        <w:t>Seznam.cz, a.s.</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 xml:space="preserve">se sídlem </w:t>
      </w:r>
      <w:r w:rsidR="001A11B3" w:rsidRPr="00C611E2">
        <w:rPr>
          <w:color w:val="000000"/>
          <w:sz w:val="22"/>
          <w:szCs w:val="22"/>
        </w:rPr>
        <w:t xml:space="preserve">Praha 5 – Smíchov, </w:t>
      </w:r>
      <w:r w:rsidRPr="00C611E2">
        <w:rPr>
          <w:color w:val="222222"/>
          <w:sz w:val="22"/>
          <w:szCs w:val="22"/>
        </w:rPr>
        <w:t xml:space="preserve">Radlická 3294/10, </w:t>
      </w:r>
      <w:r w:rsidR="001A11B3" w:rsidRPr="00C611E2">
        <w:rPr>
          <w:color w:val="222222"/>
          <w:sz w:val="22"/>
          <w:szCs w:val="22"/>
        </w:rPr>
        <w:t xml:space="preserve">PSČ: </w:t>
      </w:r>
      <w:r w:rsidRPr="00C611E2">
        <w:rPr>
          <w:color w:val="222222"/>
          <w:sz w:val="22"/>
          <w:szCs w:val="22"/>
        </w:rPr>
        <w:t>150 00</w:t>
      </w:r>
    </w:p>
    <w:p w:rsidR="0000476C" w:rsidRPr="00C611E2" w:rsidRDefault="008B6CE6">
      <w:pPr>
        <w:pBdr>
          <w:top w:val="nil"/>
          <w:left w:val="nil"/>
          <w:bottom w:val="nil"/>
          <w:right w:val="nil"/>
          <w:between w:val="nil"/>
        </w:pBdr>
        <w:shd w:val="clear" w:color="auto" w:fill="FFFFFF"/>
        <w:rPr>
          <w:color w:val="222222"/>
          <w:sz w:val="22"/>
          <w:szCs w:val="22"/>
        </w:rPr>
      </w:pPr>
      <w:r w:rsidRPr="00C611E2">
        <w:rPr>
          <w:color w:val="000000"/>
          <w:sz w:val="22"/>
          <w:szCs w:val="22"/>
        </w:rPr>
        <w:t xml:space="preserve">IČO: </w:t>
      </w:r>
      <w:r w:rsidRPr="00C611E2">
        <w:rPr>
          <w:color w:val="222222"/>
          <w:sz w:val="22"/>
          <w:szCs w:val="22"/>
        </w:rPr>
        <w:t>26168685</w:t>
      </w:r>
    </w:p>
    <w:p w:rsidR="0000476C" w:rsidRPr="00C611E2" w:rsidRDefault="008B6CE6">
      <w:pPr>
        <w:pBdr>
          <w:top w:val="nil"/>
          <w:left w:val="nil"/>
          <w:bottom w:val="nil"/>
          <w:right w:val="nil"/>
          <w:between w:val="nil"/>
        </w:pBdr>
        <w:shd w:val="clear" w:color="auto" w:fill="FFFFFF"/>
        <w:rPr>
          <w:color w:val="222222"/>
          <w:sz w:val="22"/>
          <w:szCs w:val="22"/>
        </w:rPr>
      </w:pPr>
      <w:r w:rsidRPr="00C611E2">
        <w:rPr>
          <w:color w:val="222222"/>
          <w:sz w:val="22"/>
          <w:szCs w:val="22"/>
        </w:rPr>
        <w:t>DIČ: CZ26168685</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Bankovní spojení</w:t>
      </w:r>
      <w:r w:rsidR="001A11B3" w:rsidRPr="00C611E2">
        <w:rPr>
          <w:color w:val="000000"/>
          <w:sz w:val="22"/>
          <w:szCs w:val="22"/>
        </w:rPr>
        <w:t xml:space="preserve">, </w:t>
      </w:r>
      <w:proofErr w:type="spellStart"/>
      <w:r w:rsidR="001A11B3" w:rsidRPr="00C611E2">
        <w:rPr>
          <w:color w:val="000000"/>
          <w:sz w:val="22"/>
          <w:szCs w:val="22"/>
        </w:rPr>
        <w:t>č.ú</w:t>
      </w:r>
      <w:proofErr w:type="spellEnd"/>
      <w:r w:rsidRPr="00C611E2">
        <w:rPr>
          <w:color w:val="000000"/>
          <w:sz w:val="22"/>
          <w:szCs w:val="22"/>
        </w:rPr>
        <w:t xml:space="preserve">: </w:t>
      </w:r>
      <w:r w:rsidR="001435F7" w:rsidRPr="00C611E2">
        <w:rPr>
          <w:color w:val="222222"/>
          <w:sz w:val="22"/>
          <w:szCs w:val="22"/>
        </w:rPr>
        <w:t>5020019959/5500</w:t>
      </w:r>
    </w:p>
    <w:p w:rsidR="0000476C" w:rsidRPr="00C611E2" w:rsidRDefault="008B6CE6">
      <w:pPr>
        <w:pBdr>
          <w:top w:val="nil"/>
          <w:left w:val="nil"/>
          <w:bottom w:val="nil"/>
          <w:right w:val="nil"/>
          <w:between w:val="nil"/>
        </w:pBdr>
        <w:tabs>
          <w:tab w:val="left" w:pos="-720"/>
        </w:tabs>
        <w:jc w:val="both"/>
        <w:rPr>
          <w:color w:val="000000"/>
          <w:sz w:val="22"/>
          <w:szCs w:val="22"/>
        </w:rPr>
      </w:pPr>
      <w:r w:rsidRPr="00C611E2">
        <w:rPr>
          <w:color w:val="000000"/>
          <w:sz w:val="22"/>
          <w:szCs w:val="22"/>
        </w:rPr>
        <w:t xml:space="preserve">Zastoupená </w:t>
      </w:r>
      <w:r w:rsidR="00D00664">
        <w:rPr>
          <w:color w:val="222222"/>
          <w:sz w:val="22"/>
          <w:szCs w:val="22"/>
        </w:rPr>
        <w:t>XXX</w:t>
      </w:r>
    </w:p>
    <w:p w:rsidR="0000476C" w:rsidRPr="00C611E2" w:rsidRDefault="008B6CE6">
      <w:pPr>
        <w:pBdr>
          <w:top w:val="nil"/>
          <w:left w:val="nil"/>
          <w:bottom w:val="nil"/>
          <w:right w:val="nil"/>
          <w:between w:val="nil"/>
        </w:pBdr>
        <w:rPr>
          <w:color w:val="000000"/>
          <w:sz w:val="22"/>
          <w:szCs w:val="22"/>
        </w:rPr>
      </w:pPr>
      <w:r w:rsidRPr="00C611E2">
        <w:rPr>
          <w:color w:val="000000"/>
          <w:sz w:val="22"/>
          <w:szCs w:val="22"/>
        </w:rPr>
        <w:t xml:space="preserve">(dále jen </w:t>
      </w:r>
      <w:r w:rsidRPr="00C611E2">
        <w:rPr>
          <w:b/>
          <w:color w:val="000000"/>
          <w:sz w:val="22"/>
          <w:szCs w:val="22"/>
        </w:rPr>
        <w:t>„Nabyvatel“</w:t>
      </w:r>
      <w:r w:rsidRPr="00C611E2">
        <w:rPr>
          <w:color w:val="000000"/>
          <w:sz w:val="22"/>
          <w:szCs w:val="22"/>
        </w:rPr>
        <w:t>)</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pBdr>
          <w:top w:val="nil"/>
          <w:left w:val="nil"/>
          <w:bottom w:val="nil"/>
          <w:right w:val="nil"/>
          <w:between w:val="nil"/>
        </w:pBdr>
        <w:jc w:val="both"/>
        <w:rPr>
          <w:color w:val="000000"/>
          <w:sz w:val="22"/>
          <w:szCs w:val="22"/>
        </w:rPr>
      </w:pPr>
      <w:r w:rsidRPr="00C611E2">
        <w:rPr>
          <w:color w:val="000000"/>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00476C" w:rsidRPr="00C611E2" w:rsidRDefault="0000476C">
      <w:pPr>
        <w:pBdr>
          <w:top w:val="nil"/>
          <w:left w:val="nil"/>
          <w:bottom w:val="nil"/>
          <w:right w:val="nil"/>
          <w:between w:val="nil"/>
        </w:pBdr>
        <w:rPr>
          <w:color w:val="000000"/>
          <w:sz w:val="24"/>
          <w:szCs w:val="24"/>
        </w:rPr>
      </w:pPr>
    </w:p>
    <w:p w:rsidR="0000476C" w:rsidRPr="00C611E2" w:rsidRDefault="008B6CE6">
      <w:pPr>
        <w:pBdr>
          <w:top w:val="nil"/>
          <w:left w:val="nil"/>
          <w:bottom w:val="nil"/>
          <w:right w:val="nil"/>
          <w:between w:val="nil"/>
        </w:pBdr>
        <w:jc w:val="center"/>
        <w:rPr>
          <w:color w:val="000000"/>
          <w:sz w:val="24"/>
          <w:szCs w:val="24"/>
        </w:rPr>
      </w:pPr>
      <w:proofErr w:type="spellStart"/>
      <w:r w:rsidRPr="00C611E2">
        <w:rPr>
          <w:b/>
          <w:color w:val="000000"/>
          <w:sz w:val="24"/>
          <w:szCs w:val="24"/>
        </w:rPr>
        <w:t>Podlicenční</w:t>
      </w:r>
      <w:proofErr w:type="spellEnd"/>
      <w:r w:rsidRPr="00C611E2">
        <w:rPr>
          <w:b/>
          <w:color w:val="000000"/>
          <w:sz w:val="24"/>
          <w:szCs w:val="24"/>
        </w:rPr>
        <w:t xml:space="preserve"> smlouvu</w:t>
      </w:r>
    </w:p>
    <w:p w:rsidR="0000476C" w:rsidRPr="00C611E2" w:rsidRDefault="0000476C">
      <w:pPr>
        <w:pBdr>
          <w:top w:val="nil"/>
          <w:left w:val="nil"/>
          <w:bottom w:val="nil"/>
          <w:right w:val="nil"/>
          <w:between w:val="nil"/>
        </w:pBdr>
        <w:jc w:val="center"/>
        <w:rPr>
          <w:color w:val="000000"/>
          <w:sz w:val="24"/>
          <w:szCs w:val="24"/>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Smluvní strany; Předmět smlouvy; Filmy</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 xml:space="preserve">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je na základě Licenční a </w:t>
      </w:r>
      <w:proofErr w:type="spellStart"/>
      <w:r w:rsidRPr="00C611E2">
        <w:rPr>
          <w:color w:val="000000"/>
          <w:sz w:val="22"/>
          <w:szCs w:val="22"/>
        </w:rPr>
        <w:t>podlicenční</w:t>
      </w:r>
      <w:proofErr w:type="spellEnd"/>
      <w:r w:rsidRPr="00C611E2">
        <w:rPr>
          <w:color w:val="000000"/>
          <w:sz w:val="22"/>
          <w:szCs w:val="22"/>
        </w:rPr>
        <w:t xml:space="preserve"> smlouvy uzavřené dne 23. 5. 2014 mezi NFA a Státním fondem kinematografie, IČ</w:t>
      </w:r>
      <w:r w:rsidR="001A11B3" w:rsidRPr="00C611E2">
        <w:rPr>
          <w:color w:val="000000"/>
          <w:sz w:val="22"/>
          <w:szCs w:val="22"/>
        </w:rPr>
        <w:t>O</w:t>
      </w:r>
      <w:r w:rsidRPr="00C611E2">
        <w:rPr>
          <w:color w:val="000000"/>
          <w:sz w:val="22"/>
          <w:szCs w:val="22"/>
        </w:rPr>
        <w:t xml:space="preserve">: 01454455, se sídlem: </w:t>
      </w:r>
      <w:r w:rsidR="001A11B3" w:rsidRPr="00C611E2">
        <w:rPr>
          <w:color w:val="000000"/>
          <w:sz w:val="22"/>
          <w:szCs w:val="22"/>
        </w:rPr>
        <w:t xml:space="preserve">Praha 7- Holešovice, </w:t>
      </w:r>
      <w:r w:rsidRPr="00C611E2">
        <w:rPr>
          <w:color w:val="000000"/>
          <w:sz w:val="22"/>
          <w:szCs w:val="22"/>
        </w:rPr>
        <w:t xml:space="preserve">Dukelských hrdinů </w:t>
      </w:r>
      <w:r w:rsidR="001A11B3" w:rsidRPr="00C611E2">
        <w:rPr>
          <w:color w:val="000000"/>
          <w:sz w:val="22"/>
          <w:szCs w:val="22"/>
        </w:rPr>
        <w:t>530/</w:t>
      </w:r>
      <w:r w:rsidRPr="00C611E2">
        <w:rPr>
          <w:color w:val="000000"/>
          <w:sz w:val="22"/>
          <w:szCs w:val="22"/>
        </w:rPr>
        <w:t xml:space="preserve">47, </w:t>
      </w:r>
      <w:r w:rsidR="001A11B3" w:rsidRPr="00C611E2">
        <w:rPr>
          <w:color w:val="000000"/>
          <w:sz w:val="22"/>
          <w:szCs w:val="22"/>
        </w:rPr>
        <w:t xml:space="preserve">PSČ: </w:t>
      </w:r>
      <w:r w:rsidRPr="00C611E2">
        <w:rPr>
          <w:color w:val="000000"/>
          <w:sz w:val="22"/>
          <w:szCs w:val="22"/>
        </w:rPr>
        <w:t>170 00 (dále jen „</w:t>
      </w:r>
      <w:r w:rsidRPr="00C611E2">
        <w:rPr>
          <w:b/>
          <w:color w:val="000000"/>
          <w:sz w:val="22"/>
          <w:szCs w:val="22"/>
        </w:rPr>
        <w:t>Licenční smlouva</w:t>
      </w:r>
      <w:r w:rsidRPr="00C611E2">
        <w:rPr>
          <w:color w:val="000000"/>
          <w:sz w:val="22"/>
          <w:szCs w:val="22"/>
        </w:rPr>
        <w:t>“), jakož i na základě všech případných pozdějších změn a dodatků k Licenční smlouvě, oprávněn udělovat podlicence k užití touto smlouvou specifikovaných Filmů (viz čl. II. odst. 4 níže), a to z hlediska právních titulů a v rozsahu, jak jsou níže uvedeny. NFA má zájem udělit touto smlouvou za dále uvedených podmínek Nabyvateli souhlas s užitím Filmů touto smlouvou vymezených.</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Nabyvatel má zájem získat touto smlouvou za dále uvedených podmínek od NFA souhlas s užitím Filmů touto smlouvou vymezených.</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t>Filmy se pro účely této smlouvy rozumí tato audiovizuální díla uvedená v nedílné </w:t>
      </w:r>
      <w:r w:rsidRPr="00C611E2">
        <w:rPr>
          <w:b/>
          <w:color w:val="000000"/>
          <w:sz w:val="22"/>
          <w:szCs w:val="22"/>
        </w:rPr>
        <w:t>Příloze č. 1</w:t>
      </w:r>
      <w:r w:rsidRPr="00C611E2">
        <w:rPr>
          <w:color w:val="000000"/>
          <w:sz w:val="22"/>
          <w:szCs w:val="22"/>
        </w:rPr>
        <w:t xml:space="preserve"> této smlouvy (výše a dále jen společně jako „</w:t>
      </w:r>
      <w:r w:rsidRPr="00C611E2">
        <w:rPr>
          <w:b/>
          <w:color w:val="000000"/>
          <w:sz w:val="22"/>
          <w:szCs w:val="22"/>
        </w:rPr>
        <w:t>Filmy</w:t>
      </w:r>
      <w:r w:rsidRPr="00C611E2">
        <w:rPr>
          <w:color w:val="000000"/>
          <w:sz w:val="22"/>
          <w:szCs w:val="22"/>
        </w:rPr>
        <w:t>“ nebo jednotlivě jako „</w:t>
      </w:r>
      <w:r w:rsidRPr="00C611E2">
        <w:rPr>
          <w:b/>
          <w:color w:val="000000"/>
          <w:sz w:val="22"/>
          <w:szCs w:val="22"/>
        </w:rPr>
        <w:t>Film</w:t>
      </w:r>
      <w:r w:rsidRPr="00C611E2">
        <w:rPr>
          <w:color w:val="000000"/>
          <w:sz w:val="22"/>
          <w:szCs w:val="22"/>
        </w:rPr>
        <w:t>“).</w:t>
      </w:r>
    </w:p>
    <w:p w:rsidR="0000476C" w:rsidRPr="00C611E2" w:rsidRDefault="0000476C">
      <w:pPr>
        <w:pBdr>
          <w:top w:val="nil"/>
          <w:left w:val="nil"/>
          <w:bottom w:val="nil"/>
          <w:right w:val="nil"/>
          <w:between w:val="nil"/>
        </w:pBdr>
        <w:ind w:left="426"/>
        <w:jc w:val="both"/>
        <w:rPr>
          <w:color w:val="000000"/>
          <w:sz w:val="22"/>
          <w:szCs w:val="22"/>
        </w:rPr>
      </w:pPr>
    </w:p>
    <w:p w:rsidR="0000476C" w:rsidRPr="00C611E2" w:rsidRDefault="008B6CE6">
      <w:pPr>
        <w:numPr>
          <w:ilvl w:val="0"/>
          <w:numId w:val="7"/>
        </w:numPr>
        <w:pBdr>
          <w:top w:val="nil"/>
          <w:left w:val="nil"/>
          <w:bottom w:val="nil"/>
          <w:right w:val="nil"/>
          <w:between w:val="nil"/>
        </w:pBdr>
        <w:jc w:val="both"/>
        <w:rPr>
          <w:color w:val="000000"/>
          <w:sz w:val="22"/>
          <w:szCs w:val="22"/>
        </w:rPr>
      </w:pPr>
      <w:r w:rsidRPr="00C611E2">
        <w:rPr>
          <w:color w:val="000000"/>
          <w:sz w:val="22"/>
          <w:szCs w:val="22"/>
        </w:rPr>
        <w:lastRenderedPageBreak/>
        <w:t>Souhlas s užitím Filmů, který je poskytován touto smlouvou, zahrnuje následující druhy souhlasů, není-li dále výslovně uvedeno jinak:</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D00664">
      <w:pPr>
        <w:numPr>
          <w:ilvl w:val="1"/>
          <w:numId w:val="7"/>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D00664">
      <w:pPr>
        <w:numPr>
          <w:ilvl w:val="1"/>
          <w:numId w:val="7"/>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D00664">
      <w:pPr>
        <w:numPr>
          <w:ilvl w:val="1"/>
          <w:numId w:val="7"/>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00476C">
      <w:pPr>
        <w:pBdr>
          <w:top w:val="nil"/>
          <w:left w:val="nil"/>
          <w:bottom w:val="nil"/>
          <w:right w:val="nil"/>
          <w:between w:val="nil"/>
        </w:pBdr>
        <w:ind w:left="360"/>
        <w:jc w:val="center"/>
        <w:rPr>
          <w:color w:val="000000"/>
          <w:sz w:val="22"/>
          <w:szCs w:val="22"/>
        </w:rPr>
      </w:pPr>
    </w:p>
    <w:p w:rsidR="0000476C" w:rsidRPr="00C611E2" w:rsidRDefault="008B6CE6">
      <w:pPr>
        <w:pBdr>
          <w:top w:val="nil"/>
          <w:left w:val="nil"/>
          <w:bottom w:val="nil"/>
          <w:right w:val="nil"/>
          <w:between w:val="nil"/>
        </w:pBdr>
        <w:ind w:left="360"/>
        <w:jc w:val="both"/>
        <w:rPr>
          <w:color w:val="000000"/>
          <w:sz w:val="22"/>
          <w:szCs w:val="22"/>
        </w:rPr>
      </w:pPr>
      <w:r w:rsidRPr="00C611E2">
        <w:rPr>
          <w:color w:val="000000"/>
          <w:sz w:val="22"/>
          <w:szCs w:val="22"/>
        </w:rPr>
        <w:t>(všechny druhy souhlasů dle tohoto ustanovení dále pro účely této smlouvy jednotně a společně nazývány jako „</w:t>
      </w:r>
      <w:r w:rsidRPr="00C611E2">
        <w:rPr>
          <w:b/>
          <w:color w:val="000000"/>
          <w:sz w:val="22"/>
          <w:szCs w:val="22"/>
        </w:rPr>
        <w:t>podlicence</w:t>
      </w:r>
      <w:r w:rsidRPr="00C611E2">
        <w:rPr>
          <w:color w:val="000000"/>
          <w:sz w:val="22"/>
          <w:szCs w:val="22"/>
        </w:rPr>
        <w:t>“).</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 xml:space="preserve">III. </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Podlicence</w:t>
      </w:r>
    </w:p>
    <w:p w:rsidR="0000476C" w:rsidRPr="00C611E2" w:rsidRDefault="0000476C">
      <w:pPr>
        <w:pBdr>
          <w:top w:val="nil"/>
          <w:left w:val="nil"/>
          <w:bottom w:val="nil"/>
          <w:right w:val="nil"/>
          <w:between w:val="nil"/>
        </w:pBdr>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 xml:space="preserve">NFA touto smlouvou poskytuje Nabyvateli oprávnění k užití Filmů – podlicenci v níže uvedeném rozsahu: </w:t>
      </w:r>
    </w:p>
    <w:p w:rsidR="0000476C" w:rsidRPr="00C611E2" w:rsidRDefault="00D00664">
      <w:pPr>
        <w:numPr>
          <w:ilvl w:val="0"/>
          <w:numId w:val="2"/>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D00664">
      <w:pPr>
        <w:numPr>
          <w:ilvl w:val="0"/>
          <w:numId w:val="2"/>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D00664">
      <w:pPr>
        <w:numPr>
          <w:ilvl w:val="0"/>
          <w:numId w:val="2"/>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D00664">
      <w:pPr>
        <w:numPr>
          <w:ilvl w:val="0"/>
          <w:numId w:val="2"/>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D00664">
      <w:pPr>
        <w:numPr>
          <w:ilvl w:val="0"/>
          <w:numId w:val="2"/>
        </w:numPr>
        <w:pBdr>
          <w:top w:val="nil"/>
          <w:left w:val="nil"/>
          <w:bottom w:val="nil"/>
          <w:right w:val="nil"/>
          <w:between w:val="nil"/>
        </w:pBdr>
        <w:jc w:val="both"/>
        <w:rPr>
          <w:color w:val="000000"/>
          <w:sz w:val="22"/>
          <w:szCs w:val="22"/>
        </w:rPr>
      </w:pPr>
      <w:r>
        <w:rPr>
          <w:b/>
          <w:color w:val="000000"/>
          <w:sz w:val="22"/>
          <w:szCs w:val="22"/>
        </w:rPr>
        <w:t>XXX</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NFA prohlašuje, že je oprávněn podlicenci uvedenou v této smlouvě udělit (zejména, že mu v tom nebrání žádná smlouva se třetí osobou nebo jiná právní překážka) a že z titulu využití podlicence ze strany Nabyvatele v souladu s touto smlouvou nebude zasaženo do práv třetích osob. Nabyvatel prohlašuje, že je schopen dostát všem svým závazkům vyplývajícím z této smlouvy i ze všech relevantních právních předpisů vztahujících se na užití Filmů způsobem vyplývajícím z této smlouvy.</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oprávněn za účelem programového ohlášení nebo propagace televizního vysílání Filmů části těchto Filmů zařadit do jiných audiovizuálních děl (upoutávek/</w:t>
      </w:r>
      <w:proofErr w:type="spellStart"/>
      <w:r w:rsidRPr="00C611E2">
        <w:rPr>
          <w:color w:val="000000"/>
          <w:sz w:val="22"/>
          <w:szCs w:val="22"/>
        </w:rPr>
        <w:t>foršpanů</w:t>
      </w:r>
      <w:proofErr w:type="spellEnd"/>
      <w:r w:rsidRPr="00C611E2">
        <w:rPr>
          <w:color w:val="000000"/>
          <w:sz w:val="22"/>
          <w:szCs w:val="22"/>
        </w:rPr>
        <w:t xml:space="preserve">) a v jejich rámci je užít ve shora specifikovaném rozsahu. Nabyvatel však bere na vědomí, že užití Filmů se nesmí reálně ani potenciálně dotýkat hodnoty Filmů. Ukázky z Filmů v jiných audiovizuálních dílech dle tohoto ustanovení nesmějí přesáhnout celkový rozsah </w:t>
      </w:r>
      <w:r w:rsidR="00D00664">
        <w:rPr>
          <w:color w:val="000000"/>
          <w:sz w:val="22"/>
          <w:szCs w:val="22"/>
        </w:rPr>
        <w:t>XXX</w:t>
      </w:r>
      <w:r w:rsidRPr="00C611E2">
        <w:rPr>
          <w:color w:val="000000"/>
          <w:sz w:val="22"/>
          <w:szCs w:val="22"/>
        </w:rPr>
        <w:t xml:space="preserve"> minuty (souhrnně pro každé jiné audiovizuální dílo). Pro vyloučení všech pochybností se uvádí, že tímto ustanovením smlouvy není zejména povoleno užití Filmů v audiovizuální nebo zvukové reklamě, sponzorských vzkazech či jiných formách obchodních sdělení, ve videoklipech. </w:t>
      </w:r>
      <w:r w:rsidR="006C42BF" w:rsidRPr="00C611E2">
        <w:rPr>
          <w:color w:val="000000"/>
          <w:sz w:val="22"/>
          <w:szCs w:val="22"/>
        </w:rPr>
        <w:t xml:space="preserve">Nabyvatel je zároveň oprávněn části Filmů použít pro účely statického/obrázkového programového ohlášení nebo takové propagace televizního vysílání Filmů v rámci rozličných </w:t>
      </w:r>
      <w:proofErr w:type="spellStart"/>
      <w:r w:rsidR="006C42BF" w:rsidRPr="00C611E2">
        <w:rPr>
          <w:color w:val="000000"/>
          <w:sz w:val="22"/>
          <w:szCs w:val="22"/>
        </w:rPr>
        <w:t>mediatypů</w:t>
      </w:r>
      <w:proofErr w:type="spellEnd"/>
      <w:r w:rsidR="006C42BF" w:rsidRPr="00C611E2">
        <w:rPr>
          <w:color w:val="000000"/>
          <w:sz w:val="22"/>
          <w:szCs w:val="22"/>
        </w:rPr>
        <w:t xml:space="preserve">, zejména v on-line prostředí (bannery apod.) či v periodikách třetích subjektů (novinový televizní program apod.). </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povinen klíčovat své logo v průběhu vysílání každého Filmu tak, aby byla umožněna identifikace případné nahrávky z vysílání či její části.</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není oprávněn přerušovat vysílání Filmů reklamou, ledaže je to výslovně povoleno v Příloze č. 1 této smlouvy. Dodržení zákazu dle předešlé věty je podmínkou účinnosti podlicence dle této smlouvy. Nabyvatel se zavazuje se stejnými účinky na vlastní odpovědnost zajistit dodržení zákazu přerušovat Filmy reklamou rovněž u veškerých třetích osob, jejichž prostřednictvím bude oprávnění z podlicence vykonávat.</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V případě, že v souvislosti s užitím Filmů na základě této smlouvy budou zhotovovány jakékoliv doprovodné materiály obsahující text (přebaly rozmnoženin Filmů, tiskové brožury, webové stránky, propagační materiály apod.), je Nabyvatel povinen zajistit, že na takových doprovodných materiálech bude obvyklým způsobem označen jako nositel, resp. vykonavatel autorských práv k Filmům Státní fond kinematografie, a to např. formou copyrightové výhrady a uvedením loga Státního fondu kinematografie, které je k dispozici ke stažení na jeho webových stránkách.</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lastRenderedPageBreak/>
        <w:t xml:space="preserve">Smluvní strany se dohodly, že s ohledem na to, že Nabyvatel touto </w:t>
      </w:r>
      <w:proofErr w:type="spellStart"/>
      <w:r w:rsidRPr="00C611E2">
        <w:rPr>
          <w:color w:val="000000"/>
          <w:sz w:val="22"/>
          <w:szCs w:val="22"/>
        </w:rPr>
        <w:t>Podlicenční</w:t>
      </w:r>
      <w:proofErr w:type="spellEnd"/>
      <w:r w:rsidRPr="00C611E2">
        <w:rPr>
          <w:color w:val="000000"/>
          <w:sz w:val="22"/>
          <w:szCs w:val="22"/>
        </w:rPr>
        <w:t xml:space="preserve"> smlouvou nabývá právo k televiznímu vysílání Filmů na území České republiky, je Nabyvatel povinen písemně hlásit všechna vysílání Filmů (premiéry i reprízy) NFA, přičemž součástí takového hlášení bude i uvedení dat a časů jednotlivých vysílání a identifikace televizního vysílatele. Písemné hlášení dle předchozí věty bude Nabyvatel vždy vyhotovovat ve vztahu k Filmům užitým v předešlém kalendářním čtvrtletí trvání této smlouvy, a každé takové hlášení zašle NFA nejpozději do 15 dnů od konce příslušného kalendářního čtvrtletí.</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 xml:space="preserve">Nabyvatel není oprávněn provádět jakékoliv změny, úpravy, doplnění, spojení nebo jiné zásahy do Filmů, ledaže je v této smlouvě výslovně uvedeno jinak. </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povinen podlicenci využít. Případné nevyužití podlicence Nabyvatelem v rozporu s předchozí větou nemá vliv na výši odměny pro NFA dle čl. V.</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D00664">
      <w:pPr>
        <w:numPr>
          <w:ilvl w:val="0"/>
          <w:numId w:val="1"/>
        </w:numPr>
        <w:pBdr>
          <w:top w:val="nil"/>
          <w:left w:val="nil"/>
          <w:bottom w:val="nil"/>
          <w:right w:val="nil"/>
          <w:between w:val="nil"/>
        </w:pBdr>
        <w:jc w:val="both"/>
        <w:rPr>
          <w:color w:val="000000"/>
          <w:sz w:val="22"/>
          <w:szCs w:val="22"/>
        </w:rPr>
      </w:pPr>
      <w:r>
        <w:rPr>
          <w:color w:val="000000"/>
          <w:sz w:val="22"/>
          <w:szCs w:val="22"/>
        </w:rPr>
        <w:t>XXX</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povinen bezodkladně oznámit NFA jakékoliv porušení práva NFA nebo Státního fondu kinematografie k Filmům, o kterém se dozví.</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
        </w:numPr>
        <w:pBdr>
          <w:top w:val="nil"/>
          <w:left w:val="nil"/>
          <w:bottom w:val="nil"/>
          <w:right w:val="nil"/>
          <w:between w:val="nil"/>
        </w:pBdr>
        <w:jc w:val="both"/>
        <w:rPr>
          <w:color w:val="000000"/>
          <w:sz w:val="22"/>
          <w:szCs w:val="22"/>
        </w:rPr>
      </w:pPr>
      <w:r w:rsidRPr="00C611E2">
        <w:rPr>
          <w:color w:val="000000"/>
          <w:sz w:val="22"/>
          <w:szCs w:val="22"/>
        </w:rPr>
        <w:t>Nabyvatel je zásadně při užití Filmů povinen dbát dobrého jména a pověsti NFA a Státního fondu kinematografie a přispívat k jejich ochraně.</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IV.</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Filmové materiály</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NFA se zavazuje dodat Nabyvatel</w:t>
      </w:r>
      <w:r w:rsidRPr="00C611E2">
        <w:rPr>
          <w:sz w:val="22"/>
          <w:szCs w:val="22"/>
        </w:rPr>
        <w:t>i</w:t>
      </w:r>
      <w:r w:rsidRPr="00C611E2">
        <w:rPr>
          <w:color w:val="000000"/>
          <w:sz w:val="22"/>
          <w:szCs w:val="22"/>
        </w:rPr>
        <w:t xml:space="preserve"> </w:t>
      </w:r>
      <w:r w:rsidRPr="00C611E2">
        <w:rPr>
          <w:sz w:val="22"/>
          <w:szCs w:val="22"/>
        </w:rPr>
        <w:t xml:space="preserve">záznamy Filmů v nehmotné podobě ve formátu QT Apple </w:t>
      </w:r>
      <w:proofErr w:type="spellStart"/>
      <w:r w:rsidRPr="00C611E2">
        <w:rPr>
          <w:sz w:val="22"/>
          <w:szCs w:val="22"/>
        </w:rPr>
        <w:t>ProRes</w:t>
      </w:r>
      <w:proofErr w:type="spellEnd"/>
      <w:r w:rsidRPr="00C611E2">
        <w:rPr>
          <w:sz w:val="22"/>
          <w:szCs w:val="22"/>
        </w:rPr>
        <w:t xml:space="preserve"> 422HQ výhradně určené pro účely televizního vysílání prostřednictvím úložiště NFA. </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Nabyvatel se zavazuje, že při realizaci svých licenčních oprávnění dle této smlouvy bude využívat vždy pouze nejkvalitnějších kopií Filmů (ať už digitálních nebo jiných), které mu kdykoliv po dobu trvání této rámcové smlouvy byly zpřístupněny ze strany NFA nebo třetích osob.</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 xml:space="preserve">Vyjma </w:t>
      </w:r>
      <w:r w:rsidRPr="00C611E2">
        <w:rPr>
          <w:sz w:val="22"/>
          <w:szCs w:val="22"/>
        </w:rPr>
        <w:t xml:space="preserve">záznamu </w:t>
      </w:r>
      <w:r w:rsidRPr="00C611E2">
        <w:rPr>
          <w:color w:val="000000"/>
          <w:sz w:val="22"/>
          <w:szCs w:val="22"/>
        </w:rPr>
        <w:t>Filmů se smluvní strany mohou dohodnout rovněž na předání dalších materiálů, jako jsou informační materiály obsahující zejména seznam hlavních tvůrčích pracovníků a herecké obsazení Filmů nebo reklamní a propagační materiály k Filmům (dále jen společně jako „</w:t>
      </w:r>
      <w:r w:rsidRPr="00C611E2">
        <w:rPr>
          <w:b/>
          <w:color w:val="000000"/>
          <w:sz w:val="22"/>
          <w:szCs w:val="22"/>
        </w:rPr>
        <w:t>Filmové materiály</w:t>
      </w:r>
      <w:r w:rsidRPr="00C611E2">
        <w:rPr>
          <w:color w:val="000000"/>
          <w:sz w:val="22"/>
          <w:szCs w:val="22"/>
        </w:rPr>
        <w:t>“).</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8"/>
        </w:numPr>
        <w:pBdr>
          <w:top w:val="nil"/>
          <w:left w:val="nil"/>
          <w:bottom w:val="nil"/>
          <w:right w:val="nil"/>
          <w:between w:val="nil"/>
        </w:pBdr>
        <w:jc w:val="both"/>
        <w:rPr>
          <w:color w:val="000000"/>
          <w:sz w:val="22"/>
          <w:szCs w:val="22"/>
        </w:rPr>
      </w:pPr>
      <w:r w:rsidRPr="00C611E2">
        <w:rPr>
          <w:color w:val="000000"/>
          <w:sz w:val="22"/>
          <w:szCs w:val="22"/>
        </w:rPr>
        <w:t>Odměna za poskytnutí Filmových materiálů je již součástí celkové odměny dle čl. V., nedohodnou-li se strany v dílčím případě výslovně jinak.</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V.</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Odměna</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Nabyvatel se zavazuje zaplatit NFA za užití Filmů dle podmínek této smlouvy paušální odměnu ve výši specifikované u každého jednotlivého Filmu v Příloze č. 1.</w:t>
      </w:r>
      <w:r w:rsidRPr="00C611E2">
        <w:rPr>
          <w:sz w:val="22"/>
          <w:szCs w:val="22"/>
        </w:rPr>
        <w:t xml:space="preserve"> </w:t>
      </w:r>
      <w:r w:rsidRPr="00C611E2">
        <w:rPr>
          <w:color w:val="000000"/>
          <w:sz w:val="22"/>
          <w:szCs w:val="22"/>
        </w:rPr>
        <w:t xml:space="preserve">Celková odměna za užití všech Filmů dle této smlouvy činí souhrnně </w:t>
      </w:r>
      <w:r w:rsidR="00D00664">
        <w:rPr>
          <w:sz w:val="22"/>
          <w:szCs w:val="22"/>
        </w:rPr>
        <w:t>XXX</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 xml:space="preserve">Celková odměna stanovená v odst. 1 tohoto článku bude Nabyvatelem NFA uhrazena na </w:t>
      </w:r>
      <w:proofErr w:type="spellStart"/>
      <w:r w:rsidRPr="00C611E2">
        <w:rPr>
          <w:color w:val="000000"/>
          <w:sz w:val="22"/>
          <w:szCs w:val="22"/>
        </w:rPr>
        <w:t>č.ú</w:t>
      </w:r>
      <w:proofErr w:type="spellEnd"/>
      <w:r w:rsidRPr="00C611E2">
        <w:rPr>
          <w:color w:val="000000"/>
          <w:sz w:val="22"/>
          <w:szCs w:val="22"/>
        </w:rPr>
        <w:t xml:space="preserve">. uvedené v záhlaví smlouvy na základě běžné faktury </w:t>
      </w:r>
      <w:r w:rsidRPr="00C611E2">
        <w:rPr>
          <w:sz w:val="22"/>
          <w:szCs w:val="22"/>
        </w:rPr>
        <w:t xml:space="preserve">vystavené ke dni podpisu smlouvy </w:t>
      </w:r>
      <w:r w:rsidRPr="00C611E2">
        <w:rPr>
          <w:color w:val="000000"/>
          <w:sz w:val="22"/>
          <w:szCs w:val="22"/>
        </w:rPr>
        <w:t>se všemi zákonnými náležitostmi daňového dokladu vystavené NFA na základě této smlouvy se lhůtou splatnosti 30 dnů od jejího vystavení. Smluvní strany se dohodly, že za den poskytnutí služby se pro účely této smlouvy považuje den vystavení faktury NFA.</w:t>
      </w:r>
    </w:p>
    <w:p w:rsidR="0000476C" w:rsidRPr="00C611E2" w:rsidRDefault="0000476C">
      <w:pPr>
        <w:pBdr>
          <w:top w:val="nil"/>
          <w:left w:val="nil"/>
          <w:bottom w:val="nil"/>
          <w:right w:val="nil"/>
          <w:between w:val="nil"/>
        </w:pBdr>
        <w:ind w:left="360"/>
        <w:jc w:val="both"/>
        <w:rPr>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 xml:space="preserve">V případě prodlení Nabyvatele s úhradou odměny dle ustanovení této smlouvy se Nabyvatel zavazuje uhradit NFA úrok z prodlení ve výši 0,05 % </w:t>
      </w:r>
      <w:r w:rsidR="00A554E0" w:rsidRPr="00C611E2">
        <w:rPr>
          <w:color w:val="000000"/>
          <w:sz w:val="22"/>
          <w:szCs w:val="22"/>
        </w:rPr>
        <w:t xml:space="preserve">z dlužné částky </w:t>
      </w:r>
      <w:r w:rsidRPr="00C611E2">
        <w:rPr>
          <w:color w:val="000000"/>
          <w:sz w:val="22"/>
          <w:szCs w:val="22"/>
        </w:rPr>
        <w:t xml:space="preserve">za každý celý den prodlení. </w:t>
      </w:r>
    </w:p>
    <w:p w:rsidR="0000476C" w:rsidRPr="00C611E2" w:rsidRDefault="0000476C">
      <w:pPr>
        <w:pBdr>
          <w:top w:val="nil"/>
          <w:left w:val="nil"/>
          <w:bottom w:val="nil"/>
          <w:right w:val="nil"/>
          <w:between w:val="nil"/>
        </w:pBdr>
        <w:ind w:left="360"/>
        <w:jc w:val="both"/>
        <w:rPr>
          <w:sz w:val="22"/>
          <w:szCs w:val="22"/>
        </w:rPr>
      </w:pPr>
    </w:p>
    <w:p w:rsidR="0000476C" w:rsidRPr="00C611E2" w:rsidRDefault="008B6CE6">
      <w:pPr>
        <w:numPr>
          <w:ilvl w:val="0"/>
          <w:numId w:val="9"/>
        </w:numPr>
        <w:pBdr>
          <w:top w:val="nil"/>
          <w:left w:val="nil"/>
          <w:bottom w:val="nil"/>
          <w:right w:val="nil"/>
          <w:between w:val="nil"/>
        </w:pBdr>
        <w:jc w:val="both"/>
        <w:rPr>
          <w:color w:val="000000"/>
          <w:sz w:val="22"/>
          <w:szCs w:val="22"/>
        </w:rPr>
      </w:pPr>
      <w:r w:rsidRPr="00C611E2">
        <w:rPr>
          <w:color w:val="000000"/>
          <w:sz w:val="22"/>
          <w:szCs w:val="22"/>
        </w:rPr>
        <w:t xml:space="preserve">V případě prodlení Nabyvatele s úhradou kterékoliv části odměny ve lhůtě splatnosti a po marném uplynutí dodatečně poskytnuté lhůty na zaplacení dlužné částky v délce 14 dnů je NFA oprávněn s okamžitým účinkem odstoupit od této smlouvy. </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VI.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Mlčenlivost</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6"/>
        </w:numPr>
        <w:pBdr>
          <w:top w:val="nil"/>
          <w:left w:val="nil"/>
          <w:bottom w:val="nil"/>
          <w:right w:val="nil"/>
          <w:between w:val="nil"/>
        </w:pBdr>
        <w:ind w:left="426" w:hanging="426"/>
        <w:jc w:val="both"/>
        <w:rPr>
          <w:color w:val="000000"/>
          <w:sz w:val="22"/>
          <w:szCs w:val="22"/>
        </w:rPr>
      </w:pPr>
      <w:r w:rsidRPr="00C611E2">
        <w:rPr>
          <w:color w:val="000000"/>
          <w:sz w:val="22"/>
          <w:szCs w:val="22"/>
        </w:rPr>
        <w:t>Nabyvatel prohlašuje, že si je vědom skutečnosti, že veškeré údaje, které se dozví v rámci této smlouvy nebo v souvislosti s jejím plněním, a které nejsou veřejně dostupné</w:t>
      </w:r>
      <w:r w:rsidR="00A554E0" w:rsidRPr="00C611E2">
        <w:rPr>
          <w:color w:val="000000"/>
          <w:sz w:val="22"/>
          <w:szCs w:val="22"/>
        </w:rPr>
        <w:t xml:space="preserve"> a zároveň budou ze strany NFA označeny výslovně jako „důvěrné“</w:t>
      </w:r>
      <w:r w:rsidRPr="00C611E2">
        <w:rPr>
          <w:color w:val="000000"/>
          <w:sz w:val="22"/>
          <w:szCs w:val="22"/>
        </w:rPr>
        <w:t>, tvoří důvěrné informace NFA. Za informace, tvořící důvěrné informace, se například považují:</w:t>
      </w:r>
    </w:p>
    <w:p w:rsidR="0000476C" w:rsidRPr="00C611E2" w:rsidRDefault="008B6CE6">
      <w:pPr>
        <w:numPr>
          <w:ilvl w:val="0"/>
          <w:numId w:val="5"/>
        </w:numPr>
        <w:pBdr>
          <w:top w:val="nil"/>
          <w:left w:val="nil"/>
          <w:bottom w:val="nil"/>
          <w:right w:val="nil"/>
          <w:between w:val="nil"/>
        </w:pBdr>
        <w:jc w:val="both"/>
        <w:rPr>
          <w:color w:val="000000"/>
          <w:sz w:val="22"/>
          <w:szCs w:val="22"/>
        </w:rPr>
      </w:pPr>
      <w:r w:rsidRPr="00C611E2">
        <w:rPr>
          <w:color w:val="000000"/>
          <w:sz w:val="22"/>
          <w:szCs w:val="22"/>
        </w:rPr>
        <w:t xml:space="preserve">informace týkající se současné pozice NFA na trhu + vnitřního uspořádání NFA, </w:t>
      </w:r>
    </w:p>
    <w:p w:rsidR="0000476C" w:rsidRPr="00C611E2" w:rsidRDefault="008B6CE6">
      <w:pPr>
        <w:numPr>
          <w:ilvl w:val="0"/>
          <w:numId w:val="5"/>
        </w:numPr>
        <w:pBdr>
          <w:top w:val="nil"/>
          <w:left w:val="nil"/>
          <w:bottom w:val="nil"/>
          <w:right w:val="nil"/>
          <w:between w:val="nil"/>
        </w:pBdr>
        <w:jc w:val="both"/>
        <w:rPr>
          <w:color w:val="000000"/>
          <w:sz w:val="22"/>
          <w:szCs w:val="22"/>
        </w:rPr>
      </w:pPr>
      <w:r w:rsidRPr="00C611E2">
        <w:rPr>
          <w:color w:val="000000"/>
          <w:sz w:val="22"/>
          <w:szCs w:val="22"/>
        </w:rPr>
        <w:t>informace o edičním plánu, marketingových plánech a připravovaných kampaních NFA,</w:t>
      </w:r>
    </w:p>
    <w:p w:rsidR="0000476C" w:rsidRPr="00C611E2" w:rsidRDefault="008B6CE6">
      <w:pPr>
        <w:numPr>
          <w:ilvl w:val="0"/>
          <w:numId w:val="5"/>
        </w:numPr>
        <w:pBdr>
          <w:top w:val="nil"/>
          <w:left w:val="nil"/>
          <w:bottom w:val="nil"/>
          <w:right w:val="nil"/>
          <w:between w:val="nil"/>
        </w:pBdr>
        <w:jc w:val="both"/>
        <w:rPr>
          <w:color w:val="000000"/>
          <w:sz w:val="22"/>
          <w:szCs w:val="22"/>
        </w:rPr>
      </w:pPr>
      <w:r w:rsidRPr="00C611E2">
        <w:rPr>
          <w:color w:val="000000"/>
          <w:sz w:val="22"/>
          <w:szCs w:val="22"/>
        </w:rPr>
        <w:t xml:space="preserve">informace o nových produktech a službách NFA. </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3"/>
        </w:numPr>
        <w:pBdr>
          <w:top w:val="nil"/>
          <w:left w:val="nil"/>
          <w:bottom w:val="nil"/>
          <w:right w:val="nil"/>
          <w:between w:val="nil"/>
        </w:pBdr>
        <w:jc w:val="both"/>
        <w:rPr>
          <w:color w:val="000000"/>
        </w:rPr>
      </w:pPr>
      <w:r w:rsidRPr="00C611E2">
        <w:rPr>
          <w:color w:val="000000"/>
          <w:sz w:val="22"/>
          <w:szCs w:val="22"/>
        </w:rPr>
        <w:t>Nabyvatel se zavazuje tyto důvěrné informace zachovávat v naprosté tajnosti a po skončení spolupráce či kdykoliv na pokyn NFA ihned a bezvýjimečně vrátit NFA jakékoliv a všechny dokumenty takové informace obsahující a nedopustit, aby tyto důvěrné informace byly kdykoli po podpisu této smlouvy prozrazeny jakékoliv nepovolané osobě. Tento závazek trvá pro Nabyvatele i po ukončení platnosti této smlouvy.</w:t>
      </w:r>
    </w:p>
    <w:p w:rsidR="0000476C" w:rsidRPr="00C611E2" w:rsidRDefault="0000476C">
      <w:pPr>
        <w:pBdr>
          <w:top w:val="nil"/>
          <w:left w:val="nil"/>
          <w:bottom w:val="nil"/>
          <w:right w:val="nil"/>
          <w:between w:val="nil"/>
        </w:pBdr>
        <w:ind w:left="540"/>
        <w:jc w:val="both"/>
        <w:rPr>
          <w:color w:val="000000"/>
          <w:sz w:val="22"/>
          <w:szCs w:val="22"/>
        </w:rPr>
      </w:pPr>
    </w:p>
    <w:p w:rsidR="0000476C" w:rsidRPr="00C611E2" w:rsidRDefault="008B6CE6">
      <w:pPr>
        <w:numPr>
          <w:ilvl w:val="0"/>
          <w:numId w:val="3"/>
        </w:numPr>
        <w:pBdr>
          <w:top w:val="nil"/>
          <w:left w:val="nil"/>
          <w:bottom w:val="nil"/>
          <w:right w:val="nil"/>
          <w:between w:val="nil"/>
        </w:pBdr>
        <w:jc w:val="both"/>
        <w:rPr>
          <w:color w:val="000000"/>
        </w:rPr>
      </w:pPr>
      <w:r w:rsidRPr="00C611E2">
        <w:rPr>
          <w:color w:val="000000"/>
          <w:sz w:val="22"/>
          <w:szCs w:val="22"/>
        </w:rPr>
        <w:t>Nabyvatel se zavazuje tyto důvěrné informace nikdy nevyužít žádným způsobem, přímo ani nepřímo, ve svůj prospěch či jinak, než v zájmu NFA a v souladu s jeho instrukcemi a pokyny.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3"/>
        </w:numPr>
        <w:pBdr>
          <w:top w:val="nil"/>
          <w:left w:val="nil"/>
          <w:bottom w:val="nil"/>
          <w:right w:val="nil"/>
          <w:between w:val="nil"/>
        </w:pBdr>
        <w:jc w:val="both"/>
        <w:rPr>
          <w:color w:val="000000"/>
        </w:rPr>
      </w:pPr>
      <w:r w:rsidRPr="00C611E2">
        <w:rPr>
          <w:color w:val="000000"/>
          <w:sz w:val="22"/>
          <w:szCs w:val="22"/>
        </w:rPr>
        <w:t>Nabyvatel se zavazuje, že jakékoli podklady (včetně grafických vyobrazení, log, ochranných známek atd.) získané od NFA či jím pověřené třetí osoby využije výlučně pro účely této smlouvy.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VII.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Smluvní pokuta</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11"/>
        </w:numPr>
        <w:pBdr>
          <w:top w:val="nil"/>
          <w:left w:val="nil"/>
          <w:bottom w:val="nil"/>
          <w:right w:val="nil"/>
          <w:between w:val="nil"/>
        </w:pBdr>
        <w:ind w:left="567" w:hanging="567"/>
        <w:jc w:val="both"/>
        <w:rPr>
          <w:color w:val="000000"/>
          <w:sz w:val="22"/>
          <w:szCs w:val="22"/>
        </w:rPr>
      </w:pPr>
      <w:r w:rsidRPr="00C611E2">
        <w:rPr>
          <w:color w:val="000000"/>
          <w:sz w:val="22"/>
          <w:szCs w:val="22"/>
        </w:rPr>
        <w:t xml:space="preserve">Nabyvatel se zavazuje uhradit NFA smluvní pokutu ve výši </w:t>
      </w:r>
      <w:r w:rsidR="00D00664">
        <w:rPr>
          <w:b/>
          <w:color w:val="000000"/>
          <w:sz w:val="22"/>
          <w:szCs w:val="22"/>
        </w:rPr>
        <w:t>XXX</w:t>
      </w:r>
      <w:r w:rsidRPr="00C611E2">
        <w:rPr>
          <w:color w:val="000000"/>
          <w:sz w:val="22"/>
          <w:szCs w:val="22"/>
        </w:rPr>
        <w:t xml:space="preserve"> za každé jednotlivé porušení kterékoliv z následujících povinností, jež se Nabyvatel zavazuje pečlivě dodržovat:</w:t>
      </w:r>
    </w:p>
    <w:p w:rsidR="0000476C" w:rsidRPr="00C611E2" w:rsidRDefault="0000476C">
      <w:pPr>
        <w:pBdr>
          <w:top w:val="nil"/>
          <w:left w:val="nil"/>
          <w:bottom w:val="nil"/>
          <w:right w:val="nil"/>
          <w:between w:val="nil"/>
        </w:pBdr>
        <w:ind w:left="567"/>
        <w:jc w:val="both"/>
        <w:rPr>
          <w:color w:val="000000"/>
          <w:sz w:val="22"/>
          <w:szCs w:val="22"/>
        </w:rPr>
      </w:pPr>
    </w:p>
    <w:p w:rsidR="0000476C" w:rsidRPr="00C611E2" w:rsidRDefault="008B6CE6">
      <w:pPr>
        <w:numPr>
          <w:ilvl w:val="0"/>
          <w:numId w:val="12"/>
        </w:numPr>
        <w:pBdr>
          <w:top w:val="nil"/>
          <w:left w:val="nil"/>
          <w:bottom w:val="nil"/>
          <w:right w:val="nil"/>
          <w:between w:val="nil"/>
        </w:pBdr>
        <w:jc w:val="both"/>
        <w:rPr>
          <w:color w:val="000000"/>
          <w:sz w:val="22"/>
          <w:szCs w:val="22"/>
        </w:rPr>
      </w:pPr>
      <w:r w:rsidRPr="00C611E2">
        <w:rPr>
          <w:color w:val="000000"/>
          <w:sz w:val="22"/>
          <w:szCs w:val="22"/>
        </w:rPr>
        <w:t xml:space="preserve">Povinnost Nabyvatele neužívat Filmy ve větším rozsahu (věcném, časovém, územním, množstevním), než je uvedeno v čl. III. odst. 1 této smlouvy </w:t>
      </w:r>
    </w:p>
    <w:p w:rsidR="0000476C" w:rsidRPr="00C611E2" w:rsidRDefault="008B6CE6">
      <w:pPr>
        <w:numPr>
          <w:ilvl w:val="0"/>
          <w:numId w:val="12"/>
        </w:numPr>
        <w:pBdr>
          <w:top w:val="nil"/>
          <w:left w:val="nil"/>
          <w:bottom w:val="nil"/>
          <w:right w:val="nil"/>
          <w:between w:val="nil"/>
        </w:pBdr>
        <w:jc w:val="both"/>
        <w:rPr>
          <w:color w:val="000000"/>
          <w:sz w:val="22"/>
          <w:szCs w:val="22"/>
        </w:rPr>
      </w:pPr>
      <w:r w:rsidRPr="00C611E2">
        <w:rPr>
          <w:color w:val="000000"/>
          <w:sz w:val="22"/>
          <w:szCs w:val="22"/>
        </w:rPr>
        <w:t>Povinnost Nabyvatele nezasahovat do Filmů ve větším rozsahu, než je výslovně umožněno v odpovídajících ustanoveních čl. III. této smlouvy.</w:t>
      </w:r>
    </w:p>
    <w:p w:rsidR="0000476C" w:rsidRPr="00C611E2" w:rsidRDefault="008B6CE6">
      <w:pPr>
        <w:numPr>
          <w:ilvl w:val="0"/>
          <w:numId w:val="12"/>
        </w:numPr>
        <w:pBdr>
          <w:top w:val="nil"/>
          <w:left w:val="nil"/>
          <w:bottom w:val="nil"/>
          <w:right w:val="nil"/>
          <w:between w:val="nil"/>
        </w:pBdr>
        <w:jc w:val="both"/>
        <w:rPr>
          <w:color w:val="000000"/>
          <w:sz w:val="22"/>
          <w:szCs w:val="22"/>
        </w:rPr>
      </w:pPr>
      <w:r w:rsidRPr="00C611E2">
        <w:rPr>
          <w:color w:val="000000"/>
          <w:sz w:val="22"/>
          <w:szCs w:val="22"/>
        </w:rPr>
        <w:t xml:space="preserve">Povinnost Nabyvatele neužít Filmy jakkoliv jinak v rozporu s touto smlouvou, než je uvedeno v předešlých bodech a) </w:t>
      </w:r>
      <w:r w:rsidR="0033041F" w:rsidRPr="00C611E2">
        <w:rPr>
          <w:color w:val="000000"/>
          <w:sz w:val="22"/>
          <w:szCs w:val="22"/>
        </w:rPr>
        <w:t xml:space="preserve">až </w:t>
      </w:r>
      <w:r w:rsidRPr="00C611E2">
        <w:rPr>
          <w:color w:val="000000"/>
          <w:sz w:val="22"/>
          <w:szCs w:val="22"/>
        </w:rPr>
        <w:t>b) a v následujícím odstavci 2.</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11"/>
        </w:numPr>
        <w:pBdr>
          <w:top w:val="nil"/>
          <w:left w:val="nil"/>
          <w:bottom w:val="nil"/>
          <w:right w:val="nil"/>
          <w:between w:val="nil"/>
        </w:pBdr>
        <w:ind w:left="567" w:hanging="567"/>
        <w:jc w:val="both"/>
        <w:rPr>
          <w:color w:val="000000"/>
          <w:sz w:val="22"/>
          <w:szCs w:val="22"/>
        </w:rPr>
      </w:pPr>
      <w:r w:rsidRPr="00C611E2">
        <w:rPr>
          <w:color w:val="000000"/>
          <w:sz w:val="22"/>
          <w:szCs w:val="22"/>
        </w:rPr>
        <w:t xml:space="preserve">Nabyvatel se zavazuje uhradit Státnímu fondu kinematografie, </w:t>
      </w:r>
      <w:r w:rsidR="0033041F" w:rsidRPr="00C611E2">
        <w:rPr>
          <w:color w:val="000000"/>
          <w:sz w:val="22"/>
          <w:szCs w:val="22"/>
        </w:rPr>
        <w:t>IČO: 01454455, se sídlem: Praha 7</w:t>
      </w:r>
      <w:r w:rsidR="00D00664">
        <w:rPr>
          <w:color w:val="000000"/>
          <w:sz w:val="22"/>
          <w:szCs w:val="22"/>
        </w:rPr>
        <w:t xml:space="preserve"> </w:t>
      </w:r>
      <w:r w:rsidR="0033041F" w:rsidRPr="00C611E2">
        <w:rPr>
          <w:color w:val="000000"/>
          <w:sz w:val="22"/>
          <w:szCs w:val="22"/>
        </w:rPr>
        <w:t>- Holešovice, Dukelských hrdinů 530/47, PSČ: 170 00,</w:t>
      </w:r>
      <w:r w:rsidRPr="00C611E2">
        <w:rPr>
          <w:color w:val="000000"/>
          <w:sz w:val="22"/>
          <w:szCs w:val="22"/>
        </w:rPr>
        <w:t xml:space="preserve"> smluvní pokutu ve výši</w:t>
      </w:r>
      <w:r w:rsidR="00EF6ACC" w:rsidRPr="00C611E2">
        <w:t xml:space="preserve"> </w:t>
      </w:r>
      <w:r w:rsidR="00D00664">
        <w:rPr>
          <w:color w:val="000000"/>
          <w:sz w:val="22"/>
          <w:szCs w:val="22"/>
        </w:rPr>
        <w:t>XXX</w:t>
      </w:r>
      <w:r w:rsidR="00EF6ACC" w:rsidRPr="00C611E2">
        <w:rPr>
          <w:color w:val="000000"/>
          <w:sz w:val="22"/>
          <w:szCs w:val="22"/>
        </w:rPr>
        <w:t xml:space="preserve"> za užití daného Filmu dle Přílohy č. 1</w:t>
      </w:r>
      <w:r w:rsidRPr="00C611E2">
        <w:rPr>
          <w:color w:val="000000"/>
          <w:sz w:val="22"/>
          <w:szCs w:val="22"/>
        </w:rPr>
        <w:t xml:space="preserve"> za každé jednotlivé přerušení Filmu reklamou, které není výslovně povoleno v Příloze č. 1 této smlouvy (ať již ze strany Nabyvatele nebo třetí osoby, jejím prostřednictvím Nabyvatel realizuje svá práva z podlicence), tedy za užití Filmu v rozporu č. III. odst. 5 této smlouvy.</w:t>
      </w:r>
    </w:p>
    <w:p w:rsidR="0000476C" w:rsidRPr="00C611E2" w:rsidRDefault="0000476C">
      <w:pPr>
        <w:pBdr>
          <w:top w:val="nil"/>
          <w:left w:val="nil"/>
          <w:bottom w:val="nil"/>
          <w:right w:val="nil"/>
          <w:between w:val="nil"/>
        </w:pBdr>
        <w:ind w:left="567"/>
        <w:jc w:val="both"/>
        <w:rPr>
          <w:color w:val="000000"/>
          <w:sz w:val="22"/>
          <w:szCs w:val="22"/>
        </w:rPr>
      </w:pPr>
    </w:p>
    <w:p w:rsidR="0000476C" w:rsidRPr="00C611E2" w:rsidRDefault="008B6CE6">
      <w:pPr>
        <w:numPr>
          <w:ilvl w:val="0"/>
          <w:numId w:val="11"/>
        </w:numPr>
        <w:pBdr>
          <w:top w:val="nil"/>
          <w:left w:val="nil"/>
          <w:bottom w:val="nil"/>
          <w:right w:val="nil"/>
          <w:between w:val="nil"/>
        </w:pBdr>
        <w:ind w:left="567" w:hanging="567"/>
        <w:jc w:val="both"/>
        <w:rPr>
          <w:color w:val="000000"/>
          <w:sz w:val="22"/>
          <w:szCs w:val="22"/>
        </w:rPr>
      </w:pPr>
      <w:r w:rsidRPr="00C611E2">
        <w:rPr>
          <w:color w:val="000000"/>
          <w:sz w:val="22"/>
          <w:szCs w:val="22"/>
        </w:rPr>
        <w:t xml:space="preserve">Smluvní pokuty uvedené v tomto článku jsou splatné do 7 dnů od doručení písemného vyúčtování příslušné pokuty Nabyvateli. Úhradou smluvní pokuty není dotčeno právo NFA či Státního fondu kinematografie na náhradu vzniklé škody či jiné újmy v plné výši. </w:t>
      </w:r>
    </w:p>
    <w:p w:rsidR="0000476C" w:rsidRPr="00C611E2" w:rsidRDefault="0000476C">
      <w:pPr>
        <w:pBdr>
          <w:top w:val="nil"/>
          <w:left w:val="nil"/>
          <w:bottom w:val="nil"/>
          <w:right w:val="nil"/>
          <w:between w:val="nil"/>
        </w:pBdr>
        <w:ind w:left="567"/>
        <w:jc w:val="both"/>
        <w:rPr>
          <w:color w:val="000000"/>
          <w:sz w:val="22"/>
          <w:szCs w:val="22"/>
        </w:rPr>
      </w:pPr>
    </w:p>
    <w:p w:rsidR="0000476C" w:rsidRPr="00C611E2" w:rsidRDefault="008B6CE6">
      <w:pPr>
        <w:numPr>
          <w:ilvl w:val="0"/>
          <w:numId w:val="11"/>
        </w:numPr>
        <w:pBdr>
          <w:top w:val="nil"/>
          <w:left w:val="nil"/>
          <w:bottom w:val="nil"/>
          <w:right w:val="nil"/>
          <w:between w:val="nil"/>
        </w:pBdr>
        <w:ind w:left="567" w:hanging="567"/>
        <w:jc w:val="both"/>
        <w:rPr>
          <w:color w:val="000000"/>
          <w:sz w:val="22"/>
          <w:szCs w:val="22"/>
        </w:rPr>
      </w:pPr>
      <w:r w:rsidRPr="00C611E2">
        <w:rPr>
          <w:color w:val="000000"/>
          <w:sz w:val="22"/>
          <w:szCs w:val="22"/>
        </w:rPr>
        <w:t>V případě, kdy bude smluvní pokuta snížená soudem, zůstává zachováno právo na náhradu škody ve výši, v jaké škoda převyšuje částku určenou soudem jako přiměřenou a to bez jakéhokoliv dalšího omezení</w:t>
      </w:r>
      <w:r w:rsidR="0033041F" w:rsidRPr="00C611E2">
        <w:rPr>
          <w:color w:val="000000"/>
          <w:sz w:val="22"/>
          <w:szCs w:val="22"/>
        </w:rPr>
        <w:t>.</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lastRenderedPageBreak/>
        <w:t>VIII.</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Zvláštní ujednání o zveřejnění v registru smluv České republiky</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13"/>
        </w:numPr>
        <w:pBdr>
          <w:top w:val="nil"/>
          <w:left w:val="nil"/>
          <w:bottom w:val="nil"/>
          <w:right w:val="nil"/>
          <w:between w:val="nil"/>
        </w:pBdr>
        <w:jc w:val="both"/>
        <w:rPr>
          <w:color w:val="000000"/>
          <w:sz w:val="22"/>
          <w:szCs w:val="22"/>
        </w:rPr>
      </w:pPr>
      <w:r w:rsidRPr="00C611E2">
        <w:rPr>
          <w:color w:val="000000"/>
          <w:sz w:val="22"/>
          <w:szCs w:val="22"/>
        </w:rPr>
        <w:t>NFA je osobou, na níž se vztahují povinnosti vyplývající ze zákona č. 340/2015 Sb., o registru smluv (dále jen „</w:t>
      </w:r>
      <w:proofErr w:type="spellStart"/>
      <w:r w:rsidRPr="00C611E2">
        <w:rPr>
          <w:b/>
          <w:color w:val="000000"/>
          <w:sz w:val="22"/>
          <w:szCs w:val="22"/>
        </w:rPr>
        <w:t>ZoRS</w:t>
      </w:r>
      <w:proofErr w:type="spellEnd"/>
      <w:r w:rsidRPr="00C611E2">
        <w:rPr>
          <w:color w:val="000000"/>
          <w:sz w:val="22"/>
          <w:szCs w:val="22"/>
        </w:rPr>
        <w:t xml:space="preserve">“). Tato smlouva podléhá povinnosti uveřejnění v registru smluv podle </w:t>
      </w:r>
      <w:proofErr w:type="spellStart"/>
      <w:r w:rsidRPr="00C611E2">
        <w:rPr>
          <w:color w:val="000000"/>
          <w:sz w:val="22"/>
          <w:szCs w:val="22"/>
        </w:rPr>
        <w:t>ZoRS</w:t>
      </w:r>
      <w:proofErr w:type="spellEnd"/>
      <w:r w:rsidRPr="00C611E2">
        <w:rPr>
          <w:color w:val="000000"/>
          <w:sz w:val="22"/>
          <w:szCs w:val="22"/>
        </w:rPr>
        <w:t xml:space="preserve"> a nabývá účinnosti dnem uveřejnění v tomto registru. Druhá smluvní strana si je vědoma následků této skutečnosti.</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3"/>
        </w:numPr>
        <w:pBdr>
          <w:top w:val="nil"/>
          <w:left w:val="nil"/>
          <w:bottom w:val="nil"/>
          <w:right w:val="nil"/>
          <w:between w:val="nil"/>
        </w:pBdr>
        <w:jc w:val="both"/>
        <w:rPr>
          <w:color w:val="000000"/>
          <w:sz w:val="22"/>
          <w:szCs w:val="22"/>
        </w:rPr>
      </w:pPr>
      <w:r w:rsidRPr="00C611E2">
        <w:rPr>
          <w:color w:val="000000"/>
          <w:sz w:val="22"/>
          <w:szCs w:val="22"/>
        </w:rPr>
        <w:t xml:space="preserve">K uveřejnění této smlouvy v souladu s  </w:t>
      </w:r>
      <w:proofErr w:type="spellStart"/>
      <w:r w:rsidRPr="00C611E2">
        <w:rPr>
          <w:color w:val="000000"/>
          <w:sz w:val="22"/>
          <w:szCs w:val="22"/>
        </w:rPr>
        <w:t>ZoRS</w:t>
      </w:r>
      <w:proofErr w:type="spellEnd"/>
      <w:r w:rsidRPr="00C611E2">
        <w:rPr>
          <w:color w:val="000000"/>
          <w:sz w:val="22"/>
          <w:szCs w:val="22"/>
        </w:rPr>
        <w:t xml:space="preserve">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3"/>
        </w:numPr>
        <w:pBdr>
          <w:top w:val="nil"/>
          <w:left w:val="nil"/>
          <w:bottom w:val="nil"/>
          <w:right w:val="nil"/>
          <w:between w:val="nil"/>
        </w:pBdr>
        <w:jc w:val="both"/>
        <w:rPr>
          <w:color w:val="000000"/>
          <w:sz w:val="22"/>
          <w:szCs w:val="22"/>
        </w:rPr>
      </w:pPr>
      <w:r w:rsidRPr="00C611E2">
        <w:rPr>
          <w:color w:val="000000"/>
          <w:sz w:val="22"/>
          <w:szCs w:val="22"/>
        </w:rPr>
        <w:t xml:space="preserve">Smluvní strany konstatují, že skutečnosti uvedené v následujících ustanoveních jsou obchodním tajemstvím ve smyslu </w:t>
      </w:r>
      <w:proofErr w:type="spellStart"/>
      <w:r w:rsidRPr="00C611E2">
        <w:rPr>
          <w:color w:val="000000"/>
          <w:sz w:val="22"/>
          <w:szCs w:val="22"/>
        </w:rPr>
        <w:t>ust</w:t>
      </w:r>
      <w:proofErr w:type="spellEnd"/>
      <w:r w:rsidRPr="00C611E2">
        <w:rPr>
          <w:color w:val="000000"/>
          <w:sz w:val="22"/>
          <w:szCs w:val="22"/>
        </w:rPr>
        <w:t xml:space="preserve">. § 504 zákona č. 89/2012 Sb., občanského zákoníku, popř. chráněnými osobními údaji dle zák. č. </w:t>
      </w:r>
      <w:r w:rsidR="00A11EC5" w:rsidRPr="00C611E2">
        <w:rPr>
          <w:color w:val="000000"/>
          <w:sz w:val="22"/>
          <w:szCs w:val="22"/>
        </w:rPr>
        <w:t>110</w:t>
      </w:r>
      <w:r w:rsidRPr="00C611E2">
        <w:rPr>
          <w:color w:val="000000"/>
          <w:sz w:val="22"/>
          <w:szCs w:val="22"/>
        </w:rPr>
        <w:t>/</w:t>
      </w:r>
      <w:r w:rsidR="00A11EC5" w:rsidRPr="00C611E2">
        <w:rPr>
          <w:color w:val="000000"/>
          <w:sz w:val="22"/>
          <w:szCs w:val="22"/>
        </w:rPr>
        <w:t xml:space="preserve">2019 </w:t>
      </w:r>
      <w:r w:rsidRPr="00C611E2">
        <w:rPr>
          <w:color w:val="000000"/>
          <w:sz w:val="22"/>
          <w:szCs w:val="22"/>
        </w:rPr>
        <w:t xml:space="preserve">Sb., o </w:t>
      </w:r>
      <w:r w:rsidR="00A11EC5" w:rsidRPr="00C611E2">
        <w:rPr>
          <w:color w:val="000000"/>
          <w:sz w:val="22"/>
          <w:szCs w:val="22"/>
        </w:rPr>
        <w:t xml:space="preserve">zpracování </w:t>
      </w:r>
      <w:r w:rsidRPr="00C611E2">
        <w:rPr>
          <w:color w:val="000000"/>
          <w:sz w:val="22"/>
          <w:szCs w:val="22"/>
        </w:rPr>
        <w:t xml:space="preserve">osobních údajů, a tato ustanovení budou proto na základě </w:t>
      </w:r>
      <w:proofErr w:type="spellStart"/>
      <w:r w:rsidRPr="00C611E2">
        <w:rPr>
          <w:color w:val="000000"/>
          <w:sz w:val="22"/>
          <w:szCs w:val="22"/>
        </w:rPr>
        <w:t>ust</w:t>
      </w:r>
      <w:proofErr w:type="spellEnd"/>
      <w:r w:rsidRPr="00C611E2">
        <w:rPr>
          <w:color w:val="000000"/>
          <w:sz w:val="22"/>
          <w:szCs w:val="22"/>
        </w:rPr>
        <w:t xml:space="preserve">. § 3 odst. 1 </w:t>
      </w:r>
      <w:proofErr w:type="spellStart"/>
      <w:r w:rsidRPr="00C611E2">
        <w:rPr>
          <w:color w:val="000000"/>
          <w:sz w:val="22"/>
          <w:szCs w:val="22"/>
        </w:rPr>
        <w:t>ZoRS</w:t>
      </w:r>
      <w:proofErr w:type="spellEnd"/>
      <w:r w:rsidRPr="00C611E2">
        <w:rPr>
          <w:color w:val="000000"/>
          <w:sz w:val="22"/>
          <w:szCs w:val="22"/>
        </w:rPr>
        <w:t>, ve spojení s</w:t>
      </w:r>
      <w:r w:rsidR="00A11EC5" w:rsidRPr="00C611E2">
        <w:rPr>
          <w:color w:val="000000"/>
          <w:sz w:val="22"/>
          <w:szCs w:val="22"/>
        </w:rPr>
        <w:t>e</w:t>
      </w:r>
      <w:r w:rsidRPr="00C611E2">
        <w:rPr>
          <w:color w:val="000000"/>
          <w:sz w:val="22"/>
          <w:szCs w:val="22"/>
        </w:rPr>
        <w:t xml:space="preserve">  </w:t>
      </w:r>
      <w:r w:rsidR="00A11EC5" w:rsidRPr="00C611E2">
        <w:rPr>
          <w:color w:val="000000"/>
          <w:sz w:val="22"/>
          <w:szCs w:val="22"/>
        </w:rPr>
        <w:t xml:space="preserve">zákonem </w:t>
      </w:r>
      <w:r w:rsidRPr="00C611E2">
        <w:rPr>
          <w:color w:val="000000"/>
          <w:sz w:val="22"/>
          <w:szCs w:val="22"/>
        </w:rPr>
        <w:t>č. 106/1999 Sb., o svobodném přístupu k informacím, zveřejňující smluvní stranou učiněna nečitelnými v rámci registru smluv:</w:t>
      </w:r>
    </w:p>
    <w:p w:rsidR="0000476C" w:rsidRPr="00C611E2" w:rsidRDefault="0000476C">
      <w:p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color w:val="000000"/>
          <w:sz w:val="22"/>
          <w:szCs w:val="22"/>
        </w:rPr>
      </w:pP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zástupců smluvních stran v hlavičce smlouvy a u podpisů v závěru smlouvy;</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smluvního dokumentu, na jehož základě náleží NFA právo udělovat podlicence (souhlasy) k užití touto smlouvou specifikovaných Filmů v </w:t>
      </w:r>
      <w:proofErr w:type="spellStart"/>
      <w:r w:rsidRPr="00C611E2">
        <w:rPr>
          <w:color w:val="000000"/>
          <w:sz w:val="22"/>
          <w:szCs w:val="22"/>
        </w:rPr>
        <w:t>ust</w:t>
      </w:r>
      <w:proofErr w:type="spellEnd"/>
      <w:r w:rsidRPr="00C611E2">
        <w:rPr>
          <w:color w:val="000000"/>
          <w:sz w:val="22"/>
          <w:szCs w:val="22"/>
        </w:rPr>
        <w:t>. čl. II. odst. 1;</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Filmů a výše odměn za jejich užití v Příloze č. 1 této smlouvy;</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konkrétní druhy souhlasů, které jsou zahrnuty v souhlasu s užitím Filmů, který je poskytován touto smlouvou v </w:t>
      </w:r>
      <w:proofErr w:type="spellStart"/>
      <w:r w:rsidRPr="00C611E2">
        <w:rPr>
          <w:color w:val="000000"/>
          <w:sz w:val="22"/>
          <w:szCs w:val="22"/>
        </w:rPr>
        <w:t>ust</w:t>
      </w:r>
      <w:proofErr w:type="spellEnd"/>
      <w:r w:rsidRPr="00C611E2">
        <w:rPr>
          <w:color w:val="000000"/>
          <w:sz w:val="22"/>
          <w:szCs w:val="22"/>
        </w:rPr>
        <w:t xml:space="preserve">. čl. II. odst. 5 písm. a. </w:t>
      </w:r>
      <w:r w:rsidR="00A95F50" w:rsidRPr="00C611E2">
        <w:rPr>
          <w:color w:val="000000"/>
          <w:sz w:val="22"/>
          <w:szCs w:val="22"/>
        </w:rPr>
        <w:t xml:space="preserve">až </w:t>
      </w:r>
      <w:r w:rsidRPr="00C611E2">
        <w:rPr>
          <w:color w:val="000000"/>
          <w:sz w:val="22"/>
          <w:szCs w:val="22"/>
        </w:rPr>
        <w:t>c.;</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přesná identifikace rozsahu licence (včetně způsobů užití a ujednání o ne/výhradnosti udělovaných souhlasů) v </w:t>
      </w:r>
      <w:proofErr w:type="spellStart"/>
      <w:r w:rsidRPr="00C611E2">
        <w:rPr>
          <w:color w:val="000000"/>
          <w:sz w:val="22"/>
          <w:szCs w:val="22"/>
        </w:rPr>
        <w:t>ust</w:t>
      </w:r>
      <w:proofErr w:type="spellEnd"/>
      <w:r w:rsidRPr="00C611E2">
        <w:rPr>
          <w:color w:val="000000"/>
          <w:sz w:val="22"/>
          <w:szCs w:val="22"/>
        </w:rPr>
        <w:t>. čl. III. odst. 1;</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určení maximální délky ukázek (částí Filmů), které je Nabyvatel oprávněn užít v jiných audiovizuálních dílech v </w:t>
      </w:r>
      <w:proofErr w:type="spellStart"/>
      <w:r w:rsidRPr="00C611E2">
        <w:rPr>
          <w:color w:val="000000"/>
          <w:sz w:val="22"/>
          <w:szCs w:val="22"/>
        </w:rPr>
        <w:t>ust</w:t>
      </w:r>
      <w:proofErr w:type="spellEnd"/>
      <w:r w:rsidRPr="00C611E2">
        <w:rPr>
          <w:color w:val="000000"/>
          <w:sz w:val="22"/>
          <w:szCs w:val="22"/>
        </w:rPr>
        <w:t>. čl. III. odst. 3;</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informace o nositeli/vykonavateli autorských práv k Filmům (včetně příkladu uvedení takové informace) v </w:t>
      </w:r>
      <w:proofErr w:type="spellStart"/>
      <w:r w:rsidRPr="00C611E2">
        <w:rPr>
          <w:color w:val="000000"/>
          <w:sz w:val="22"/>
          <w:szCs w:val="22"/>
        </w:rPr>
        <w:t>ust</w:t>
      </w:r>
      <w:proofErr w:type="spellEnd"/>
      <w:r w:rsidRPr="00C611E2">
        <w:rPr>
          <w:color w:val="000000"/>
          <w:sz w:val="22"/>
          <w:szCs w:val="22"/>
        </w:rPr>
        <w:t>. čl. III. odst. 6;</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informace o tom, jaký druh práva Nabyvatel získává touto smlouvou v </w:t>
      </w:r>
      <w:proofErr w:type="spellStart"/>
      <w:r w:rsidRPr="00C611E2">
        <w:rPr>
          <w:color w:val="000000"/>
          <w:sz w:val="22"/>
          <w:szCs w:val="22"/>
        </w:rPr>
        <w:t>ust</w:t>
      </w:r>
      <w:proofErr w:type="spellEnd"/>
      <w:r w:rsidRPr="00C611E2">
        <w:rPr>
          <w:color w:val="000000"/>
          <w:sz w:val="22"/>
          <w:szCs w:val="22"/>
        </w:rPr>
        <w:t>. čl. III. odst. 7;</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informace o tom, zda Nabyvatel je, nebo není oprávněn práva získaná touto smlouvou dále převádět v </w:t>
      </w:r>
      <w:proofErr w:type="spellStart"/>
      <w:r w:rsidRPr="00C611E2">
        <w:rPr>
          <w:color w:val="000000"/>
          <w:sz w:val="22"/>
          <w:szCs w:val="22"/>
        </w:rPr>
        <w:t>ust</w:t>
      </w:r>
      <w:proofErr w:type="spellEnd"/>
      <w:r w:rsidRPr="00C611E2">
        <w:rPr>
          <w:color w:val="000000"/>
          <w:sz w:val="22"/>
          <w:szCs w:val="22"/>
        </w:rPr>
        <w:t>. čl. III. odst. 10;</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třetího subjektu, porušení</w:t>
      </w:r>
      <w:r w:rsidR="00A95F50" w:rsidRPr="00C611E2">
        <w:rPr>
          <w:color w:val="000000"/>
          <w:sz w:val="22"/>
          <w:szCs w:val="22"/>
        </w:rPr>
        <w:t>,</w:t>
      </w:r>
      <w:r w:rsidRPr="00C611E2">
        <w:rPr>
          <w:color w:val="000000"/>
          <w:sz w:val="22"/>
          <w:szCs w:val="22"/>
        </w:rPr>
        <w:t xml:space="preserve"> jehož práv je Nabyvatel povinen oznámit v </w:t>
      </w:r>
      <w:proofErr w:type="spellStart"/>
      <w:r w:rsidRPr="00C611E2">
        <w:rPr>
          <w:color w:val="000000"/>
          <w:sz w:val="22"/>
          <w:szCs w:val="22"/>
        </w:rPr>
        <w:t>ust</w:t>
      </w:r>
      <w:proofErr w:type="spellEnd"/>
      <w:r w:rsidRPr="00C611E2">
        <w:rPr>
          <w:color w:val="000000"/>
          <w:sz w:val="22"/>
          <w:szCs w:val="22"/>
        </w:rPr>
        <w:t>. čl. III. odst. 11;</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třetího subjektu, jehož dobrého jména je Nabyvatel povinen dbát v </w:t>
      </w:r>
      <w:proofErr w:type="spellStart"/>
      <w:r w:rsidRPr="00C611E2">
        <w:rPr>
          <w:color w:val="000000"/>
          <w:sz w:val="22"/>
          <w:szCs w:val="22"/>
        </w:rPr>
        <w:t>ust</w:t>
      </w:r>
      <w:proofErr w:type="spellEnd"/>
      <w:r w:rsidRPr="00C611E2">
        <w:rPr>
          <w:color w:val="000000"/>
          <w:sz w:val="22"/>
          <w:szCs w:val="22"/>
        </w:rPr>
        <w:t>. čl. III. odst. 12;</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určení výše smluvního úroku z prodlení v </w:t>
      </w:r>
      <w:proofErr w:type="spellStart"/>
      <w:r w:rsidRPr="00C611E2">
        <w:rPr>
          <w:color w:val="000000"/>
          <w:sz w:val="22"/>
          <w:szCs w:val="22"/>
        </w:rPr>
        <w:t>ust</w:t>
      </w:r>
      <w:proofErr w:type="spellEnd"/>
      <w:r w:rsidRPr="00C611E2">
        <w:rPr>
          <w:color w:val="000000"/>
          <w:sz w:val="22"/>
          <w:szCs w:val="22"/>
        </w:rPr>
        <w:t>. čl. V. odst. 3;</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určení výše smluvních pokut v čl. VII.;</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zvláštní ujednání o přechodu práv z této smlouvy na třetí subjekt v čl. IX. odst. 2;</w:t>
      </w:r>
    </w:p>
    <w:p w:rsidR="0000476C" w:rsidRPr="00C611E2" w:rsidRDefault="008B6CE6">
      <w:pPr>
        <w:numPr>
          <w:ilvl w:val="0"/>
          <w:numId w:val="4"/>
        </w:numPr>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jc w:val="both"/>
        <w:rPr>
          <w:color w:val="000000"/>
          <w:sz w:val="22"/>
          <w:szCs w:val="22"/>
        </w:rPr>
      </w:pPr>
      <w:r w:rsidRPr="00C611E2">
        <w:rPr>
          <w:color w:val="000000"/>
          <w:sz w:val="22"/>
          <w:szCs w:val="22"/>
        </w:rPr>
        <w:t>identifikace subjektu, kterému může být předán stejnopis této smlouvy v </w:t>
      </w:r>
      <w:proofErr w:type="spellStart"/>
      <w:r w:rsidRPr="00C611E2">
        <w:rPr>
          <w:color w:val="000000"/>
          <w:sz w:val="22"/>
          <w:szCs w:val="22"/>
        </w:rPr>
        <w:t>ust</w:t>
      </w:r>
      <w:proofErr w:type="spellEnd"/>
      <w:r w:rsidRPr="00C611E2">
        <w:rPr>
          <w:color w:val="000000"/>
          <w:sz w:val="22"/>
          <w:szCs w:val="22"/>
        </w:rPr>
        <w:t>. čl. IX. odst. 3.</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IX.</w:t>
      </w:r>
    </w:p>
    <w:p w:rsidR="0000476C" w:rsidRPr="00C611E2" w:rsidRDefault="008B6CE6">
      <w:pPr>
        <w:pBdr>
          <w:top w:val="nil"/>
          <w:left w:val="nil"/>
          <w:bottom w:val="nil"/>
          <w:right w:val="nil"/>
          <w:between w:val="nil"/>
        </w:pBdr>
        <w:jc w:val="center"/>
        <w:rPr>
          <w:color w:val="000000"/>
          <w:sz w:val="22"/>
          <w:szCs w:val="22"/>
        </w:rPr>
      </w:pPr>
      <w:r w:rsidRPr="00C611E2">
        <w:rPr>
          <w:b/>
          <w:color w:val="000000"/>
          <w:sz w:val="22"/>
          <w:szCs w:val="22"/>
        </w:rPr>
        <w:t>Závěrečná ustanovení</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Tato smlouva se řídí právním řádem České republiky, zejména relevantními ustanoveními občanského zákoníku, autorského zákona a souvisejících právních předpisů. V případě, že dojde ke vzniku sporu v souvislosti s výkladem nebo plněním této smlouvy, který se nepodaří vyřešit smírnou cestou, bude takový spor řešen věcně </w:t>
      </w:r>
      <w:r w:rsidR="00A95F50" w:rsidRPr="00C611E2">
        <w:rPr>
          <w:color w:val="000000"/>
          <w:sz w:val="22"/>
          <w:szCs w:val="22"/>
        </w:rPr>
        <w:t xml:space="preserve">a místně </w:t>
      </w:r>
      <w:r w:rsidRPr="00C611E2">
        <w:rPr>
          <w:color w:val="000000"/>
          <w:sz w:val="22"/>
          <w:szCs w:val="22"/>
        </w:rPr>
        <w:t>příslušným soudem.</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Smluvní strany se dohodly, že v případě, že Licenční smlouva uzavřená mezi NFA a Státním fondem kinematografie skončí z jakéhokoliv důvodu (ať již výpovědí, odstoupením od smlouvy, dohodou nebo jinak) dříve, než tato </w:t>
      </w:r>
      <w:proofErr w:type="spellStart"/>
      <w:r w:rsidRPr="00C611E2">
        <w:rPr>
          <w:color w:val="000000"/>
          <w:sz w:val="22"/>
          <w:szCs w:val="22"/>
        </w:rPr>
        <w:t>Podlicenční</w:t>
      </w:r>
      <w:proofErr w:type="spellEnd"/>
      <w:r w:rsidRPr="00C611E2">
        <w:rPr>
          <w:color w:val="000000"/>
          <w:sz w:val="22"/>
          <w:szCs w:val="22"/>
        </w:rPr>
        <w:t xml:space="preserve"> smlouva mezi NFA a Nabyvatelem, vstoupí ke dni následujícímu po zániku Licenční smlouvy do postavení NFA jakožto poskytovatele licence v rozsahu dle této </w:t>
      </w:r>
      <w:proofErr w:type="spellStart"/>
      <w:r w:rsidRPr="00C611E2">
        <w:rPr>
          <w:color w:val="000000"/>
          <w:sz w:val="22"/>
          <w:szCs w:val="22"/>
        </w:rPr>
        <w:t>Podlicenční</w:t>
      </w:r>
      <w:proofErr w:type="spellEnd"/>
      <w:r w:rsidRPr="00C611E2">
        <w:rPr>
          <w:color w:val="000000"/>
          <w:sz w:val="22"/>
          <w:szCs w:val="22"/>
        </w:rPr>
        <w:t xml:space="preserve"> smlouvy přímo Státní fond kinematografie a Státní fond </w:t>
      </w:r>
      <w:r w:rsidRPr="00C611E2">
        <w:rPr>
          <w:color w:val="000000"/>
          <w:sz w:val="22"/>
          <w:szCs w:val="22"/>
        </w:rPr>
        <w:lastRenderedPageBreak/>
        <w:t xml:space="preserve">kinematografie bude se stejnými časovými účinky ve vztahu k této licenci inkasovat všechny dosud nezaplacené (ani NFA nefakturované) částky představující odměnu za licenci. Pro vyloučení pochybností smluvní strany prohlašují, že nastane-li situace předvídaná předchozí větou, Státní fond kinematografie vstoupí pouze do těch ustanovení této </w:t>
      </w:r>
      <w:proofErr w:type="spellStart"/>
      <w:r w:rsidRPr="00C611E2">
        <w:rPr>
          <w:color w:val="000000"/>
          <w:sz w:val="22"/>
          <w:szCs w:val="22"/>
        </w:rPr>
        <w:t>Podlicenční</w:t>
      </w:r>
      <w:proofErr w:type="spellEnd"/>
      <w:r w:rsidRPr="00C611E2">
        <w:rPr>
          <w:color w:val="000000"/>
          <w:sz w:val="22"/>
          <w:szCs w:val="22"/>
        </w:rPr>
        <w:t xml:space="preserve"> smlouvy, které se týkají poskytnuté licence a práva na zaplacení odměny za její poskytnutí.</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Nabyvatel bere na vědomí a souhlasí s tím, že originál nebo stejnopis této </w:t>
      </w:r>
      <w:proofErr w:type="spellStart"/>
      <w:r w:rsidRPr="00C611E2">
        <w:rPr>
          <w:color w:val="000000"/>
          <w:sz w:val="22"/>
          <w:szCs w:val="22"/>
        </w:rPr>
        <w:t>Podlicenční</w:t>
      </w:r>
      <w:proofErr w:type="spellEnd"/>
      <w:r w:rsidRPr="00C611E2">
        <w:rPr>
          <w:color w:val="000000"/>
          <w:sz w:val="22"/>
          <w:szCs w:val="22"/>
        </w:rPr>
        <w:t xml:space="preserve"> smlouvy může být kdykoliv za účinnosti i po skončení této smlouvy předán Státnímu fondu kinematografie.</w:t>
      </w:r>
    </w:p>
    <w:p w:rsidR="0000476C" w:rsidRPr="00C611E2" w:rsidRDefault="0000476C">
      <w:pPr>
        <w:pBdr>
          <w:top w:val="nil"/>
          <w:left w:val="nil"/>
          <w:bottom w:val="nil"/>
          <w:right w:val="nil"/>
          <w:between w:val="nil"/>
        </w:pBdr>
        <w:ind w:left="360"/>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Tuto smlouvu lze vypovědět či od ní odstoupit pouze za podmínek stanovených v obecně závazných předpisech nebo v této smlouvě.</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Tato smlouva byla sepsána ve dvou vyhotoveních s platností originálu, z nichž každý z účastníků přijímá po jednom.</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Pokud by se v důsledku změny právních předpisů nebo jiných důvodů stala některá ujednání této smlouvy neplatnými nebo neúčinnými, budou tato ustanovení uvedena do souladu s právními normami a účastníci prohlašují, že smlouva je ve zbývajících ustanoveních platná, neodporuje-li to jejímu účelu nebo nejedná-li se o ustanovení, která oddělit nelze. Ukáže-li se některé z ustanovení této smlouvy zdánlivým (nicotným), posoudí se vliv této vady na ostatní ustanovení smlouvy obdobně podle § 576 občanského zákoníku.</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Tuto smlouvu je možné změnit pouze písemnou formou (za kterou se pro tento účel nepovažuje forma elektronické komunikace), přičemž podpisy zástupců obou stran musí být na téže listině.</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Obě smluvní strany prohlašují, že jim jakékoli závazky vůči třetím osobám nebrání v uzavření této smlouvy.</w:t>
      </w:r>
    </w:p>
    <w:p w:rsidR="0000476C" w:rsidRPr="00C611E2" w:rsidRDefault="0000476C">
      <w:pPr>
        <w:pBdr>
          <w:top w:val="nil"/>
          <w:left w:val="nil"/>
          <w:bottom w:val="nil"/>
          <w:right w:val="nil"/>
          <w:between w:val="nil"/>
        </w:pBdr>
        <w:ind w:left="708" w:hanging="708"/>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00476C" w:rsidRPr="00C611E2" w:rsidRDefault="0000476C">
      <w:pPr>
        <w:pBdr>
          <w:top w:val="nil"/>
          <w:left w:val="nil"/>
          <w:bottom w:val="nil"/>
          <w:right w:val="nil"/>
          <w:between w:val="nil"/>
        </w:pBdr>
        <w:ind w:left="360"/>
        <w:rPr>
          <w:color w:val="000000"/>
          <w:sz w:val="24"/>
          <w:szCs w:val="24"/>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Strany si nepřejí, aby nad rámec výslovných ustanovení této smlouvy byla jakákoliv práva a povinnosti dovozována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00476C" w:rsidRPr="00C611E2" w:rsidRDefault="0000476C">
      <w:pPr>
        <w:pBdr>
          <w:top w:val="nil"/>
          <w:left w:val="nil"/>
          <w:bottom w:val="nil"/>
          <w:right w:val="nil"/>
          <w:between w:val="nil"/>
        </w:pBdr>
        <w:ind w:left="360"/>
        <w:rPr>
          <w:color w:val="000000"/>
          <w:sz w:val="24"/>
          <w:szCs w:val="24"/>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Odpověď strany této smlouvy, podle § 1740 odst. 3 občanského zákoníku, s dodatkem nebo odchylkou, není přijetím nabídky na uzavření této smlouvy, ani když podstatně nemění podmínky nabídky.</w:t>
      </w:r>
    </w:p>
    <w:p w:rsidR="0000476C" w:rsidRPr="00C611E2" w:rsidRDefault="0000476C">
      <w:pPr>
        <w:pBdr>
          <w:top w:val="nil"/>
          <w:left w:val="nil"/>
          <w:bottom w:val="nil"/>
          <w:right w:val="nil"/>
          <w:between w:val="nil"/>
        </w:pBdr>
        <w:rPr>
          <w:color w:val="000000"/>
          <w:sz w:val="24"/>
          <w:szCs w:val="24"/>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Strany výslovně potvrzují, že základní podmínky této smlouvy jsou výsledkem jednání stran a každá ze stran měla příležitost ovlivnit obsah základních podmínek této smlouvy.</w:t>
      </w:r>
    </w:p>
    <w:p w:rsidR="0000476C" w:rsidRPr="00C611E2" w:rsidRDefault="0000476C">
      <w:pPr>
        <w:pBdr>
          <w:top w:val="nil"/>
          <w:left w:val="nil"/>
          <w:bottom w:val="nil"/>
          <w:right w:val="nil"/>
          <w:between w:val="nil"/>
        </w:pBdr>
        <w:jc w:val="both"/>
        <w:rPr>
          <w:color w:val="000000"/>
          <w:sz w:val="22"/>
          <w:szCs w:val="22"/>
        </w:rPr>
      </w:pPr>
    </w:p>
    <w:p w:rsidR="0000476C" w:rsidRPr="00C611E2" w:rsidRDefault="008B6CE6">
      <w:pPr>
        <w:numPr>
          <w:ilvl w:val="0"/>
          <w:numId w:val="10"/>
        </w:numPr>
        <w:pBdr>
          <w:top w:val="nil"/>
          <w:left w:val="nil"/>
          <w:bottom w:val="nil"/>
          <w:right w:val="nil"/>
          <w:between w:val="nil"/>
        </w:pBdr>
        <w:jc w:val="both"/>
        <w:rPr>
          <w:color w:val="000000"/>
          <w:sz w:val="22"/>
          <w:szCs w:val="22"/>
        </w:rPr>
      </w:pPr>
      <w:r w:rsidRPr="00C611E2">
        <w:rPr>
          <w:color w:val="000000"/>
          <w:sz w:val="22"/>
          <w:szCs w:val="22"/>
        </w:rPr>
        <w:t xml:space="preserve">Na důkaz porozumění a souhlasu s celým obsahem i jednotlivostmi této smlouvy připojují zde smluvní strany své podpisy: </w:t>
      </w:r>
    </w:p>
    <w:p w:rsidR="0000476C" w:rsidRPr="00C611E2" w:rsidRDefault="0000476C">
      <w:pPr>
        <w:pBdr>
          <w:top w:val="nil"/>
          <w:left w:val="nil"/>
          <w:bottom w:val="nil"/>
          <w:right w:val="nil"/>
          <w:between w:val="nil"/>
        </w:pBdr>
        <w:ind w:left="708" w:hanging="708"/>
        <w:rPr>
          <w:color w:val="000000"/>
          <w:sz w:val="22"/>
          <w:szCs w:val="22"/>
        </w:rPr>
      </w:pPr>
    </w:p>
    <w:p w:rsidR="0000476C" w:rsidRDefault="0000476C">
      <w:pPr>
        <w:pBdr>
          <w:top w:val="nil"/>
          <w:left w:val="nil"/>
          <w:bottom w:val="nil"/>
          <w:right w:val="nil"/>
          <w:between w:val="nil"/>
        </w:pBdr>
        <w:jc w:val="both"/>
        <w:rPr>
          <w:color w:val="000000"/>
          <w:sz w:val="22"/>
          <w:szCs w:val="22"/>
        </w:rPr>
      </w:pPr>
    </w:p>
    <w:p w:rsidR="00D00664" w:rsidRPr="00C611E2" w:rsidRDefault="00D00664">
      <w:pPr>
        <w:pBdr>
          <w:top w:val="nil"/>
          <w:left w:val="nil"/>
          <w:bottom w:val="nil"/>
          <w:right w:val="nil"/>
          <w:between w:val="nil"/>
        </w:pBdr>
        <w:jc w:val="both"/>
        <w:rPr>
          <w:color w:val="000000"/>
          <w:sz w:val="22"/>
          <w:szCs w:val="22"/>
        </w:rPr>
      </w:pPr>
    </w:p>
    <w:p w:rsidR="0000476C" w:rsidRPr="00C611E2" w:rsidRDefault="0000476C">
      <w:pPr>
        <w:pBdr>
          <w:top w:val="nil"/>
          <w:left w:val="nil"/>
          <w:bottom w:val="nil"/>
          <w:right w:val="nil"/>
          <w:between w:val="nil"/>
        </w:pBdr>
        <w:jc w:val="both"/>
        <w:rPr>
          <w:color w:val="000000"/>
          <w:sz w:val="22"/>
          <w:szCs w:val="22"/>
        </w:rPr>
      </w:pPr>
    </w:p>
    <w:tbl>
      <w:tblPr>
        <w:tblStyle w:val="a"/>
        <w:tblW w:w="8951" w:type="dxa"/>
        <w:tblInd w:w="0" w:type="dxa"/>
        <w:tblLayout w:type="fixed"/>
        <w:tblLook w:val="0000"/>
      </w:tblPr>
      <w:tblGrid>
        <w:gridCol w:w="4626"/>
        <w:gridCol w:w="4325"/>
      </w:tblGrid>
      <w:tr w:rsidR="0000476C" w:rsidRPr="00C611E2">
        <w:tc>
          <w:tcPr>
            <w:tcW w:w="4626" w:type="dxa"/>
          </w:tcPr>
          <w:p w:rsidR="0000476C" w:rsidRPr="00C611E2" w:rsidRDefault="008B6CE6">
            <w:pPr>
              <w:pBdr>
                <w:top w:val="nil"/>
                <w:left w:val="nil"/>
                <w:bottom w:val="nil"/>
                <w:right w:val="nil"/>
                <w:between w:val="nil"/>
              </w:pBdr>
              <w:ind w:right="1440"/>
              <w:rPr>
                <w:color w:val="000000"/>
                <w:sz w:val="22"/>
                <w:szCs w:val="22"/>
              </w:rPr>
            </w:pPr>
            <w:r w:rsidRPr="00C611E2">
              <w:rPr>
                <w:b/>
                <w:color w:val="000000"/>
                <w:sz w:val="22"/>
                <w:szCs w:val="22"/>
              </w:rPr>
              <w:lastRenderedPageBreak/>
              <w:t>NFA:</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 xml:space="preserve">V Praze dne </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___________________________</w:t>
            </w:r>
          </w:p>
          <w:p w:rsidR="0000476C" w:rsidRPr="00C611E2" w:rsidRDefault="008B6CE6">
            <w:pPr>
              <w:pBdr>
                <w:top w:val="nil"/>
                <w:left w:val="nil"/>
                <w:bottom w:val="nil"/>
                <w:right w:val="nil"/>
                <w:between w:val="nil"/>
              </w:pBdr>
              <w:ind w:right="1440"/>
              <w:rPr>
                <w:color w:val="000000"/>
                <w:sz w:val="22"/>
                <w:szCs w:val="22"/>
              </w:rPr>
            </w:pPr>
            <w:r w:rsidRPr="00C611E2">
              <w:rPr>
                <w:b/>
                <w:color w:val="000000"/>
                <w:sz w:val="22"/>
                <w:szCs w:val="22"/>
              </w:rPr>
              <w:t>Národní filmový archiv</w:t>
            </w:r>
            <w:r w:rsidRPr="00C611E2">
              <w:rPr>
                <w:color w:val="000000"/>
                <w:sz w:val="22"/>
                <w:szCs w:val="22"/>
              </w:rPr>
              <w:t xml:space="preserve"> </w:t>
            </w:r>
          </w:p>
          <w:p w:rsidR="0000476C" w:rsidRPr="00C611E2" w:rsidRDefault="00D00664">
            <w:pPr>
              <w:pBdr>
                <w:top w:val="nil"/>
                <w:left w:val="nil"/>
                <w:bottom w:val="nil"/>
                <w:right w:val="nil"/>
                <w:between w:val="nil"/>
              </w:pBdr>
              <w:ind w:right="1440"/>
              <w:rPr>
                <w:color w:val="000000"/>
                <w:sz w:val="22"/>
                <w:szCs w:val="22"/>
              </w:rPr>
            </w:pPr>
            <w:r>
              <w:rPr>
                <w:color w:val="000000"/>
                <w:sz w:val="22"/>
                <w:szCs w:val="22"/>
              </w:rPr>
              <w:t>XXX</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tc>
        <w:tc>
          <w:tcPr>
            <w:tcW w:w="4325" w:type="dxa"/>
          </w:tcPr>
          <w:p w:rsidR="0000476C" w:rsidRPr="00C611E2" w:rsidRDefault="008B6CE6">
            <w:pPr>
              <w:pBdr>
                <w:top w:val="nil"/>
                <w:left w:val="nil"/>
                <w:bottom w:val="nil"/>
                <w:right w:val="nil"/>
                <w:between w:val="nil"/>
              </w:pBdr>
              <w:ind w:right="1440"/>
              <w:rPr>
                <w:color w:val="000000"/>
                <w:sz w:val="22"/>
                <w:szCs w:val="22"/>
              </w:rPr>
            </w:pPr>
            <w:r w:rsidRPr="00C611E2">
              <w:rPr>
                <w:b/>
                <w:color w:val="000000"/>
                <w:sz w:val="22"/>
                <w:szCs w:val="22"/>
              </w:rPr>
              <w:t>Nabyvatel:</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 xml:space="preserve">V </w:t>
            </w:r>
            <w:r w:rsidRPr="00C611E2">
              <w:rPr>
                <w:sz w:val="22"/>
                <w:szCs w:val="22"/>
              </w:rPr>
              <w:t xml:space="preserve">Praze </w:t>
            </w:r>
            <w:r w:rsidRPr="00C611E2">
              <w:rPr>
                <w:color w:val="000000"/>
                <w:sz w:val="22"/>
                <w:szCs w:val="22"/>
              </w:rPr>
              <w:t xml:space="preserve">dne </w:t>
            </w: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00476C">
            <w:pPr>
              <w:pBdr>
                <w:top w:val="nil"/>
                <w:left w:val="nil"/>
                <w:bottom w:val="nil"/>
                <w:right w:val="nil"/>
                <w:between w:val="nil"/>
              </w:pBdr>
              <w:ind w:right="1440"/>
              <w:rPr>
                <w:color w:val="000000"/>
                <w:sz w:val="22"/>
                <w:szCs w:val="22"/>
              </w:rPr>
            </w:pPr>
          </w:p>
          <w:p w:rsidR="0000476C" w:rsidRPr="00C611E2" w:rsidRDefault="008B6CE6">
            <w:pPr>
              <w:pBdr>
                <w:top w:val="nil"/>
                <w:left w:val="nil"/>
                <w:bottom w:val="nil"/>
                <w:right w:val="nil"/>
                <w:between w:val="nil"/>
              </w:pBdr>
              <w:ind w:right="1440"/>
              <w:rPr>
                <w:color w:val="000000"/>
                <w:sz w:val="22"/>
                <w:szCs w:val="22"/>
              </w:rPr>
            </w:pPr>
            <w:r w:rsidRPr="00C611E2">
              <w:rPr>
                <w:color w:val="000000"/>
                <w:sz w:val="22"/>
                <w:szCs w:val="22"/>
              </w:rPr>
              <w:t>________________________</w:t>
            </w:r>
          </w:p>
          <w:p w:rsidR="0000476C" w:rsidRPr="00C611E2" w:rsidRDefault="008B6CE6">
            <w:pPr>
              <w:rPr>
                <w:color w:val="222222"/>
                <w:sz w:val="22"/>
                <w:szCs w:val="22"/>
              </w:rPr>
            </w:pPr>
            <w:r w:rsidRPr="00C611E2">
              <w:rPr>
                <w:b/>
                <w:color w:val="222222"/>
                <w:sz w:val="22"/>
                <w:szCs w:val="22"/>
              </w:rPr>
              <w:t>Seznam.cz, a.s.</w:t>
            </w:r>
          </w:p>
          <w:p w:rsidR="0000476C" w:rsidRPr="00C611E2" w:rsidRDefault="00D00664">
            <w:pPr>
              <w:pBdr>
                <w:top w:val="nil"/>
                <w:left w:val="nil"/>
                <w:bottom w:val="nil"/>
                <w:right w:val="nil"/>
                <w:between w:val="nil"/>
              </w:pBdr>
              <w:ind w:right="1440"/>
              <w:rPr>
                <w:color w:val="000000"/>
                <w:sz w:val="22"/>
                <w:szCs w:val="22"/>
              </w:rPr>
            </w:pPr>
            <w:r>
              <w:rPr>
                <w:color w:val="000000"/>
                <w:sz w:val="22"/>
                <w:szCs w:val="22"/>
              </w:rPr>
              <w:t>XXX</w:t>
            </w:r>
          </w:p>
          <w:p w:rsidR="0000476C" w:rsidRPr="00C611E2" w:rsidRDefault="0000476C">
            <w:pPr>
              <w:pBdr>
                <w:top w:val="nil"/>
                <w:left w:val="nil"/>
                <w:bottom w:val="nil"/>
                <w:right w:val="nil"/>
                <w:between w:val="nil"/>
              </w:pBdr>
              <w:ind w:right="1440"/>
              <w:rPr>
                <w:color w:val="000000"/>
                <w:sz w:val="22"/>
                <w:szCs w:val="22"/>
              </w:rPr>
            </w:pPr>
          </w:p>
        </w:tc>
      </w:tr>
    </w:tbl>
    <w:p w:rsidR="0000476C" w:rsidRPr="00C611E2" w:rsidRDefault="0000476C">
      <w:pPr>
        <w:pBdr>
          <w:top w:val="nil"/>
          <w:left w:val="nil"/>
          <w:bottom w:val="nil"/>
          <w:right w:val="nil"/>
          <w:between w:val="nil"/>
        </w:pBdr>
        <w:rPr>
          <w:sz w:val="22"/>
          <w:szCs w:val="22"/>
        </w:rPr>
      </w:pPr>
    </w:p>
    <w:p w:rsidR="0000476C" w:rsidRPr="00C611E2" w:rsidRDefault="008B6CE6">
      <w:pPr>
        <w:pBdr>
          <w:top w:val="nil"/>
          <w:left w:val="nil"/>
          <w:bottom w:val="nil"/>
          <w:right w:val="nil"/>
          <w:between w:val="nil"/>
        </w:pBdr>
        <w:rPr>
          <w:color w:val="000000"/>
          <w:sz w:val="24"/>
          <w:szCs w:val="24"/>
        </w:rPr>
      </w:pPr>
      <w:r w:rsidRPr="00C611E2">
        <w:br w:type="page"/>
      </w:r>
    </w:p>
    <w:p w:rsidR="0000476C" w:rsidRPr="00C611E2" w:rsidRDefault="0000476C">
      <w:pPr>
        <w:pBdr>
          <w:top w:val="nil"/>
          <w:left w:val="nil"/>
          <w:bottom w:val="nil"/>
          <w:right w:val="nil"/>
          <w:between w:val="nil"/>
        </w:pBdr>
        <w:rPr>
          <w:color w:val="000000"/>
          <w:sz w:val="24"/>
          <w:szCs w:val="24"/>
        </w:rPr>
      </w:pPr>
    </w:p>
    <w:p w:rsidR="0000476C" w:rsidRPr="00C611E2" w:rsidRDefault="008B6CE6">
      <w:pPr>
        <w:pBdr>
          <w:top w:val="nil"/>
          <w:left w:val="nil"/>
          <w:bottom w:val="nil"/>
          <w:right w:val="nil"/>
          <w:between w:val="nil"/>
        </w:pBdr>
        <w:rPr>
          <w:color w:val="000000"/>
          <w:sz w:val="22"/>
          <w:szCs w:val="22"/>
        </w:rPr>
      </w:pPr>
      <w:r w:rsidRPr="00C611E2">
        <w:rPr>
          <w:b/>
          <w:color w:val="000000"/>
          <w:sz w:val="22"/>
          <w:szCs w:val="22"/>
        </w:rPr>
        <w:t>Příloha č. 1 k </w:t>
      </w:r>
      <w:proofErr w:type="spellStart"/>
      <w:r w:rsidRPr="00C611E2">
        <w:rPr>
          <w:b/>
          <w:color w:val="000000"/>
          <w:sz w:val="22"/>
          <w:szCs w:val="22"/>
        </w:rPr>
        <w:t>Podlicenční</w:t>
      </w:r>
      <w:proofErr w:type="spellEnd"/>
      <w:r w:rsidRPr="00C611E2">
        <w:rPr>
          <w:b/>
          <w:color w:val="000000"/>
          <w:sz w:val="22"/>
          <w:szCs w:val="22"/>
        </w:rPr>
        <w:t xml:space="preserve"> smlouvě: </w:t>
      </w:r>
    </w:p>
    <w:p w:rsidR="0000476C" w:rsidRPr="00C611E2" w:rsidRDefault="0000476C">
      <w:pPr>
        <w:pBdr>
          <w:top w:val="nil"/>
          <w:left w:val="nil"/>
          <w:bottom w:val="nil"/>
          <w:right w:val="nil"/>
          <w:between w:val="nil"/>
        </w:pBdr>
        <w:jc w:val="center"/>
        <w:rPr>
          <w:color w:val="000000"/>
          <w:sz w:val="22"/>
          <w:szCs w:val="22"/>
        </w:rPr>
      </w:pPr>
    </w:p>
    <w:p w:rsidR="0000476C" w:rsidRPr="00C611E2" w:rsidRDefault="0000476C">
      <w:pPr>
        <w:pBdr>
          <w:top w:val="nil"/>
          <w:left w:val="nil"/>
          <w:bottom w:val="nil"/>
          <w:right w:val="nil"/>
          <w:between w:val="nil"/>
        </w:pBdr>
        <w:jc w:val="center"/>
        <w:rPr>
          <w:color w:val="000000"/>
          <w:sz w:val="22"/>
          <w:szCs w:val="22"/>
        </w:rPr>
      </w:pPr>
    </w:p>
    <w:p w:rsidR="0000476C" w:rsidRPr="00C611E2" w:rsidRDefault="008B6CE6">
      <w:pPr>
        <w:pBdr>
          <w:top w:val="nil"/>
          <w:left w:val="nil"/>
          <w:bottom w:val="nil"/>
          <w:right w:val="nil"/>
          <w:between w:val="nil"/>
        </w:pBdr>
        <w:jc w:val="center"/>
        <w:rPr>
          <w:b/>
          <w:color w:val="000000"/>
          <w:sz w:val="22"/>
          <w:szCs w:val="22"/>
        </w:rPr>
      </w:pPr>
      <w:r w:rsidRPr="00C611E2">
        <w:rPr>
          <w:b/>
          <w:color w:val="000000"/>
          <w:sz w:val="22"/>
          <w:szCs w:val="22"/>
        </w:rPr>
        <w:t>Seznam Filmů</w:t>
      </w:r>
    </w:p>
    <w:p w:rsidR="00BB12F2" w:rsidRPr="00C611E2" w:rsidRDefault="00BB12F2">
      <w:pPr>
        <w:pBdr>
          <w:top w:val="nil"/>
          <w:left w:val="nil"/>
          <w:bottom w:val="nil"/>
          <w:right w:val="nil"/>
          <w:between w:val="nil"/>
        </w:pBdr>
        <w:jc w:val="center"/>
        <w:rPr>
          <w:b/>
          <w:color w:val="000000"/>
          <w:sz w:val="22"/>
          <w:szCs w:val="22"/>
        </w:rPr>
      </w:pPr>
    </w:p>
    <w:p w:rsidR="00BB12F2" w:rsidRPr="00C611E2" w:rsidRDefault="00BB12F2" w:rsidP="00BB12F2">
      <w:pPr>
        <w:pBdr>
          <w:top w:val="nil"/>
          <w:left w:val="nil"/>
          <w:bottom w:val="nil"/>
          <w:right w:val="nil"/>
          <w:between w:val="nil"/>
        </w:pBdr>
        <w:rPr>
          <w:sz w:val="22"/>
          <w:szCs w:val="22"/>
        </w:rPr>
      </w:pPr>
    </w:p>
    <w:p w:rsidR="00BB12F2" w:rsidRPr="00C611E2" w:rsidRDefault="00BB12F2" w:rsidP="00BB12F2">
      <w:pPr>
        <w:pBdr>
          <w:top w:val="nil"/>
          <w:left w:val="nil"/>
          <w:bottom w:val="nil"/>
          <w:right w:val="nil"/>
          <w:between w:val="nil"/>
        </w:pBdr>
        <w:rPr>
          <w:sz w:val="22"/>
          <w:szCs w:val="22"/>
        </w:rPr>
      </w:pPr>
      <w:r w:rsidRPr="00C611E2">
        <w:rPr>
          <w:sz w:val="22"/>
          <w:szCs w:val="22"/>
        </w:rPr>
        <w:t>Příloha č. 1.</w:t>
      </w:r>
    </w:p>
    <w:p w:rsidR="00BB12F2" w:rsidRPr="00C611E2" w:rsidRDefault="00BB12F2" w:rsidP="00BB12F2">
      <w:pPr>
        <w:pBdr>
          <w:top w:val="nil"/>
          <w:left w:val="nil"/>
          <w:bottom w:val="nil"/>
          <w:right w:val="nil"/>
          <w:between w:val="nil"/>
        </w:pBdr>
        <w:rPr>
          <w:sz w:val="22"/>
          <w:szCs w:val="22"/>
        </w:rPr>
      </w:pPr>
    </w:p>
    <w:p w:rsidR="00BB12F2" w:rsidRPr="00C611E2" w:rsidRDefault="00BB12F2" w:rsidP="00BB12F2">
      <w:pPr>
        <w:pBdr>
          <w:top w:val="nil"/>
          <w:left w:val="nil"/>
          <w:bottom w:val="nil"/>
          <w:right w:val="nil"/>
          <w:between w:val="nil"/>
        </w:pBdr>
        <w:rPr>
          <w:sz w:val="22"/>
          <w:szCs w:val="22"/>
        </w:rPr>
      </w:pPr>
    </w:p>
    <w:tbl>
      <w:tblPr>
        <w:tblStyle w:val="a0"/>
        <w:tblW w:w="8940" w:type="dxa"/>
        <w:tblInd w:w="0" w:type="dxa"/>
        <w:tblBorders>
          <w:top w:val="nil"/>
          <w:left w:val="nil"/>
          <w:bottom w:val="nil"/>
          <w:right w:val="nil"/>
          <w:insideH w:val="nil"/>
          <w:insideV w:val="nil"/>
        </w:tblBorders>
        <w:tblLayout w:type="fixed"/>
        <w:tblLook w:val="0600"/>
      </w:tblPr>
      <w:tblGrid>
        <w:gridCol w:w="2265"/>
        <w:gridCol w:w="1500"/>
        <w:gridCol w:w="2085"/>
        <w:gridCol w:w="1590"/>
        <w:gridCol w:w="1500"/>
      </w:tblGrid>
      <w:tr w:rsidR="00BB12F2" w:rsidRPr="00C611E2" w:rsidTr="002243EE">
        <w:trPr>
          <w:trHeight w:val="585"/>
        </w:trPr>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BB12F2" w:rsidRPr="00C611E2" w:rsidRDefault="00BB12F2" w:rsidP="002243EE">
            <w:pPr>
              <w:widowControl w:val="0"/>
              <w:spacing w:line="276" w:lineRule="auto"/>
              <w:rPr>
                <w:rFonts w:ascii="Arial" w:eastAsia="Arial" w:hAnsi="Arial" w:cs="Arial"/>
              </w:rPr>
            </w:pPr>
            <w:r w:rsidRPr="00C611E2">
              <w:rPr>
                <w:rFonts w:ascii="Calibri" w:eastAsia="Calibri" w:hAnsi="Calibri" w:cs="Calibri"/>
                <w:b/>
                <w:sz w:val="22"/>
                <w:szCs w:val="22"/>
              </w:rPr>
              <w:t>Film</w:t>
            </w:r>
          </w:p>
        </w:tc>
        <w:tc>
          <w:tcPr>
            <w:tcW w:w="150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BB12F2" w:rsidRPr="00C611E2" w:rsidRDefault="00BB12F2" w:rsidP="002243EE">
            <w:pPr>
              <w:widowControl w:val="0"/>
              <w:spacing w:line="276" w:lineRule="auto"/>
              <w:rPr>
                <w:rFonts w:ascii="Arial" w:eastAsia="Arial" w:hAnsi="Arial" w:cs="Arial"/>
              </w:rPr>
            </w:pPr>
            <w:r w:rsidRPr="00C611E2">
              <w:rPr>
                <w:rFonts w:ascii="Calibri" w:eastAsia="Calibri" w:hAnsi="Calibri" w:cs="Calibri"/>
                <w:b/>
                <w:sz w:val="22"/>
                <w:szCs w:val="22"/>
              </w:rPr>
              <w:t>Rok</w:t>
            </w:r>
          </w:p>
        </w:tc>
        <w:tc>
          <w:tcPr>
            <w:tcW w:w="2085"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BB12F2" w:rsidRPr="00C611E2" w:rsidRDefault="00BB12F2" w:rsidP="002243EE">
            <w:pPr>
              <w:widowControl w:val="0"/>
              <w:spacing w:line="276" w:lineRule="auto"/>
              <w:rPr>
                <w:rFonts w:ascii="Arial" w:eastAsia="Arial" w:hAnsi="Arial" w:cs="Arial"/>
              </w:rPr>
            </w:pPr>
            <w:r w:rsidRPr="00C611E2">
              <w:rPr>
                <w:rFonts w:ascii="Calibri" w:eastAsia="Calibri" w:hAnsi="Calibri" w:cs="Calibri"/>
                <w:b/>
                <w:sz w:val="22"/>
                <w:szCs w:val="22"/>
              </w:rPr>
              <w:t>Přerušování reklamou</w:t>
            </w:r>
          </w:p>
        </w:tc>
        <w:tc>
          <w:tcPr>
            <w:tcW w:w="159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BB12F2" w:rsidRPr="00C611E2" w:rsidRDefault="00BB12F2" w:rsidP="002243EE">
            <w:pPr>
              <w:widowControl w:val="0"/>
              <w:spacing w:line="276" w:lineRule="auto"/>
              <w:rPr>
                <w:rFonts w:ascii="Arial" w:eastAsia="Arial" w:hAnsi="Arial" w:cs="Arial"/>
              </w:rPr>
            </w:pPr>
            <w:r w:rsidRPr="00C611E2">
              <w:rPr>
                <w:rFonts w:ascii="Calibri" w:eastAsia="Calibri" w:hAnsi="Calibri" w:cs="Calibri"/>
                <w:b/>
                <w:sz w:val="22"/>
                <w:szCs w:val="22"/>
              </w:rPr>
              <w:t>Licenční odměna</w:t>
            </w:r>
          </w:p>
        </w:tc>
        <w:tc>
          <w:tcPr>
            <w:tcW w:w="1500" w:type="dxa"/>
            <w:tcBorders>
              <w:top w:val="single" w:sz="6"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BB12F2" w:rsidRPr="00C611E2" w:rsidRDefault="00BB12F2" w:rsidP="002243EE">
            <w:pPr>
              <w:widowControl w:val="0"/>
              <w:spacing w:line="276" w:lineRule="auto"/>
              <w:rPr>
                <w:rFonts w:ascii="Arial" w:eastAsia="Arial" w:hAnsi="Arial" w:cs="Arial"/>
              </w:rPr>
            </w:pPr>
            <w:r w:rsidRPr="00C611E2">
              <w:rPr>
                <w:rFonts w:ascii="Calibri" w:eastAsia="Calibri" w:hAnsi="Calibri" w:cs="Calibri"/>
                <w:b/>
                <w:sz w:val="22"/>
                <w:szCs w:val="22"/>
              </w:rPr>
              <w:t>Licenční doba</w:t>
            </w:r>
          </w:p>
        </w:tc>
      </w:tr>
      <w:tr w:rsidR="00BB12F2" w:rsidRPr="00C611E2" w:rsidTr="002243EE">
        <w:trPr>
          <w:trHeight w:val="330"/>
        </w:trPr>
        <w:tc>
          <w:tcPr>
            <w:tcW w:w="226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BB12F2" w:rsidRPr="00C611E2" w:rsidRDefault="00D00664" w:rsidP="002243EE">
            <w:pPr>
              <w:widowControl w:val="0"/>
              <w:spacing w:line="276" w:lineRule="auto"/>
              <w:rPr>
                <w:rFonts w:ascii="Arial" w:eastAsia="Arial" w:hAnsi="Arial" w:cs="Arial"/>
              </w:rPr>
            </w:pPr>
            <w:r>
              <w:rPr>
                <w:rFonts w:ascii="Calibri" w:eastAsia="Calibri" w:hAnsi="Calibri" w:cs="Calibri"/>
                <w:sz w:val="22"/>
                <w:szCs w:val="22"/>
              </w:rPr>
              <w:t>XXX</w:t>
            </w:r>
          </w:p>
        </w:tc>
        <w:tc>
          <w:tcPr>
            <w:tcW w:w="150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BB12F2" w:rsidRPr="00C611E2" w:rsidRDefault="00D00664" w:rsidP="002243EE">
            <w:pPr>
              <w:widowControl w:val="0"/>
              <w:spacing w:line="276" w:lineRule="auto"/>
              <w:rPr>
                <w:rFonts w:ascii="Arial" w:eastAsia="Arial" w:hAnsi="Arial" w:cs="Arial"/>
              </w:rPr>
            </w:pPr>
            <w:r>
              <w:rPr>
                <w:rFonts w:ascii="Calibri" w:eastAsia="Calibri" w:hAnsi="Calibri" w:cs="Calibri"/>
                <w:sz w:val="22"/>
                <w:szCs w:val="22"/>
              </w:rPr>
              <w:t>XXX</w:t>
            </w:r>
          </w:p>
        </w:tc>
        <w:tc>
          <w:tcPr>
            <w:tcW w:w="20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BB12F2" w:rsidRPr="00C611E2" w:rsidRDefault="00D00664" w:rsidP="002243EE">
            <w:pPr>
              <w:widowControl w:val="0"/>
              <w:spacing w:line="276" w:lineRule="auto"/>
              <w:rPr>
                <w:rFonts w:ascii="Arial" w:eastAsia="Arial" w:hAnsi="Arial" w:cs="Arial"/>
              </w:rPr>
            </w:pPr>
            <w:r>
              <w:rPr>
                <w:rFonts w:ascii="Calibri" w:eastAsia="Calibri" w:hAnsi="Calibri" w:cs="Calibri"/>
                <w:sz w:val="22"/>
                <w:szCs w:val="22"/>
              </w:rPr>
              <w:t>XXX</w:t>
            </w:r>
          </w:p>
        </w:tc>
        <w:tc>
          <w:tcPr>
            <w:tcW w:w="1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BB12F2" w:rsidRPr="00C611E2" w:rsidRDefault="00D00664" w:rsidP="002243EE">
            <w:pPr>
              <w:widowControl w:val="0"/>
              <w:spacing w:line="276" w:lineRule="auto"/>
              <w:rPr>
                <w:rFonts w:ascii="Arial" w:eastAsia="Arial" w:hAnsi="Arial" w:cs="Arial"/>
              </w:rPr>
            </w:pPr>
            <w:r>
              <w:rPr>
                <w:rFonts w:ascii="Calibri" w:eastAsia="Calibri" w:hAnsi="Calibri" w:cs="Calibri"/>
                <w:sz w:val="22"/>
                <w:szCs w:val="22"/>
              </w:rPr>
              <w:t>XXX</w:t>
            </w:r>
          </w:p>
        </w:tc>
        <w:tc>
          <w:tcPr>
            <w:tcW w:w="150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BB12F2" w:rsidRPr="00C611E2" w:rsidRDefault="00D00664" w:rsidP="002243EE">
            <w:pPr>
              <w:widowControl w:val="0"/>
              <w:spacing w:line="276" w:lineRule="auto"/>
              <w:jc w:val="right"/>
              <w:rPr>
                <w:rFonts w:ascii="Arial" w:eastAsia="Arial" w:hAnsi="Arial" w:cs="Arial"/>
              </w:rPr>
            </w:pPr>
            <w:r>
              <w:rPr>
                <w:rFonts w:ascii="Calibri" w:eastAsia="Calibri" w:hAnsi="Calibri" w:cs="Calibri"/>
                <w:sz w:val="22"/>
                <w:szCs w:val="22"/>
              </w:rPr>
              <w:t>XXX</w:t>
            </w:r>
          </w:p>
        </w:tc>
      </w:tr>
      <w:tr w:rsidR="00D00664" w:rsidRPr="00C611E2" w:rsidTr="002243EE">
        <w:trPr>
          <w:trHeight w:val="330"/>
        </w:trPr>
        <w:tc>
          <w:tcPr>
            <w:tcW w:w="226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00664" w:rsidRPr="00C611E2" w:rsidRDefault="00D00664" w:rsidP="00872BE7">
            <w:pPr>
              <w:widowControl w:val="0"/>
              <w:spacing w:line="276" w:lineRule="auto"/>
              <w:rPr>
                <w:rFonts w:ascii="Arial" w:eastAsia="Arial" w:hAnsi="Arial" w:cs="Arial"/>
              </w:rPr>
            </w:pPr>
            <w:r>
              <w:rPr>
                <w:rFonts w:ascii="Calibri" w:eastAsia="Calibri" w:hAnsi="Calibri" w:cs="Calibri"/>
                <w:sz w:val="22"/>
                <w:szCs w:val="22"/>
              </w:rPr>
              <w:t>XXX</w:t>
            </w:r>
          </w:p>
        </w:tc>
        <w:tc>
          <w:tcPr>
            <w:tcW w:w="150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D00664" w:rsidRPr="00C611E2" w:rsidRDefault="00D00664" w:rsidP="00872BE7">
            <w:pPr>
              <w:widowControl w:val="0"/>
              <w:spacing w:line="276" w:lineRule="auto"/>
              <w:rPr>
                <w:rFonts w:ascii="Arial" w:eastAsia="Arial" w:hAnsi="Arial" w:cs="Arial"/>
              </w:rPr>
            </w:pPr>
            <w:r>
              <w:rPr>
                <w:rFonts w:ascii="Calibri" w:eastAsia="Calibri" w:hAnsi="Calibri" w:cs="Calibri"/>
                <w:sz w:val="22"/>
                <w:szCs w:val="22"/>
              </w:rPr>
              <w:t>XXX</w:t>
            </w:r>
          </w:p>
        </w:tc>
        <w:tc>
          <w:tcPr>
            <w:tcW w:w="20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D00664" w:rsidRPr="00C611E2" w:rsidRDefault="00D00664" w:rsidP="00872BE7">
            <w:pPr>
              <w:widowControl w:val="0"/>
              <w:spacing w:line="276" w:lineRule="auto"/>
              <w:rPr>
                <w:rFonts w:ascii="Arial" w:eastAsia="Arial" w:hAnsi="Arial" w:cs="Arial"/>
              </w:rPr>
            </w:pPr>
            <w:r>
              <w:rPr>
                <w:rFonts w:ascii="Calibri" w:eastAsia="Calibri" w:hAnsi="Calibri" w:cs="Calibri"/>
                <w:sz w:val="22"/>
                <w:szCs w:val="22"/>
              </w:rPr>
              <w:t>XXX</w:t>
            </w:r>
          </w:p>
        </w:tc>
        <w:tc>
          <w:tcPr>
            <w:tcW w:w="1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D00664" w:rsidRPr="00C611E2" w:rsidRDefault="00D00664" w:rsidP="00872BE7">
            <w:pPr>
              <w:widowControl w:val="0"/>
              <w:spacing w:line="276" w:lineRule="auto"/>
              <w:rPr>
                <w:rFonts w:ascii="Arial" w:eastAsia="Arial" w:hAnsi="Arial" w:cs="Arial"/>
              </w:rPr>
            </w:pPr>
            <w:r>
              <w:rPr>
                <w:rFonts w:ascii="Calibri" w:eastAsia="Calibri" w:hAnsi="Calibri" w:cs="Calibri"/>
                <w:sz w:val="22"/>
                <w:szCs w:val="22"/>
              </w:rPr>
              <w:t>XXX</w:t>
            </w:r>
          </w:p>
        </w:tc>
        <w:tc>
          <w:tcPr>
            <w:tcW w:w="150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D00664" w:rsidRPr="00C611E2" w:rsidRDefault="00D00664" w:rsidP="00872BE7">
            <w:pPr>
              <w:widowControl w:val="0"/>
              <w:spacing w:line="276" w:lineRule="auto"/>
              <w:jc w:val="right"/>
              <w:rPr>
                <w:rFonts w:ascii="Arial" w:eastAsia="Arial" w:hAnsi="Arial" w:cs="Arial"/>
              </w:rPr>
            </w:pPr>
            <w:r>
              <w:rPr>
                <w:rFonts w:ascii="Calibri" w:eastAsia="Calibri" w:hAnsi="Calibri" w:cs="Calibri"/>
                <w:sz w:val="22"/>
                <w:szCs w:val="22"/>
              </w:rPr>
              <w:t>XXX</w:t>
            </w:r>
          </w:p>
        </w:tc>
      </w:tr>
      <w:tr w:rsidR="00D00664" w:rsidRPr="00C611E2" w:rsidTr="002243EE">
        <w:trPr>
          <w:trHeight w:val="330"/>
        </w:trPr>
        <w:tc>
          <w:tcPr>
            <w:tcW w:w="226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00664" w:rsidRPr="00C611E2" w:rsidRDefault="00D00664" w:rsidP="00872BE7">
            <w:pPr>
              <w:widowControl w:val="0"/>
              <w:spacing w:line="276" w:lineRule="auto"/>
              <w:rPr>
                <w:rFonts w:ascii="Arial" w:eastAsia="Arial" w:hAnsi="Arial" w:cs="Arial"/>
              </w:rPr>
            </w:pPr>
            <w:r>
              <w:rPr>
                <w:rFonts w:ascii="Calibri" w:eastAsia="Calibri" w:hAnsi="Calibri" w:cs="Calibri"/>
                <w:sz w:val="22"/>
                <w:szCs w:val="22"/>
              </w:rPr>
              <w:t>XXX</w:t>
            </w:r>
          </w:p>
        </w:tc>
        <w:tc>
          <w:tcPr>
            <w:tcW w:w="150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D00664" w:rsidRPr="00C611E2" w:rsidRDefault="00D00664" w:rsidP="00872BE7">
            <w:pPr>
              <w:widowControl w:val="0"/>
              <w:spacing w:line="276" w:lineRule="auto"/>
              <w:rPr>
                <w:rFonts w:ascii="Arial" w:eastAsia="Arial" w:hAnsi="Arial" w:cs="Arial"/>
              </w:rPr>
            </w:pPr>
            <w:r>
              <w:rPr>
                <w:rFonts w:ascii="Calibri" w:eastAsia="Calibri" w:hAnsi="Calibri" w:cs="Calibri"/>
                <w:sz w:val="22"/>
                <w:szCs w:val="22"/>
              </w:rPr>
              <w:t>XXX</w:t>
            </w:r>
          </w:p>
        </w:tc>
        <w:tc>
          <w:tcPr>
            <w:tcW w:w="20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D00664" w:rsidRPr="00C611E2" w:rsidRDefault="00D00664" w:rsidP="00872BE7">
            <w:pPr>
              <w:widowControl w:val="0"/>
              <w:spacing w:line="276" w:lineRule="auto"/>
              <w:rPr>
                <w:rFonts w:ascii="Arial" w:eastAsia="Arial" w:hAnsi="Arial" w:cs="Arial"/>
              </w:rPr>
            </w:pPr>
            <w:r>
              <w:rPr>
                <w:rFonts w:ascii="Calibri" w:eastAsia="Calibri" w:hAnsi="Calibri" w:cs="Calibri"/>
                <w:sz w:val="22"/>
                <w:szCs w:val="22"/>
              </w:rPr>
              <w:t>XXX</w:t>
            </w:r>
          </w:p>
        </w:tc>
        <w:tc>
          <w:tcPr>
            <w:tcW w:w="1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D00664" w:rsidRPr="00C611E2" w:rsidRDefault="00D00664" w:rsidP="00872BE7">
            <w:pPr>
              <w:widowControl w:val="0"/>
              <w:spacing w:line="276" w:lineRule="auto"/>
              <w:rPr>
                <w:rFonts w:ascii="Arial" w:eastAsia="Arial" w:hAnsi="Arial" w:cs="Arial"/>
              </w:rPr>
            </w:pPr>
            <w:r>
              <w:rPr>
                <w:rFonts w:ascii="Calibri" w:eastAsia="Calibri" w:hAnsi="Calibri" w:cs="Calibri"/>
                <w:sz w:val="22"/>
                <w:szCs w:val="22"/>
              </w:rPr>
              <w:t>XXX</w:t>
            </w:r>
          </w:p>
        </w:tc>
        <w:tc>
          <w:tcPr>
            <w:tcW w:w="150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D00664" w:rsidRPr="00C611E2" w:rsidRDefault="00D00664" w:rsidP="00872BE7">
            <w:pPr>
              <w:widowControl w:val="0"/>
              <w:spacing w:line="276" w:lineRule="auto"/>
              <w:jc w:val="right"/>
              <w:rPr>
                <w:rFonts w:ascii="Arial" w:eastAsia="Arial" w:hAnsi="Arial" w:cs="Arial"/>
              </w:rPr>
            </w:pPr>
            <w:r>
              <w:rPr>
                <w:rFonts w:ascii="Calibri" w:eastAsia="Calibri" w:hAnsi="Calibri" w:cs="Calibri"/>
                <w:sz w:val="22"/>
                <w:szCs w:val="22"/>
              </w:rPr>
              <w:t>XXX</w:t>
            </w:r>
          </w:p>
        </w:tc>
      </w:tr>
      <w:tr w:rsidR="00D00664" w:rsidTr="002243EE">
        <w:trPr>
          <w:trHeight w:val="585"/>
        </w:trPr>
        <w:tc>
          <w:tcPr>
            <w:tcW w:w="226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D00664" w:rsidRPr="00C611E2" w:rsidRDefault="00D00664" w:rsidP="00872BE7">
            <w:pPr>
              <w:widowControl w:val="0"/>
              <w:spacing w:line="276" w:lineRule="auto"/>
              <w:rPr>
                <w:rFonts w:ascii="Arial" w:eastAsia="Arial" w:hAnsi="Arial" w:cs="Arial"/>
              </w:rPr>
            </w:pPr>
            <w:r>
              <w:rPr>
                <w:rFonts w:ascii="Calibri" w:eastAsia="Calibri" w:hAnsi="Calibri" w:cs="Calibri"/>
                <w:sz w:val="22"/>
                <w:szCs w:val="22"/>
              </w:rPr>
              <w:t>XXX</w:t>
            </w:r>
          </w:p>
        </w:tc>
        <w:tc>
          <w:tcPr>
            <w:tcW w:w="150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D00664" w:rsidRPr="00C611E2" w:rsidRDefault="00D00664" w:rsidP="00872BE7">
            <w:pPr>
              <w:widowControl w:val="0"/>
              <w:spacing w:line="276" w:lineRule="auto"/>
              <w:rPr>
                <w:rFonts w:ascii="Arial" w:eastAsia="Arial" w:hAnsi="Arial" w:cs="Arial"/>
              </w:rPr>
            </w:pPr>
            <w:r>
              <w:rPr>
                <w:rFonts w:ascii="Calibri" w:eastAsia="Calibri" w:hAnsi="Calibri" w:cs="Calibri"/>
                <w:sz w:val="22"/>
                <w:szCs w:val="22"/>
              </w:rPr>
              <w:t>XXX</w:t>
            </w:r>
          </w:p>
        </w:tc>
        <w:tc>
          <w:tcPr>
            <w:tcW w:w="20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D00664" w:rsidRPr="00C611E2" w:rsidRDefault="00D00664" w:rsidP="00872BE7">
            <w:pPr>
              <w:widowControl w:val="0"/>
              <w:spacing w:line="276" w:lineRule="auto"/>
              <w:rPr>
                <w:rFonts w:ascii="Arial" w:eastAsia="Arial" w:hAnsi="Arial" w:cs="Arial"/>
              </w:rPr>
            </w:pPr>
            <w:r>
              <w:rPr>
                <w:rFonts w:ascii="Calibri" w:eastAsia="Calibri" w:hAnsi="Calibri" w:cs="Calibri"/>
                <w:sz w:val="22"/>
                <w:szCs w:val="22"/>
              </w:rPr>
              <w:t>XXX</w:t>
            </w:r>
          </w:p>
        </w:tc>
        <w:tc>
          <w:tcPr>
            <w:tcW w:w="1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D00664" w:rsidRPr="00C611E2" w:rsidRDefault="00D00664" w:rsidP="00872BE7">
            <w:pPr>
              <w:widowControl w:val="0"/>
              <w:spacing w:line="276" w:lineRule="auto"/>
              <w:rPr>
                <w:rFonts w:ascii="Arial" w:eastAsia="Arial" w:hAnsi="Arial" w:cs="Arial"/>
              </w:rPr>
            </w:pPr>
            <w:r>
              <w:rPr>
                <w:rFonts w:ascii="Calibri" w:eastAsia="Calibri" w:hAnsi="Calibri" w:cs="Calibri"/>
                <w:sz w:val="22"/>
                <w:szCs w:val="22"/>
              </w:rPr>
              <w:t>XXX</w:t>
            </w:r>
          </w:p>
        </w:tc>
        <w:tc>
          <w:tcPr>
            <w:tcW w:w="150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D00664" w:rsidRPr="00C611E2" w:rsidRDefault="00D00664" w:rsidP="00872BE7">
            <w:pPr>
              <w:widowControl w:val="0"/>
              <w:spacing w:line="276" w:lineRule="auto"/>
              <w:jc w:val="right"/>
              <w:rPr>
                <w:rFonts w:ascii="Arial" w:eastAsia="Arial" w:hAnsi="Arial" w:cs="Arial"/>
              </w:rPr>
            </w:pPr>
            <w:r>
              <w:rPr>
                <w:rFonts w:ascii="Calibri" w:eastAsia="Calibri" w:hAnsi="Calibri" w:cs="Calibri"/>
                <w:sz w:val="22"/>
                <w:szCs w:val="22"/>
              </w:rPr>
              <w:t>XXX</w:t>
            </w:r>
          </w:p>
        </w:tc>
      </w:tr>
    </w:tbl>
    <w:p w:rsidR="00BB12F2" w:rsidRDefault="00BB12F2" w:rsidP="00BB12F2">
      <w:pPr>
        <w:pBdr>
          <w:top w:val="nil"/>
          <w:left w:val="nil"/>
          <w:bottom w:val="nil"/>
          <w:right w:val="nil"/>
          <w:between w:val="nil"/>
        </w:pBdr>
        <w:jc w:val="both"/>
        <w:rPr>
          <w:color w:val="000000"/>
          <w:sz w:val="22"/>
          <w:szCs w:val="22"/>
        </w:rPr>
      </w:pPr>
    </w:p>
    <w:sectPr w:rsidR="00BB12F2" w:rsidSect="005E7945">
      <w:footerReference w:type="default" r:id="rId7"/>
      <w:pgSz w:w="11906" w:h="16838"/>
      <w:pgMar w:top="567" w:right="1418" w:bottom="1418"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091" w:rsidRDefault="00855091">
      <w:r>
        <w:separator/>
      </w:r>
    </w:p>
  </w:endnote>
  <w:endnote w:type="continuationSeparator" w:id="0">
    <w:p w:rsidR="00855091" w:rsidRDefault="00855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76C" w:rsidRDefault="008B6CE6">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t xml:space="preserve">Stránka </w:t>
    </w:r>
    <w:r w:rsidR="004140B5">
      <w:rPr>
        <w:b/>
        <w:color w:val="000000"/>
        <w:sz w:val="24"/>
        <w:szCs w:val="24"/>
      </w:rPr>
      <w:fldChar w:fldCharType="begin"/>
    </w:r>
    <w:r>
      <w:rPr>
        <w:b/>
        <w:color w:val="000000"/>
        <w:sz w:val="24"/>
        <w:szCs w:val="24"/>
      </w:rPr>
      <w:instrText>PAGE</w:instrText>
    </w:r>
    <w:r w:rsidR="004140B5">
      <w:rPr>
        <w:b/>
        <w:color w:val="000000"/>
        <w:sz w:val="24"/>
        <w:szCs w:val="24"/>
      </w:rPr>
      <w:fldChar w:fldCharType="separate"/>
    </w:r>
    <w:r w:rsidR="00D00664">
      <w:rPr>
        <w:b/>
        <w:noProof/>
        <w:color w:val="000000"/>
        <w:sz w:val="24"/>
        <w:szCs w:val="24"/>
      </w:rPr>
      <w:t>1</w:t>
    </w:r>
    <w:r w:rsidR="004140B5">
      <w:rPr>
        <w:b/>
        <w:color w:val="000000"/>
        <w:sz w:val="24"/>
        <w:szCs w:val="24"/>
      </w:rPr>
      <w:fldChar w:fldCharType="end"/>
    </w:r>
    <w:r>
      <w:rPr>
        <w:color w:val="000000"/>
        <w:sz w:val="24"/>
        <w:szCs w:val="24"/>
      </w:rPr>
      <w:t xml:space="preserve"> z </w:t>
    </w:r>
    <w:r w:rsidR="004140B5">
      <w:rPr>
        <w:b/>
        <w:color w:val="000000"/>
        <w:sz w:val="24"/>
        <w:szCs w:val="24"/>
      </w:rPr>
      <w:fldChar w:fldCharType="begin"/>
    </w:r>
    <w:r>
      <w:rPr>
        <w:b/>
        <w:color w:val="000000"/>
        <w:sz w:val="24"/>
        <w:szCs w:val="24"/>
      </w:rPr>
      <w:instrText>NUMPAGES</w:instrText>
    </w:r>
    <w:r w:rsidR="004140B5">
      <w:rPr>
        <w:b/>
        <w:color w:val="000000"/>
        <w:sz w:val="24"/>
        <w:szCs w:val="24"/>
      </w:rPr>
      <w:fldChar w:fldCharType="separate"/>
    </w:r>
    <w:r w:rsidR="00D00664">
      <w:rPr>
        <w:b/>
        <w:noProof/>
        <w:color w:val="000000"/>
        <w:sz w:val="24"/>
        <w:szCs w:val="24"/>
      </w:rPr>
      <w:t>8</w:t>
    </w:r>
    <w:r w:rsidR="004140B5">
      <w:rPr>
        <w:b/>
        <w:color w:val="000000"/>
        <w:sz w:val="24"/>
        <w:szCs w:val="24"/>
      </w:rPr>
      <w:fldChar w:fldCharType="end"/>
    </w:r>
  </w:p>
  <w:p w:rsidR="0000476C" w:rsidRDefault="0000476C">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091" w:rsidRDefault="00855091">
      <w:r>
        <w:separator/>
      </w:r>
    </w:p>
  </w:footnote>
  <w:footnote w:type="continuationSeparator" w:id="0">
    <w:p w:rsidR="00855091" w:rsidRDefault="00855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3DF7"/>
    <w:multiLevelType w:val="multilevel"/>
    <w:tmpl w:val="C280609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
    <w:nsid w:val="22CD5D0C"/>
    <w:multiLevelType w:val="multilevel"/>
    <w:tmpl w:val="9F8E83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34C56D9"/>
    <w:multiLevelType w:val="multilevel"/>
    <w:tmpl w:val="19C4F2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23B87E23"/>
    <w:multiLevelType w:val="multilevel"/>
    <w:tmpl w:val="A9D61D3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247E2F20"/>
    <w:multiLevelType w:val="multilevel"/>
    <w:tmpl w:val="363863A2"/>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5">
    <w:nsid w:val="2F8D715C"/>
    <w:multiLevelType w:val="multilevel"/>
    <w:tmpl w:val="2FBE035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nsid w:val="43030D9E"/>
    <w:multiLevelType w:val="multilevel"/>
    <w:tmpl w:val="42E4A0B8"/>
    <w:lvl w:ilvl="0">
      <w:start w:val="2"/>
      <w:numFmt w:val="decimal"/>
      <w:lvlText w:val="%1."/>
      <w:lvlJc w:val="left"/>
      <w:pPr>
        <w:ind w:left="540" w:hanging="540"/>
      </w:pPr>
      <w:rPr>
        <w:rFonts w:ascii="Times New Roman" w:eastAsia="Times New Roman" w:hAnsi="Times New Roman" w:cs="Times New Roman"/>
        <w:b w:val="0"/>
        <w:i w:val="0"/>
        <w:sz w:val="24"/>
        <w:szCs w:val="24"/>
        <w:vertAlign w:val="baseline"/>
      </w:rPr>
    </w:lvl>
    <w:lvl w:ilvl="1">
      <w:start w:val="1"/>
      <w:numFmt w:val="decimal"/>
      <w:lvlText w:val="%1.%2."/>
      <w:lvlJc w:val="left"/>
      <w:pPr>
        <w:ind w:left="680" w:hanging="680"/>
      </w:pPr>
      <w:rPr>
        <w:rFonts w:ascii="Arial" w:eastAsia="Arial" w:hAnsi="Arial" w:cs="Arial"/>
        <w:b/>
        <w:i w:val="0"/>
        <w:sz w:val="20"/>
        <w:szCs w:val="20"/>
        <w:vertAlign w:val="baseline"/>
      </w:rPr>
    </w:lvl>
    <w:lvl w:ilvl="2">
      <w:start w:val="1"/>
      <w:numFmt w:val="decimal"/>
      <w:lvlText w:val="%1.%2.%3."/>
      <w:lvlJc w:val="left"/>
      <w:pPr>
        <w:ind w:left="720" w:hanging="720"/>
      </w:pPr>
      <w:rPr>
        <w:b/>
        <w:i w:val="0"/>
        <w:vertAlign w:val="baseline"/>
      </w:rPr>
    </w:lvl>
    <w:lvl w:ilvl="3">
      <w:start w:val="1"/>
      <w:numFmt w:val="decimal"/>
      <w:lvlText w:val="%1.%2.%3.%4."/>
      <w:lvlJc w:val="left"/>
      <w:pPr>
        <w:ind w:left="720" w:hanging="720"/>
      </w:pPr>
      <w:rPr>
        <w:b w:val="0"/>
        <w:i/>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7">
    <w:nsid w:val="47A37D3E"/>
    <w:multiLevelType w:val="multilevel"/>
    <w:tmpl w:val="FF5AB1B0"/>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C187F8B"/>
    <w:multiLevelType w:val="multilevel"/>
    <w:tmpl w:val="A55EA152"/>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9">
    <w:nsid w:val="51654AC1"/>
    <w:multiLevelType w:val="multilevel"/>
    <w:tmpl w:val="221CEB6C"/>
    <w:lvl w:ilvl="0">
      <w:start w:val="1"/>
      <w:numFmt w:val="decimal"/>
      <w:lvlText w:val="%1."/>
      <w:lvlJc w:val="left"/>
      <w:pPr>
        <w:ind w:left="36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0">
    <w:nsid w:val="520967CF"/>
    <w:multiLevelType w:val="multilevel"/>
    <w:tmpl w:val="656A19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5E3611C0"/>
    <w:multiLevelType w:val="multilevel"/>
    <w:tmpl w:val="588A177E"/>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abstractNum w:abstractNumId="12">
    <w:nsid w:val="73AF5512"/>
    <w:multiLevelType w:val="multilevel"/>
    <w:tmpl w:val="9B1CEF7C"/>
    <w:lvl w:ilvl="0">
      <w:start w:val="1"/>
      <w:numFmt w:val="decimal"/>
      <w:lvlText w:val="%1."/>
      <w:lvlJc w:val="left"/>
      <w:pPr>
        <w:ind w:left="360" w:hanging="360"/>
      </w:pPr>
      <w:rPr>
        <w:i w:val="0"/>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500" w:hanging="720"/>
      </w:pPr>
      <w:rPr>
        <w:vertAlign w:val="baseline"/>
      </w:rPr>
    </w:lvl>
    <w:lvl w:ilvl="3">
      <w:start w:val="1"/>
      <w:numFmt w:val="decimal"/>
      <w:lvlText w:val="%1.%2.%3.%4."/>
      <w:lvlJc w:val="left"/>
      <w:pPr>
        <w:ind w:left="2220" w:hanging="720"/>
      </w:pPr>
      <w:rPr>
        <w:vertAlign w:val="baseline"/>
      </w:rPr>
    </w:lvl>
    <w:lvl w:ilvl="4">
      <w:start w:val="1"/>
      <w:numFmt w:val="decimal"/>
      <w:lvlText w:val="%1.%2.%3.%4.%5."/>
      <w:lvlJc w:val="left"/>
      <w:pPr>
        <w:ind w:left="3300" w:hanging="1080"/>
      </w:pPr>
      <w:rPr>
        <w:vertAlign w:val="baseline"/>
      </w:rPr>
    </w:lvl>
    <w:lvl w:ilvl="5">
      <w:start w:val="1"/>
      <w:numFmt w:val="decimal"/>
      <w:lvlText w:val="%1.%2.%3.%4.%5.%6."/>
      <w:lvlJc w:val="left"/>
      <w:pPr>
        <w:ind w:left="4380" w:hanging="1080"/>
      </w:pPr>
      <w:rPr>
        <w:vertAlign w:val="baseline"/>
      </w:rPr>
    </w:lvl>
    <w:lvl w:ilvl="6">
      <w:start w:val="1"/>
      <w:numFmt w:val="decimal"/>
      <w:lvlText w:val="%1.%2.%3.%4.%5.%6.%7."/>
      <w:lvlJc w:val="left"/>
      <w:pPr>
        <w:ind w:left="5820" w:hanging="1440"/>
      </w:pPr>
      <w:rPr>
        <w:vertAlign w:val="baseline"/>
      </w:rPr>
    </w:lvl>
    <w:lvl w:ilvl="7">
      <w:start w:val="1"/>
      <w:numFmt w:val="decimal"/>
      <w:lvlText w:val="%1.%2.%3.%4.%5.%6.%7.%8."/>
      <w:lvlJc w:val="left"/>
      <w:pPr>
        <w:ind w:left="7260" w:hanging="1440"/>
      </w:pPr>
      <w:rPr>
        <w:vertAlign w:val="baseline"/>
      </w:rPr>
    </w:lvl>
    <w:lvl w:ilvl="8">
      <w:start w:val="1"/>
      <w:numFmt w:val="decimal"/>
      <w:lvlText w:val="%1.%2.%3.%4.%5.%6.%7.%8.%9."/>
      <w:lvlJc w:val="left"/>
      <w:pPr>
        <w:ind w:left="9060" w:hanging="1800"/>
      </w:pPr>
      <w:rPr>
        <w:vertAlign w:val="baseline"/>
      </w:rPr>
    </w:lvl>
  </w:abstractNum>
  <w:num w:numId="1">
    <w:abstractNumId w:val="11"/>
  </w:num>
  <w:num w:numId="2">
    <w:abstractNumId w:val="10"/>
  </w:num>
  <w:num w:numId="3">
    <w:abstractNumId w:val="6"/>
  </w:num>
  <w:num w:numId="4">
    <w:abstractNumId w:val="5"/>
  </w:num>
  <w:num w:numId="5">
    <w:abstractNumId w:val="7"/>
  </w:num>
  <w:num w:numId="6">
    <w:abstractNumId w:val="1"/>
  </w:num>
  <w:num w:numId="7">
    <w:abstractNumId w:val="3"/>
  </w:num>
  <w:num w:numId="8">
    <w:abstractNumId w:val="12"/>
  </w:num>
  <w:num w:numId="9">
    <w:abstractNumId w:val="0"/>
  </w:num>
  <w:num w:numId="10">
    <w:abstractNumId w:val="9"/>
  </w:num>
  <w:num w:numId="11">
    <w:abstractNumId w:val="2"/>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hyphenationZone w:val="425"/>
  <w:characterSpacingControl w:val="doNotCompress"/>
  <w:footnotePr>
    <w:footnote w:id="-1"/>
    <w:footnote w:id="0"/>
  </w:footnotePr>
  <w:endnotePr>
    <w:endnote w:id="-1"/>
    <w:endnote w:id="0"/>
  </w:endnotePr>
  <w:compat/>
  <w:rsids>
    <w:rsidRoot w:val="0000476C"/>
    <w:rsid w:val="0000476C"/>
    <w:rsid w:val="001435F7"/>
    <w:rsid w:val="001856F5"/>
    <w:rsid w:val="001A11B3"/>
    <w:rsid w:val="001F7478"/>
    <w:rsid w:val="00257FE0"/>
    <w:rsid w:val="0033041F"/>
    <w:rsid w:val="0037747C"/>
    <w:rsid w:val="003A7DB1"/>
    <w:rsid w:val="00401EDB"/>
    <w:rsid w:val="004140B5"/>
    <w:rsid w:val="005E7945"/>
    <w:rsid w:val="0069025D"/>
    <w:rsid w:val="006C42BF"/>
    <w:rsid w:val="006E128C"/>
    <w:rsid w:val="0073410C"/>
    <w:rsid w:val="007F35D5"/>
    <w:rsid w:val="00855091"/>
    <w:rsid w:val="008925D3"/>
    <w:rsid w:val="008B6CE6"/>
    <w:rsid w:val="009048A5"/>
    <w:rsid w:val="00A11EC5"/>
    <w:rsid w:val="00A554E0"/>
    <w:rsid w:val="00A95F50"/>
    <w:rsid w:val="00AC5585"/>
    <w:rsid w:val="00B0013E"/>
    <w:rsid w:val="00BB12F2"/>
    <w:rsid w:val="00C611E2"/>
    <w:rsid w:val="00CE0BE8"/>
    <w:rsid w:val="00D00664"/>
    <w:rsid w:val="00E0271E"/>
    <w:rsid w:val="00EE403E"/>
    <w:rsid w:val="00EF6ACC"/>
    <w:rsid w:val="00F03BC9"/>
    <w:rsid w:val="00F55C96"/>
    <w:rsid w:val="00F561E1"/>
    <w:rsid w:val="00FD7CE3"/>
    <w:rsid w:val="00FE58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E7945"/>
  </w:style>
  <w:style w:type="paragraph" w:styleId="Nadpis1">
    <w:name w:val="heading 1"/>
    <w:basedOn w:val="Normln"/>
    <w:next w:val="Normln"/>
    <w:rsid w:val="005E7945"/>
    <w:pPr>
      <w:keepNext/>
      <w:keepLines/>
      <w:spacing w:before="480" w:after="120"/>
      <w:outlineLvl w:val="0"/>
    </w:pPr>
    <w:rPr>
      <w:b/>
      <w:sz w:val="48"/>
      <w:szCs w:val="48"/>
    </w:rPr>
  </w:style>
  <w:style w:type="paragraph" w:styleId="Nadpis2">
    <w:name w:val="heading 2"/>
    <w:basedOn w:val="Normln"/>
    <w:next w:val="Normln"/>
    <w:rsid w:val="005E7945"/>
    <w:pPr>
      <w:keepNext/>
      <w:keepLines/>
      <w:spacing w:before="360" w:after="80"/>
      <w:outlineLvl w:val="1"/>
    </w:pPr>
    <w:rPr>
      <w:b/>
      <w:sz w:val="36"/>
      <w:szCs w:val="36"/>
    </w:rPr>
  </w:style>
  <w:style w:type="paragraph" w:styleId="Nadpis3">
    <w:name w:val="heading 3"/>
    <w:basedOn w:val="Normln"/>
    <w:next w:val="Normln"/>
    <w:rsid w:val="005E7945"/>
    <w:pPr>
      <w:keepNext/>
      <w:keepLines/>
      <w:spacing w:before="280" w:after="80"/>
      <w:outlineLvl w:val="2"/>
    </w:pPr>
    <w:rPr>
      <w:b/>
      <w:sz w:val="28"/>
      <w:szCs w:val="28"/>
    </w:rPr>
  </w:style>
  <w:style w:type="paragraph" w:styleId="Nadpis4">
    <w:name w:val="heading 4"/>
    <w:basedOn w:val="Normln"/>
    <w:next w:val="Normln"/>
    <w:rsid w:val="005E7945"/>
    <w:pPr>
      <w:keepNext/>
      <w:keepLines/>
      <w:spacing w:before="240" w:after="40"/>
      <w:outlineLvl w:val="3"/>
    </w:pPr>
    <w:rPr>
      <w:b/>
      <w:sz w:val="24"/>
      <w:szCs w:val="24"/>
    </w:rPr>
  </w:style>
  <w:style w:type="paragraph" w:styleId="Nadpis5">
    <w:name w:val="heading 5"/>
    <w:basedOn w:val="Normln"/>
    <w:next w:val="Normln"/>
    <w:rsid w:val="005E7945"/>
    <w:pPr>
      <w:keepNext/>
      <w:keepLines/>
      <w:spacing w:before="220" w:after="40"/>
      <w:outlineLvl w:val="4"/>
    </w:pPr>
    <w:rPr>
      <w:b/>
      <w:sz w:val="22"/>
      <w:szCs w:val="22"/>
    </w:rPr>
  </w:style>
  <w:style w:type="paragraph" w:styleId="Nadpis6">
    <w:name w:val="heading 6"/>
    <w:basedOn w:val="Normln"/>
    <w:next w:val="Normln"/>
    <w:rsid w:val="005E7945"/>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5E7945"/>
    <w:tblPr>
      <w:tblCellMar>
        <w:top w:w="0" w:type="dxa"/>
        <w:left w:w="0" w:type="dxa"/>
        <w:bottom w:w="0" w:type="dxa"/>
        <w:right w:w="0" w:type="dxa"/>
      </w:tblCellMar>
    </w:tblPr>
  </w:style>
  <w:style w:type="paragraph" w:styleId="Nzev">
    <w:name w:val="Title"/>
    <w:basedOn w:val="Normln"/>
    <w:next w:val="Normln"/>
    <w:rsid w:val="005E7945"/>
    <w:pPr>
      <w:keepNext/>
      <w:keepLines/>
      <w:spacing w:before="480" w:after="120"/>
    </w:pPr>
    <w:rPr>
      <w:b/>
      <w:sz w:val="72"/>
      <w:szCs w:val="72"/>
    </w:rPr>
  </w:style>
  <w:style w:type="paragraph" w:styleId="Podtitul">
    <w:name w:val="Subtitle"/>
    <w:basedOn w:val="Normln"/>
    <w:next w:val="Normln"/>
    <w:rsid w:val="005E7945"/>
    <w:pPr>
      <w:keepNext/>
      <w:keepLines/>
      <w:spacing w:before="360" w:after="80"/>
    </w:pPr>
    <w:rPr>
      <w:rFonts w:ascii="Georgia" w:eastAsia="Georgia" w:hAnsi="Georgia" w:cs="Georgia"/>
      <w:i/>
      <w:color w:val="666666"/>
      <w:sz w:val="48"/>
      <w:szCs w:val="48"/>
    </w:rPr>
  </w:style>
  <w:style w:type="table" w:customStyle="1" w:styleId="a">
    <w:basedOn w:val="TableNormal"/>
    <w:rsid w:val="005E7945"/>
    <w:tblPr>
      <w:tblStyleRowBandSize w:val="1"/>
      <w:tblStyleColBandSize w:val="1"/>
      <w:tblCellMar>
        <w:top w:w="0" w:type="dxa"/>
        <w:left w:w="108" w:type="dxa"/>
        <w:bottom w:w="0" w:type="dxa"/>
        <w:right w:w="108" w:type="dxa"/>
      </w:tblCellMar>
    </w:tblPr>
  </w:style>
  <w:style w:type="table" w:customStyle="1" w:styleId="a0">
    <w:basedOn w:val="TableNormal"/>
    <w:rsid w:val="005E7945"/>
    <w:tblPr>
      <w:tblStyleRowBandSize w:val="1"/>
      <w:tblStyleColBandSize w:val="1"/>
      <w:tblCellMar>
        <w:top w:w="100" w:type="dxa"/>
        <w:left w:w="100" w:type="dxa"/>
        <w:bottom w:w="100" w:type="dxa"/>
        <w:right w:w="100" w:type="dxa"/>
      </w:tblCellMar>
    </w:tblPr>
  </w:style>
  <w:style w:type="paragraph" w:styleId="Textbubliny">
    <w:name w:val="Balloon Text"/>
    <w:basedOn w:val="Normln"/>
    <w:link w:val="TextbublinyChar"/>
    <w:uiPriority w:val="99"/>
    <w:semiHidden/>
    <w:unhideWhenUsed/>
    <w:rsid w:val="001A11B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11B3"/>
    <w:rPr>
      <w:rFonts w:ascii="Segoe UI" w:hAnsi="Segoe UI" w:cs="Segoe UI"/>
      <w:sz w:val="18"/>
      <w:szCs w:val="18"/>
    </w:rPr>
  </w:style>
  <w:style w:type="character" w:styleId="Odkaznakoment">
    <w:name w:val="annotation reference"/>
    <w:basedOn w:val="Standardnpsmoodstavce"/>
    <w:uiPriority w:val="99"/>
    <w:semiHidden/>
    <w:unhideWhenUsed/>
    <w:rsid w:val="001A11B3"/>
    <w:rPr>
      <w:sz w:val="16"/>
      <w:szCs w:val="16"/>
    </w:rPr>
  </w:style>
  <w:style w:type="paragraph" w:styleId="Textkomente">
    <w:name w:val="annotation text"/>
    <w:basedOn w:val="Normln"/>
    <w:link w:val="TextkomenteChar"/>
    <w:uiPriority w:val="99"/>
    <w:semiHidden/>
    <w:unhideWhenUsed/>
    <w:rsid w:val="001A11B3"/>
  </w:style>
  <w:style w:type="character" w:customStyle="1" w:styleId="TextkomenteChar">
    <w:name w:val="Text komentáře Char"/>
    <w:basedOn w:val="Standardnpsmoodstavce"/>
    <w:link w:val="Textkomente"/>
    <w:uiPriority w:val="99"/>
    <w:semiHidden/>
    <w:rsid w:val="001A11B3"/>
  </w:style>
  <w:style w:type="paragraph" w:styleId="Pedmtkomente">
    <w:name w:val="annotation subject"/>
    <w:basedOn w:val="Textkomente"/>
    <w:next w:val="Textkomente"/>
    <w:link w:val="PedmtkomenteChar"/>
    <w:uiPriority w:val="99"/>
    <w:semiHidden/>
    <w:unhideWhenUsed/>
    <w:rsid w:val="001A11B3"/>
    <w:rPr>
      <w:b/>
      <w:bCs/>
    </w:rPr>
  </w:style>
  <w:style w:type="character" w:customStyle="1" w:styleId="PedmtkomenteChar">
    <w:name w:val="Předmět komentáře Char"/>
    <w:basedOn w:val="TextkomenteChar"/>
    <w:link w:val="Pedmtkomente"/>
    <w:uiPriority w:val="99"/>
    <w:semiHidden/>
    <w:rsid w:val="001A11B3"/>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2721</Words>
  <Characters>16056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Zurek</dc:creator>
  <cp:lastModifiedBy>Tomáš Žůrek</cp:lastModifiedBy>
  <cp:revision>2</cp:revision>
  <dcterms:created xsi:type="dcterms:W3CDTF">2020-05-11T07:41:00Z</dcterms:created>
  <dcterms:modified xsi:type="dcterms:W3CDTF">2020-05-11T07:41:00Z</dcterms:modified>
</cp:coreProperties>
</file>