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7F" w:rsidRPr="00C14A3D" w:rsidRDefault="00CF6A7F" w:rsidP="00CF6A7F">
      <w:pPr>
        <w:pStyle w:val="Nadpis1"/>
        <w:spacing w:after="12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 č. 2</w:t>
      </w:r>
    </w:p>
    <w:p w:rsidR="00CF6A7F" w:rsidRDefault="00CF6A7F" w:rsidP="00CF6A7F">
      <w:pPr>
        <w:spacing w:after="60"/>
        <w:jc w:val="center"/>
        <w:rPr>
          <w:rFonts w:ascii="Arial" w:hAnsi="Arial" w:cs="Arial"/>
        </w:rPr>
      </w:pPr>
      <w:r w:rsidRPr="00D97792">
        <w:rPr>
          <w:rFonts w:ascii="Arial" w:hAnsi="Arial" w:cs="Arial"/>
        </w:rPr>
        <w:t>ke Smlouvě o poskytování služeb a Smlouvě o zastoupení zadavatele</w:t>
      </w:r>
      <w:r>
        <w:rPr>
          <w:rFonts w:ascii="Arial" w:hAnsi="Arial" w:cs="Arial"/>
        </w:rPr>
        <w:t xml:space="preserve"> ze dne 15. 1. 2020 </w:t>
      </w:r>
    </w:p>
    <w:p w:rsidR="00CF6A7F" w:rsidRPr="00D03A5E" w:rsidRDefault="00CF6A7F" w:rsidP="00CF6A7F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dodatku č. 1</w:t>
      </w:r>
    </w:p>
    <w:p w:rsidR="00CF6A7F" w:rsidRDefault="00CF6A7F" w:rsidP="00CF6A7F">
      <w:pPr>
        <w:pStyle w:val="Normodsaz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sz w:val="20"/>
        </w:rPr>
      </w:pPr>
    </w:p>
    <w:p w:rsidR="00CF6A7F" w:rsidRPr="00D97792" w:rsidRDefault="00CF6A7F" w:rsidP="00CF6A7F">
      <w:pPr>
        <w:pStyle w:val="Normodsaz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:rsidR="00CF6A7F" w:rsidRPr="00C14A3D" w:rsidRDefault="00CF6A7F" w:rsidP="00CF6A7F">
      <w:pPr>
        <w:tabs>
          <w:tab w:val="left" w:pos="1701"/>
        </w:tabs>
        <w:spacing w:after="240" w:line="276" w:lineRule="auto"/>
        <w:jc w:val="center"/>
        <w:rPr>
          <w:rFonts w:ascii="Arial" w:hAnsi="Arial" w:cs="Arial"/>
          <w:b/>
        </w:rPr>
      </w:pPr>
      <w:r w:rsidRPr="00C14A3D">
        <w:rPr>
          <w:rFonts w:ascii="Arial" w:hAnsi="Arial" w:cs="Arial"/>
          <w:b/>
        </w:rPr>
        <w:t>Smluvní strany</w:t>
      </w:r>
    </w:p>
    <w:p w:rsidR="00CF6A7F" w:rsidRPr="002A0353" w:rsidRDefault="00CF6A7F" w:rsidP="00CF6A7F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bCs/>
        </w:rPr>
      </w:pPr>
      <w:r w:rsidRPr="003E545C">
        <w:rPr>
          <w:rFonts w:ascii="Arial" w:hAnsi="Arial" w:cs="Arial"/>
          <w:b/>
        </w:rPr>
        <w:t>Objednatel:</w:t>
      </w:r>
      <w:r w:rsidRPr="003E545C">
        <w:rPr>
          <w:rFonts w:ascii="Arial" w:hAnsi="Arial" w:cs="Arial"/>
          <w:b/>
        </w:rPr>
        <w:tab/>
      </w:r>
      <w:r w:rsidRPr="003E545C">
        <w:rPr>
          <w:rFonts w:ascii="Arial" w:hAnsi="Arial" w:cs="Arial"/>
          <w:b/>
        </w:rPr>
        <w:tab/>
      </w:r>
      <w:r w:rsidRPr="003E545C">
        <w:rPr>
          <w:rFonts w:ascii="Arial" w:hAnsi="Arial" w:cs="Arial"/>
          <w:b/>
          <w:bCs/>
        </w:rPr>
        <w:t xml:space="preserve">Armádní </w:t>
      </w:r>
      <w:r>
        <w:rPr>
          <w:rFonts w:ascii="Arial" w:hAnsi="Arial" w:cs="Arial"/>
          <w:b/>
          <w:bCs/>
        </w:rPr>
        <w:t>S</w:t>
      </w:r>
      <w:r w:rsidRPr="003E545C">
        <w:rPr>
          <w:rFonts w:ascii="Arial" w:hAnsi="Arial" w:cs="Arial"/>
          <w:b/>
          <w:bCs/>
        </w:rPr>
        <w:t xml:space="preserve">ervisní, příspěvková organizace </w:t>
      </w:r>
    </w:p>
    <w:p w:rsidR="00CF6A7F" w:rsidRPr="00BC0512" w:rsidRDefault="00CF6A7F" w:rsidP="00CF6A7F">
      <w:pPr>
        <w:spacing w:line="276" w:lineRule="auto"/>
        <w:ind w:left="2126"/>
        <w:rPr>
          <w:rFonts w:ascii="Arial" w:hAnsi="Arial" w:cs="Arial"/>
        </w:rPr>
      </w:pPr>
      <w:r w:rsidRPr="00BC0512">
        <w:rPr>
          <w:rFonts w:ascii="Arial" w:hAnsi="Arial" w:cs="Arial"/>
        </w:rPr>
        <w:t xml:space="preserve">příspěvková organizace zapsaná v obchodním rejstříku u Městského soudu v Praze pod spisovou značkou </w:t>
      </w:r>
      <w:proofErr w:type="spellStart"/>
      <w:r w:rsidRPr="00BC0512">
        <w:rPr>
          <w:rFonts w:ascii="Arial" w:hAnsi="Arial" w:cs="Arial"/>
        </w:rPr>
        <w:t>Pr</w:t>
      </w:r>
      <w:proofErr w:type="spellEnd"/>
      <w:r w:rsidRPr="00BC0512">
        <w:rPr>
          <w:rFonts w:ascii="Arial" w:hAnsi="Arial" w:cs="Arial"/>
        </w:rPr>
        <w:t xml:space="preserve"> 1342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IČO: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>604 60 580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3E545C">
        <w:rPr>
          <w:rFonts w:ascii="Arial" w:hAnsi="Arial" w:cs="Arial"/>
        </w:rPr>
        <w:t>DIČ: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>CZ604 60 580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se sídlem: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>Podbabská 1589/1, 160 00 Praha 6 – Dejvice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102B26">
        <w:rPr>
          <w:rFonts w:ascii="Arial" w:hAnsi="Arial" w:cs="Arial"/>
        </w:rPr>
        <w:t>st</w:t>
      </w:r>
      <w:r>
        <w:rPr>
          <w:rFonts w:ascii="Arial" w:hAnsi="Arial" w:cs="Arial"/>
        </w:rPr>
        <w:t>oupena</w:t>
      </w:r>
      <w:r w:rsidRPr="00102B26">
        <w:rPr>
          <w:rFonts w:ascii="Arial" w:hAnsi="Arial" w:cs="Arial"/>
        </w:rPr>
        <w:t>:</w:t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2B26">
        <w:rPr>
          <w:rFonts w:ascii="Arial" w:hAnsi="Arial" w:cs="Arial"/>
        </w:rPr>
        <w:t>Ing. Martin</w:t>
      </w:r>
      <w:r>
        <w:rPr>
          <w:rFonts w:ascii="Arial" w:hAnsi="Arial" w:cs="Arial"/>
        </w:rPr>
        <w:t>em</w:t>
      </w:r>
      <w:r w:rsidRPr="00102B26">
        <w:rPr>
          <w:rFonts w:ascii="Arial" w:hAnsi="Arial" w:cs="Arial"/>
        </w:rPr>
        <w:t xml:space="preserve"> Lehký</w:t>
      </w:r>
      <w:r>
        <w:rPr>
          <w:rFonts w:ascii="Arial" w:hAnsi="Arial" w:cs="Arial"/>
        </w:rPr>
        <w:t>m</w:t>
      </w:r>
      <w:r w:rsidRPr="00102B26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102B26">
        <w:rPr>
          <w:rFonts w:ascii="Arial" w:hAnsi="Arial" w:cs="Arial"/>
        </w:rPr>
        <w:t xml:space="preserve"> organizace</w:t>
      </w:r>
    </w:p>
    <w:p w:rsidR="00CF6A7F" w:rsidRPr="00102B26" w:rsidRDefault="00CF6A7F" w:rsidP="00CF6A7F">
      <w:pPr>
        <w:tabs>
          <w:tab w:val="left" w:pos="1701"/>
        </w:tabs>
        <w:spacing w:line="276" w:lineRule="auto"/>
        <w:jc w:val="both"/>
        <w:rPr>
          <w:rFonts w:ascii="Arial" w:hAnsi="Arial" w:cs="Arial"/>
        </w:rPr>
      </w:pPr>
      <w:r w:rsidRPr="00102B26">
        <w:rPr>
          <w:rFonts w:ascii="Arial" w:hAnsi="Arial" w:cs="Arial"/>
        </w:rPr>
        <w:t>bankovní spojení: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  <w:b/>
        </w:rPr>
      </w:pPr>
      <w:r w:rsidRPr="00102B26">
        <w:rPr>
          <w:rFonts w:ascii="Arial" w:hAnsi="Arial" w:cs="Arial"/>
        </w:rPr>
        <w:t>číslo účtu: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:rsidR="00CF6A7F" w:rsidRPr="00102B26" w:rsidRDefault="00CF6A7F" w:rsidP="00CF6A7F">
      <w:pPr>
        <w:tabs>
          <w:tab w:val="left" w:pos="2835"/>
        </w:tabs>
        <w:spacing w:line="276" w:lineRule="auto"/>
        <w:rPr>
          <w:rFonts w:ascii="Arial" w:hAnsi="Arial" w:cs="Arial"/>
        </w:rPr>
      </w:pPr>
    </w:p>
    <w:p w:rsidR="00CF6A7F" w:rsidRPr="00102B26" w:rsidRDefault="00CF6A7F" w:rsidP="00CF6A7F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 xml:space="preserve">dále jen </w:t>
      </w:r>
      <w:r w:rsidRPr="00102B26">
        <w:rPr>
          <w:rFonts w:ascii="Arial" w:hAnsi="Arial" w:cs="Arial"/>
          <w:i/>
        </w:rPr>
        <w:t>„objednatel“</w:t>
      </w:r>
      <w:r w:rsidRPr="00102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 </w:t>
      </w:r>
      <w:r w:rsidRPr="008D7AD3">
        <w:rPr>
          <w:rFonts w:ascii="Arial" w:hAnsi="Arial" w:cs="Arial"/>
          <w:i/>
        </w:rPr>
        <w:t>„zadavatel“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  <w:b/>
        </w:rPr>
      </w:pPr>
    </w:p>
    <w:p w:rsidR="00CF6A7F" w:rsidRPr="00102B26" w:rsidRDefault="00CF6A7F" w:rsidP="00CF6A7F">
      <w:pPr>
        <w:spacing w:line="276" w:lineRule="auto"/>
        <w:rPr>
          <w:rFonts w:ascii="Arial" w:hAnsi="Arial" w:cs="Arial"/>
          <w:b/>
        </w:rPr>
      </w:pPr>
      <w:r w:rsidRPr="00102B26">
        <w:rPr>
          <w:rFonts w:ascii="Arial" w:hAnsi="Arial" w:cs="Arial"/>
          <w:b/>
        </w:rPr>
        <w:t>a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  <w:b/>
        </w:rPr>
      </w:pPr>
    </w:p>
    <w:p w:rsidR="00CF6A7F" w:rsidRPr="00102B26" w:rsidRDefault="00CF6A7F" w:rsidP="00CF6A7F">
      <w:pPr>
        <w:spacing w:line="276" w:lineRule="auto"/>
        <w:rPr>
          <w:rFonts w:ascii="Arial" w:hAnsi="Arial" w:cs="Arial"/>
          <w:b/>
          <w:highlight w:val="yellow"/>
        </w:rPr>
      </w:pPr>
      <w:r w:rsidRPr="00102B26">
        <w:rPr>
          <w:rFonts w:ascii="Arial" w:hAnsi="Arial" w:cs="Arial"/>
          <w:b/>
        </w:rPr>
        <w:t xml:space="preserve">Obstaravatel: </w:t>
      </w:r>
      <w:r w:rsidRPr="00102B26">
        <w:rPr>
          <w:rFonts w:ascii="Arial" w:hAnsi="Arial" w:cs="Arial"/>
          <w:b/>
        </w:rPr>
        <w:tab/>
      </w:r>
      <w:r w:rsidRPr="00102B26">
        <w:rPr>
          <w:rFonts w:ascii="Arial" w:hAnsi="Arial" w:cs="Arial"/>
          <w:b/>
        </w:rPr>
        <w:tab/>
        <w:t>HOCHTIEF CZ a. s.</w:t>
      </w:r>
      <w:r w:rsidRPr="00102B26" w:rsidDel="0086042C">
        <w:rPr>
          <w:rFonts w:ascii="Arial" w:hAnsi="Arial" w:cs="Arial"/>
          <w:b/>
          <w:highlight w:val="yellow"/>
        </w:rPr>
        <w:t xml:space="preserve"> </w:t>
      </w:r>
    </w:p>
    <w:p w:rsidR="00CF6A7F" w:rsidRPr="00BC0512" w:rsidRDefault="00CF6A7F" w:rsidP="00CF6A7F">
      <w:pPr>
        <w:spacing w:line="276" w:lineRule="auto"/>
        <w:ind w:left="2126"/>
        <w:rPr>
          <w:rFonts w:ascii="Arial" w:hAnsi="Arial" w:cs="Arial"/>
        </w:rPr>
      </w:pPr>
      <w:r w:rsidRPr="00BC0512">
        <w:rPr>
          <w:rFonts w:ascii="Arial" w:hAnsi="Arial" w:cs="Arial"/>
        </w:rPr>
        <w:t>Obchodní společnost zapsaná v obchodním rejstříku vedeném u Městského soudu v Praze pod spisovou značkou B 6229</w:t>
      </w:r>
    </w:p>
    <w:p w:rsidR="00CF6A7F" w:rsidRPr="003E545C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IČO: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 xml:space="preserve">466 78 </w:t>
      </w:r>
      <w:r w:rsidRPr="003E545C">
        <w:rPr>
          <w:rFonts w:ascii="Arial" w:hAnsi="Arial" w:cs="Arial"/>
        </w:rPr>
        <w:t>468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3E545C">
        <w:rPr>
          <w:rFonts w:ascii="Arial" w:hAnsi="Arial" w:cs="Arial"/>
        </w:rPr>
        <w:t>DIČ: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>CZ46678468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se sídlem: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  <w:t>Praha 5, Plzeňská 16/3217, PSČ 15000</w:t>
      </w:r>
    </w:p>
    <w:p w:rsidR="00CF6A7F" w:rsidRPr="00102B26" w:rsidRDefault="00CF6A7F" w:rsidP="00CF6A7F">
      <w:pPr>
        <w:spacing w:line="276" w:lineRule="auto"/>
        <w:ind w:left="2127" w:hanging="2127"/>
        <w:rPr>
          <w:rFonts w:ascii="Arial" w:hAnsi="Arial" w:cs="Arial"/>
        </w:rPr>
      </w:pPr>
      <w:r w:rsidRPr="00102B26">
        <w:rPr>
          <w:rFonts w:ascii="Arial" w:hAnsi="Arial" w:cs="Arial"/>
        </w:rPr>
        <w:t>zástupce:</w:t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  <w:r w:rsidRPr="00102B26">
        <w:rPr>
          <w:rFonts w:ascii="Arial" w:hAnsi="Arial" w:cs="Arial"/>
        </w:rPr>
        <w:t xml:space="preserve">, ředitel divize Stavební služby, na základě plné moci ze dne </w:t>
      </w:r>
      <w:proofErr w:type="gramStart"/>
      <w:r w:rsidRPr="00DB5470">
        <w:rPr>
          <w:rFonts w:ascii="Arial" w:hAnsi="Arial" w:cs="Arial"/>
        </w:rPr>
        <w:t>6.1.2020</w:t>
      </w:r>
      <w:proofErr w:type="gramEnd"/>
    </w:p>
    <w:p w:rsidR="00CF6A7F" w:rsidRPr="00102B26" w:rsidRDefault="00CF6A7F" w:rsidP="00CF6A7F">
      <w:pPr>
        <w:spacing w:line="276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Pr="00102B26">
        <w:rPr>
          <w:rFonts w:ascii="Arial" w:hAnsi="Arial" w:cs="Arial"/>
        </w:rPr>
        <w:t xml:space="preserve">, výrobní ředitel divize Stavební služby, na základě plné moci ze dne </w:t>
      </w:r>
      <w:proofErr w:type="gramStart"/>
      <w:r w:rsidRPr="00DB5470">
        <w:rPr>
          <w:rFonts w:ascii="Arial" w:hAnsi="Arial" w:cs="Arial"/>
        </w:rPr>
        <w:t>6.1.2020</w:t>
      </w:r>
      <w:proofErr w:type="gramEnd"/>
      <w:r w:rsidRPr="00102B26">
        <w:rPr>
          <w:rFonts w:ascii="Arial" w:hAnsi="Arial" w:cs="Arial"/>
        </w:rPr>
        <w:t xml:space="preserve"> 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bankovní spojení</w:t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>číslo účtu</w:t>
      </w:r>
      <w:r w:rsidRPr="00102B26">
        <w:rPr>
          <w:rFonts w:ascii="Arial" w:hAnsi="Arial" w:cs="Arial"/>
        </w:rPr>
        <w:tab/>
      </w:r>
      <w:r w:rsidRPr="00102B26">
        <w:rPr>
          <w:rFonts w:ascii="Arial" w:hAnsi="Arial" w:cs="Arial"/>
        </w:rPr>
        <w:tab/>
      </w:r>
      <w:r>
        <w:rPr>
          <w:rFonts w:ascii="Arial" w:hAnsi="Arial" w:cs="Arial"/>
        </w:rPr>
        <w:t>XXXXX</w:t>
      </w: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</w:p>
    <w:p w:rsidR="00CF6A7F" w:rsidRPr="00102B26" w:rsidRDefault="00CF6A7F" w:rsidP="00CF6A7F">
      <w:pPr>
        <w:spacing w:line="276" w:lineRule="auto"/>
        <w:rPr>
          <w:rFonts w:ascii="Arial" w:hAnsi="Arial" w:cs="Arial"/>
        </w:rPr>
      </w:pPr>
    </w:p>
    <w:p w:rsidR="00CF6A7F" w:rsidRPr="00102B26" w:rsidRDefault="00CF6A7F" w:rsidP="00CF6A7F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102B26">
        <w:rPr>
          <w:rFonts w:ascii="Arial" w:hAnsi="Arial" w:cs="Arial"/>
        </w:rPr>
        <w:t xml:space="preserve">dále </w:t>
      </w:r>
      <w:r w:rsidRPr="00102B26">
        <w:rPr>
          <w:rFonts w:ascii="Arial" w:hAnsi="Arial" w:cs="Arial"/>
          <w:bCs/>
        </w:rPr>
        <w:t xml:space="preserve">jen </w:t>
      </w:r>
      <w:r w:rsidRPr="00102B26">
        <w:rPr>
          <w:rFonts w:ascii="Arial" w:hAnsi="Arial" w:cs="Arial"/>
          <w:i/>
        </w:rPr>
        <w:t>„obstaravatel“</w:t>
      </w:r>
    </w:p>
    <w:p w:rsidR="00CF6A7F" w:rsidRDefault="00CF6A7F" w:rsidP="00CF6A7F">
      <w:pPr>
        <w:tabs>
          <w:tab w:val="left" w:pos="2835"/>
        </w:tabs>
        <w:spacing w:before="360" w:after="360" w:line="276" w:lineRule="auto"/>
        <w:rPr>
          <w:rFonts w:ascii="Arial" w:hAnsi="Arial" w:cs="Arial"/>
          <w:i/>
        </w:rPr>
      </w:pPr>
      <w:r w:rsidRPr="00102B26">
        <w:rPr>
          <w:rFonts w:ascii="Arial" w:hAnsi="Arial" w:cs="Arial"/>
        </w:rPr>
        <w:t xml:space="preserve"> objednatel a obstaravatel také dále společně jako </w:t>
      </w:r>
      <w:r w:rsidRPr="00102B26">
        <w:rPr>
          <w:rFonts w:ascii="Arial" w:hAnsi="Arial" w:cs="Arial"/>
          <w:i/>
        </w:rPr>
        <w:t>„smluvní strany“</w:t>
      </w:r>
    </w:p>
    <w:p w:rsidR="00CF6A7F" w:rsidRPr="003B5453" w:rsidRDefault="00CF6A7F" w:rsidP="00CF6A7F">
      <w:pPr>
        <w:spacing w:after="240" w:line="276" w:lineRule="auto"/>
        <w:jc w:val="center"/>
        <w:rPr>
          <w:rFonts w:ascii="Arial" w:hAnsi="Arial" w:cs="Arial"/>
          <w:b/>
        </w:rPr>
      </w:pPr>
      <w:r w:rsidRPr="003B5453">
        <w:rPr>
          <w:rFonts w:ascii="Arial" w:hAnsi="Arial" w:cs="Arial"/>
          <w:b/>
        </w:rPr>
        <w:t>II.</w:t>
      </w:r>
    </w:p>
    <w:p w:rsidR="00CF6A7F" w:rsidRDefault="00CF6A7F" w:rsidP="00CF6A7F">
      <w:pPr>
        <w:pStyle w:val="Nadpis2"/>
        <w:numPr>
          <w:ilvl w:val="0"/>
          <w:numId w:val="0"/>
        </w:numPr>
        <w:spacing w:after="240" w:line="276" w:lineRule="auto"/>
        <w:jc w:val="center"/>
        <w:rPr>
          <w:rFonts w:cs="Arial"/>
          <w:caps w:val="0"/>
          <w:color w:val="auto"/>
          <w:sz w:val="20"/>
        </w:rPr>
      </w:pPr>
      <w:r>
        <w:rPr>
          <w:rFonts w:cs="Arial"/>
          <w:caps w:val="0"/>
          <w:color w:val="auto"/>
          <w:sz w:val="20"/>
        </w:rPr>
        <w:t>Úvodní ustanovení</w:t>
      </w:r>
    </w:p>
    <w:p w:rsidR="00CF6A7F" w:rsidRDefault="00CF6A7F" w:rsidP="00CF6A7F">
      <w:pPr>
        <w:spacing w:after="24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D97792">
        <w:rPr>
          <w:rFonts w:ascii="Arial" w:hAnsi="Arial" w:cs="Arial"/>
        </w:rPr>
        <w:t xml:space="preserve">Smluvní strany uzavřely dne </w:t>
      </w:r>
      <w:r>
        <w:rPr>
          <w:rFonts w:ascii="Arial" w:hAnsi="Arial" w:cs="Arial"/>
        </w:rPr>
        <w:t xml:space="preserve">15. 1. 2020 </w:t>
      </w:r>
      <w:r w:rsidRPr="00D97792">
        <w:rPr>
          <w:rFonts w:ascii="Arial" w:hAnsi="Arial" w:cs="Arial"/>
        </w:rPr>
        <w:t>Smlouvu o poskytování služeb, jejímž předmětem bylo zajištění komplexního zpracování „Žádosti o podporu v rámci prioritní osy 5, investiční priority 1, SC 5.1“ (dále jen „žádost o podporu“) a zajištění její</w:t>
      </w:r>
      <w:r>
        <w:rPr>
          <w:rFonts w:ascii="Arial" w:hAnsi="Arial" w:cs="Arial"/>
        </w:rPr>
        <w:t>ho</w:t>
      </w:r>
      <w:r w:rsidRPr="00D97792">
        <w:rPr>
          <w:rFonts w:ascii="Arial" w:hAnsi="Arial" w:cs="Arial"/>
        </w:rPr>
        <w:t xml:space="preserve"> podání u příslušného orgánu a Smlouvu o zastoupení zadavatele, jejímž předmětem je závazek obstaravatele obstarat pro zadavatele provádění úkonů zadavatele, souvisejících se zadávacím řízením veřejné zakázky (dále jako „smlouva“)</w:t>
      </w:r>
      <w:r>
        <w:rPr>
          <w:rFonts w:ascii="Arial" w:hAnsi="Arial" w:cs="Arial"/>
        </w:rPr>
        <w:t xml:space="preserve">, </w:t>
      </w:r>
      <w:r w:rsidRPr="009E7DFD">
        <w:rPr>
          <w:rFonts w:ascii="Arial" w:hAnsi="Arial" w:cs="Arial"/>
        </w:rPr>
        <w:t xml:space="preserve">jejíž ujednání byla částečně </w:t>
      </w:r>
      <w:r>
        <w:rPr>
          <w:rFonts w:ascii="Arial" w:hAnsi="Arial" w:cs="Arial"/>
        </w:rPr>
        <w:t xml:space="preserve">změněna Dodatkem č. 1. ze dne </w:t>
      </w:r>
      <w:proofErr w:type="gramStart"/>
      <w:r>
        <w:rPr>
          <w:rFonts w:ascii="Arial" w:hAnsi="Arial" w:cs="Arial"/>
        </w:rPr>
        <w:t>18.2.2020</w:t>
      </w:r>
      <w:proofErr w:type="gramEnd"/>
      <w:r w:rsidRPr="00D97792">
        <w:rPr>
          <w:rFonts w:ascii="Arial" w:hAnsi="Arial" w:cs="Arial"/>
        </w:rPr>
        <w:t xml:space="preserve">. </w:t>
      </w:r>
    </w:p>
    <w:p w:rsidR="00CF6A7F" w:rsidRPr="00D97792" w:rsidRDefault="00CF6A7F" w:rsidP="00CF6A7F">
      <w:pPr>
        <w:spacing w:after="240" w:line="276" w:lineRule="auto"/>
        <w:ind w:left="567" w:hanging="567"/>
        <w:jc w:val="both"/>
        <w:rPr>
          <w:rFonts w:ascii="Arial" w:hAnsi="Arial" w:cs="Arial"/>
        </w:rPr>
      </w:pPr>
    </w:p>
    <w:p w:rsidR="00CF6A7F" w:rsidRPr="00D97792" w:rsidRDefault="00CF6A7F" w:rsidP="00CF6A7F">
      <w:pPr>
        <w:spacing w:after="240" w:line="276" w:lineRule="auto"/>
        <w:ind w:left="567" w:hanging="567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CF6A7F" w:rsidRDefault="00CF6A7F" w:rsidP="00CF6A7F">
      <w:pPr>
        <w:spacing w:after="240" w:line="276" w:lineRule="auto"/>
        <w:jc w:val="center"/>
        <w:rPr>
          <w:rFonts w:ascii="Arial" w:hAnsi="Arial" w:cs="Arial"/>
          <w:b/>
        </w:rPr>
      </w:pPr>
      <w:r w:rsidRPr="001B6929">
        <w:rPr>
          <w:rFonts w:ascii="Arial" w:hAnsi="Arial" w:cs="Arial"/>
          <w:b/>
        </w:rPr>
        <w:t>Předmět dodatku</w:t>
      </w:r>
    </w:p>
    <w:p w:rsidR="00CF6A7F" w:rsidRDefault="00CF6A7F" w:rsidP="00CF6A7F">
      <w:pPr>
        <w:pStyle w:val="Odstavecseseznamem"/>
        <w:numPr>
          <w:ilvl w:val="0"/>
          <w:numId w:val="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</w:t>
      </w:r>
      <w:r w:rsidRPr="009177DC">
        <w:rPr>
          <w:rFonts w:ascii="Arial" w:hAnsi="Arial" w:cs="Arial"/>
        </w:rPr>
        <w:t xml:space="preserve">v souladu s čl. </w:t>
      </w:r>
      <w:r>
        <w:rPr>
          <w:rFonts w:ascii="Arial" w:hAnsi="Arial" w:cs="Arial"/>
        </w:rPr>
        <w:t>10</w:t>
      </w:r>
      <w:r w:rsidRPr="009177DC">
        <w:rPr>
          <w:rFonts w:ascii="Arial" w:hAnsi="Arial" w:cs="Arial"/>
        </w:rPr>
        <w:t xml:space="preserve">., odst. </w:t>
      </w:r>
      <w:r>
        <w:rPr>
          <w:rFonts w:ascii="Arial" w:hAnsi="Arial" w:cs="Arial"/>
        </w:rPr>
        <w:t>5.</w:t>
      </w:r>
      <w:r w:rsidRPr="00917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177DC">
        <w:rPr>
          <w:rFonts w:ascii="Arial" w:hAnsi="Arial" w:cs="Arial"/>
        </w:rPr>
        <w:t xml:space="preserve">mlouvy dohodly na tomto </w:t>
      </w:r>
      <w:r>
        <w:rPr>
          <w:rFonts w:ascii="Arial" w:hAnsi="Arial" w:cs="Arial"/>
        </w:rPr>
        <w:t>d</w:t>
      </w:r>
      <w:r w:rsidRPr="009177DC">
        <w:rPr>
          <w:rFonts w:ascii="Arial" w:hAnsi="Arial" w:cs="Arial"/>
        </w:rPr>
        <w:t>odatku č. 2 (dále jen „</w:t>
      </w:r>
      <w:r>
        <w:rPr>
          <w:rFonts w:ascii="Arial" w:hAnsi="Arial" w:cs="Arial"/>
        </w:rPr>
        <w:t>d</w:t>
      </w:r>
      <w:r w:rsidRPr="009177DC">
        <w:rPr>
          <w:rFonts w:ascii="Arial" w:hAnsi="Arial" w:cs="Arial"/>
        </w:rPr>
        <w:t>odatek č. 2“), jehož předmětem je</w:t>
      </w:r>
      <w:r w:rsidRPr="002252DA">
        <w:rPr>
          <w:rFonts w:ascii="Arial Narrow" w:hAnsi="Arial Narrow" w:cs="Arial"/>
          <w:sz w:val="22"/>
          <w:szCs w:val="22"/>
        </w:rPr>
        <w:t xml:space="preserve"> </w:t>
      </w:r>
      <w:r w:rsidRPr="003E3AA6">
        <w:rPr>
          <w:rFonts w:ascii="Arial" w:hAnsi="Arial" w:cs="Arial"/>
        </w:rPr>
        <w:t>úprava termínů plnění dle smlouvy o zastoupení zadavatele.</w:t>
      </w:r>
    </w:p>
    <w:p w:rsidR="00CF6A7F" w:rsidRDefault="00CF6A7F" w:rsidP="00CF6A7F">
      <w:pPr>
        <w:pStyle w:val="Odstavecseseznamem"/>
        <w:numPr>
          <w:ilvl w:val="0"/>
          <w:numId w:val="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3E3AA6">
        <w:rPr>
          <w:rFonts w:ascii="Arial" w:hAnsi="Arial" w:cs="Arial"/>
        </w:rPr>
        <w:t>V souvislosti s předmětem dodatku uvedeným v odst. 1. čl. III.</w:t>
      </w:r>
      <w:r>
        <w:rPr>
          <w:rFonts w:ascii="Arial" w:hAnsi="Arial" w:cs="Arial"/>
        </w:rPr>
        <w:t xml:space="preserve"> se ruší odst. </w:t>
      </w:r>
      <w:proofErr w:type="gramStart"/>
      <w:r>
        <w:rPr>
          <w:rFonts w:ascii="Arial" w:hAnsi="Arial" w:cs="Arial"/>
        </w:rPr>
        <w:t>2.2. čl.</w:t>
      </w:r>
      <w:proofErr w:type="gramEnd"/>
      <w:r>
        <w:rPr>
          <w:rFonts w:ascii="Arial" w:hAnsi="Arial" w:cs="Arial"/>
        </w:rPr>
        <w:t xml:space="preserve"> 2 smlouvy a v celém rozsahu nahrazuje textem tohoto znění: </w:t>
      </w:r>
    </w:p>
    <w:p w:rsidR="00CF6A7F" w:rsidRDefault="00CF6A7F" w:rsidP="00CF6A7F">
      <w:pPr>
        <w:pStyle w:val="Odstavecseseznamem"/>
        <w:spacing w:after="240" w:line="276" w:lineRule="auto"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„2.2. </w:t>
      </w:r>
      <w:r w:rsidRPr="00BC0512">
        <w:rPr>
          <w:rFonts w:ascii="Arial" w:hAnsi="Arial" w:cs="Arial"/>
        </w:rPr>
        <w:t>Smluvní strany souhlasně prohlašují, že jsou si vědomi toho, že ke dni uzavření smlouvy nelze přesně stanovit termín plnění pro veřejn</w:t>
      </w:r>
      <w:r>
        <w:rPr>
          <w:rFonts w:ascii="Arial" w:hAnsi="Arial" w:cs="Arial"/>
        </w:rPr>
        <w:t>ou</w:t>
      </w:r>
      <w:r w:rsidRPr="00BC0512">
        <w:rPr>
          <w:rFonts w:ascii="Arial" w:hAnsi="Arial" w:cs="Arial"/>
        </w:rPr>
        <w:t xml:space="preserve"> zakázk</w:t>
      </w:r>
      <w:r>
        <w:rPr>
          <w:rFonts w:ascii="Arial" w:hAnsi="Arial" w:cs="Arial"/>
        </w:rPr>
        <w:t>u</w:t>
      </w:r>
      <w:r w:rsidRPr="00BC0512">
        <w:rPr>
          <w:rFonts w:ascii="Arial" w:hAnsi="Arial" w:cs="Arial"/>
        </w:rPr>
        <w:t xml:space="preserve">, a to s ohledem na to, že termín bude možno přesně určit až dle rozhodnutí </w:t>
      </w:r>
      <w:r>
        <w:rPr>
          <w:rFonts w:ascii="Arial" w:hAnsi="Arial" w:cs="Arial"/>
        </w:rPr>
        <w:t>objednatele</w:t>
      </w:r>
      <w:r w:rsidRPr="00BC0512">
        <w:rPr>
          <w:rFonts w:ascii="Arial" w:hAnsi="Arial" w:cs="Arial"/>
        </w:rPr>
        <w:t xml:space="preserve">. V této souvislosti se obstaravatel zavazuje zahájit činnosti související s administrací veřejné zakázky nejpozději do </w:t>
      </w:r>
      <w:r w:rsidRPr="0066304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C0512">
        <w:rPr>
          <w:rFonts w:ascii="Arial" w:hAnsi="Arial" w:cs="Arial"/>
        </w:rPr>
        <w:t xml:space="preserve"> dnů ode dne, kdy jej </w:t>
      </w:r>
      <w:r>
        <w:rPr>
          <w:rFonts w:ascii="Arial" w:hAnsi="Arial" w:cs="Arial"/>
        </w:rPr>
        <w:t xml:space="preserve">objednatel </w:t>
      </w:r>
      <w:r w:rsidRPr="00BC0512">
        <w:rPr>
          <w:rFonts w:ascii="Arial" w:hAnsi="Arial" w:cs="Arial"/>
        </w:rPr>
        <w:t>k zahájení administrace veřejné zakázky písemně vyzve.</w:t>
      </w:r>
      <w:r>
        <w:rPr>
          <w:rFonts w:ascii="Arial" w:hAnsi="Arial" w:cs="Arial"/>
        </w:rPr>
        <w:t>“</w:t>
      </w:r>
    </w:p>
    <w:p w:rsidR="00CF6A7F" w:rsidRDefault="00CF6A7F" w:rsidP="00CF6A7F">
      <w:pPr>
        <w:pStyle w:val="Odstavecseseznamem"/>
        <w:numPr>
          <w:ilvl w:val="0"/>
          <w:numId w:val="2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87442B">
        <w:rPr>
          <w:rFonts w:ascii="Arial" w:hAnsi="Arial" w:cs="Arial"/>
        </w:rPr>
        <w:t xml:space="preserve">V souvislosti s předmětem dodatku uvedeným v odst. 1. čl. III. se </w:t>
      </w:r>
      <w:r>
        <w:rPr>
          <w:rFonts w:ascii="Arial" w:hAnsi="Arial" w:cs="Arial"/>
        </w:rPr>
        <w:t xml:space="preserve">rozšiřuje odst. 3 čl. 10 smlouvy o bod c), jehož znění je následující:  </w:t>
      </w:r>
    </w:p>
    <w:p w:rsidR="00CF6A7F" w:rsidRPr="0087442B" w:rsidRDefault="00CF6A7F" w:rsidP="00CF6A7F">
      <w:pPr>
        <w:pStyle w:val="Odstavecseseznamem"/>
        <w:spacing w:after="240" w:line="276" w:lineRule="auto"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„c) </w:t>
      </w:r>
      <w:r w:rsidRPr="003B5453">
        <w:rPr>
          <w:rFonts w:ascii="Arial" w:hAnsi="Arial" w:cs="Arial"/>
        </w:rPr>
        <w:t>výpovědí učiněnou obstaravatelem</w:t>
      </w:r>
      <w:r>
        <w:rPr>
          <w:rFonts w:ascii="Arial" w:hAnsi="Arial" w:cs="Arial"/>
        </w:rPr>
        <w:t>,</w:t>
      </w:r>
      <w:r w:rsidRPr="003B5453">
        <w:rPr>
          <w:rFonts w:ascii="Arial" w:hAnsi="Arial" w:cs="Arial"/>
        </w:rPr>
        <w:t xml:space="preserve"> i bez uvedení důvodů</w:t>
      </w:r>
      <w:r>
        <w:rPr>
          <w:rFonts w:ascii="Arial" w:hAnsi="Arial" w:cs="Arial"/>
        </w:rPr>
        <w:t>,</w:t>
      </w:r>
      <w:r w:rsidRPr="003B5453">
        <w:rPr>
          <w:rFonts w:ascii="Arial" w:hAnsi="Arial" w:cs="Arial"/>
        </w:rPr>
        <w:t xml:space="preserve"> s tříměsíční výpovědní lhůtou, která začne běžet od prvního dne následujícího měsíce po doručení písemné výpovědi objednateli.</w:t>
      </w:r>
      <w:r>
        <w:rPr>
          <w:rFonts w:ascii="Arial" w:hAnsi="Arial" w:cs="Arial"/>
        </w:rPr>
        <w:t>“</w:t>
      </w:r>
    </w:p>
    <w:p w:rsidR="00CF6A7F" w:rsidRDefault="00CF6A7F" w:rsidP="00CF6A7F">
      <w:pPr>
        <w:spacing w:after="240" w:line="276" w:lineRule="auto"/>
        <w:rPr>
          <w:rFonts w:ascii="Arial" w:hAnsi="Arial" w:cs="Arial"/>
          <w:b/>
        </w:rPr>
      </w:pPr>
    </w:p>
    <w:p w:rsidR="00CF6A7F" w:rsidRPr="00D97792" w:rsidRDefault="00CF6A7F" w:rsidP="00CF6A7F">
      <w:pPr>
        <w:spacing w:after="240" w:line="276" w:lineRule="auto"/>
        <w:jc w:val="center"/>
        <w:rPr>
          <w:rFonts w:ascii="Arial" w:hAnsi="Arial" w:cs="Arial"/>
          <w:b/>
        </w:rPr>
      </w:pPr>
      <w:r w:rsidRPr="00D97792">
        <w:rPr>
          <w:rFonts w:ascii="Arial" w:hAnsi="Arial" w:cs="Arial"/>
          <w:b/>
        </w:rPr>
        <w:t>IV.</w:t>
      </w:r>
    </w:p>
    <w:p w:rsidR="00CF6A7F" w:rsidRPr="00D97792" w:rsidRDefault="00CF6A7F" w:rsidP="00CF6A7F">
      <w:pPr>
        <w:spacing w:after="240" w:line="276" w:lineRule="auto"/>
        <w:jc w:val="center"/>
        <w:rPr>
          <w:rFonts w:ascii="Arial" w:hAnsi="Arial" w:cs="Arial"/>
          <w:b/>
        </w:rPr>
      </w:pPr>
      <w:r w:rsidRPr="00D97792">
        <w:rPr>
          <w:rFonts w:ascii="Arial" w:hAnsi="Arial" w:cs="Arial"/>
          <w:b/>
        </w:rPr>
        <w:t>Závěrečná ustanovení</w:t>
      </w:r>
    </w:p>
    <w:p w:rsidR="00CF6A7F" w:rsidRPr="0087442B" w:rsidRDefault="00CF6A7F" w:rsidP="00CF6A7F">
      <w:pPr>
        <w:pStyle w:val="Odstavecseseznamem"/>
        <w:numPr>
          <w:ilvl w:val="0"/>
          <w:numId w:val="3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87442B">
        <w:rPr>
          <w:rFonts w:ascii="Arial" w:hAnsi="Arial" w:cs="Arial"/>
        </w:rPr>
        <w:t>Ustanovení smlouvy, která nejsou ujednáními dodatku č. 2 dotčena, zůstávají v platnosti v původním znění.</w:t>
      </w:r>
    </w:p>
    <w:p w:rsidR="00CF6A7F" w:rsidRPr="0087442B" w:rsidRDefault="00CF6A7F" w:rsidP="00CF6A7F">
      <w:pPr>
        <w:pStyle w:val="Odstavecseseznamem"/>
        <w:numPr>
          <w:ilvl w:val="0"/>
          <w:numId w:val="3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87442B">
        <w:rPr>
          <w:rFonts w:ascii="Arial" w:hAnsi="Arial" w:cs="Arial"/>
        </w:rPr>
        <w:t>Tento dodatek č. 2 nabývá platnosti dnem podpisu zástupci obou smluvních stran a účinnosti dnem uveřejněním v registru smluv v souladu s § 5 a násl. zákona č. 340/2051 Sb., v případě, že tento zákon nabytí účinnosti uveřejněním podmiňuje. V opačném případě nabývá dodatek účinnosti současně s nabytím platnosti.</w:t>
      </w:r>
    </w:p>
    <w:p w:rsidR="00CF6A7F" w:rsidRDefault="00CF6A7F" w:rsidP="00CF6A7F">
      <w:pPr>
        <w:pStyle w:val="Odstavecseseznamem"/>
        <w:numPr>
          <w:ilvl w:val="0"/>
          <w:numId w:val="3"/>
        </w:numPr>
        <w:spacing w:after="24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2 se </w:t>
      </w:r>
      <w:r w:rsidRPr="006C2DCB">
        <w:rPr>
          <w:rFonts w:ascii="Arial" w:hAnsi="Arial" w:cs="Arial"/>
        </w:rPr>
        <w:t>vyhotovuje</w:t>
      </w:r>
      <w:r>
        <w:rPr>
          <w:rFonts w:ascii="Arial" w:hAnsi="Arial" w:cs="Arial"/>
        </w:rPr>
        <w:t xml:space="preserve"> </w:t>
      </w:r>
      <w:r w:rsidRPr="006C2DCB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dvou</w:t>
      </w:r>
      <w:r w:rsidRPr="006C2DCB">
        <w:rPr>
          <w:rFonts w:ascii="Arial" w:hAnsi="Arial" w:cs="Arial"/>
        </w:rPr>
        <w:t xml:space="preserve"> stejnopisech, přičemž každá ze smluvních stran </w:t>
      </w:r>
      <w:r>
        <w:rPr>
          <w:rFonts w:ascii="Arial" w:hAnsi="Arial" w:cs="Arial"/>
        </w:rPr>
        <w:t xml:space="preserve">po jeho uzavření </w:t>
      </w:r>
      <w:r w:rsidRPr="006C2DCB">
        <w:rPr>
          <w:rFonts w:ascii="Arial" w:hAnsi="Arial" w:cs="Arial"/>
        </w:rPr>
        <w:t xml:space="preserve">obdrží po </w:t>
      </w:r>
      <w:r>
        <w:rPr>
          <w:rFonts w:ascii="Arial" w:hAnsi="Arial" w:cs="Arial"/>
        </w:rPr>
        <w:t>jednom</w:t>
      </w:r>
      <w:r w:rsidRPr="006C2DCB">
        <w:rPr>
          <w:rFonts w:ascii="Arial" w:hAnsi="Arial" w:cs="Arial"/>
        </w:rPr>
        <w:t xml:space="preserve"> </w:t>
      </w:r>
      <w:r w:rsidRPr="00F513B6">
        <w:rPr>
          <w:rFonts w:ascii="Arial" w:hAnsi="Arial" w:cs="Arial"/>
        </w:rPr>
        <w:t>vyhotovení.</w:t>
      </w: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Pr="003B5453" w:rsidRDefault="00CF6A7F" w:rsidP="00CF6A7F">
      <w:pPr>
        <w:spacing w:after="240" w:line="276" w:lineRule="auto"/>
        <w:jc w:val="both"/>
        <w:rPr>
          <w:rFonts w:ascii="Arial" w:hAnsi="Arial" w:cs="Arial"/>
        </w:rPr>
      </w:pPr>
    </w:p>
    <w:p w:rsidR="00CF6A7F" w:rsidRDefault="00CF6A7F" w:rsidP="00CF6A7F">
      <w:pPr>
        <w:pStyle w:val="Odstavecseseznamem"/>
        <w:numPr>
          <w:ilvl w:val="0"/>
          <w:numId w:val="3"/>
        </w:numPr>
        <w:spacing w:after="48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F513B6">
        <w:rPr>
          <w:rFonts w:ascii="Arial" w:hAnsi="Arial" w:cs="Arial"/>
        </w:rPr>
        <w:t>Smluvní strany prohlašují, že ujednání v</w:t>
      </w:r>
      <w:r>
        <w:rPr>
          <w:rFonts w:ascii="Arial" w:hAnsi="Arial" w:cs="Arial"/>
        </w:rPr>
        <w:t xml:space="preserve"> dodatku č. 2 </w:t>
      </w:r>
      <w:r w:rsidRPr="00F513B6">
        <w:rPr>
          <w:rFonts w:ascii="Arial" w:hAnsi="Arial" w:cs="Arial"/>
        </w:rPr>
        <w:t>obsažená jsou jim jasná a srozumitelná, jsou jimi míněna vážně a byla učiněna na základě jejich pravé a svobodné vůle. Na důkaz tohoto tvrzení</w:t>
      </w:r>
      <w:r>
        <w:rPr>
          <w:rFonts w:ascii="Arial" w:hAnsi="Arial" w:cs="Arial"/>
        </w:rPr>
        <w:t xml:space="preserve"> zástupci </w:t>
      </w:r>
      <w:r w:rsidRPr="00F513B6">
        <w:rPr>
          <w:rFonts w:ascii="Arial" w:hAnsi="Arial" w:cs="Arial"/>
        </w:rPr>
        <w:t>smluvní</w:t>
      </w:r>
      <w:r>
        <w:rPr>
          <w:rFonts w:ascii="Arial" w:hAnsi="Arial" w:cs="Arial"/>
        </w:rPr>
        <w:t>ch</w:t>
      </w:r>
      <w:r w:rsidRPr="00F513B6">
        <w:rPr>
          <w:rFonts w:ascii="Arial" w:hAnsi="Arial" w:cs="Arial"/>
        </w:rPr>
        <w:t xml:space="preserve"> stran připojují níže své podpisy.</w:t>
      </w:r>
    </w:p>
    <w:p w:rsidR="00CF6A7F" w:rsidRPr="00D97792" w:rsidRDefault="00CF6A7F" w:rsidP="00CF6A7F">
      <w:pPr>
        <w:spacing w:after="48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proofErr w:type="gramStart"/>
      <w:r>
        <w:rPr>
          <w:rFonts w:ascii="Arial" w:hAnsi="Arial" w:cs="Arial"/>
        </w:rPr>
        <w:t>dne 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</w:t>
      </w:r>
      <w:proofErr w:type="gramEnd"/>
      <w:r>
        <w:rPr>
          <w:rFonts w:ascii="Arial" w:hAnsi="Arial" w:cs="Arial"/>
        </w:rPr>
        <w:t xml:space="preserve"> dne ......................</w:t>
      </w:r>
    </w:p>
    <w:p w:rsidR="00CF6A7F" w:rsidRPr="007F091A" w:rsidRDefault="00CF6A7F" w:rsidP="00CF6A7F">
      <w:pPr>
        <w:tabs>
          <w:tab w:val="left" w:pos="4320"/>
        </w:tabs>
        <w:spacing w:after="96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F091A">
        <w:rPr>
          <w:rFonts w:ascii="Arial" w:hAnsi="Arial" w:cs="Arial"/>
        </w:rPr>
        <w:t>a objednatele dne ………</w:t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obstaravatele</w:t>
      </w:r>
      <w:r w:rsidRPr="007F091A">
        <w:rPr>
          <w:rFonts w:ascii="Arial" w:hAnsi="Arial" w:cs="Arial"/>
        </w:rPr>
        <w:t xml:space="preserve"> dne ………</w:t>
      </w:r>
    </w:p>
    <w:p w:rsidR="00CF6A7F" w:rsidRPr="007F091A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 w:rsidRPr="007F091A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</w:t>
      </w:r>
      <w:r w:rsidRPr="007F091A">
        <w:rPr>
          <w:rFonts w:ascii="Arial" w:hAnsi="Arial" w:cs="Arial"/>
        </w:rPr>
        <w:t>………………</w:t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  <w:t>………………………</w:t>
      </w:r>
    </w:p>
    <w:p w:rsidR="00CF6A7F" w:rsidRPr="007F091A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 w:rsidRPr="00C37577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Martin Lehký</w:t>
      </w:r>
      <w:r w:rsidRPr="007F09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</w:r>
      <w:r>
        <w:rPr>
          <w:rFonts w:ascii="Arial" w:hAnsi="Arial" w:cs="Arial"/>
        </w:rPr>
        <w:t>XXXXXX</w:t>
      </w:r>
      <w:r w:rsidRPr="007F091A" w:rsidDel="00CF16BB">
        <w:rPr>
          <w:rFonts w:ascii="Arial" w:hAnsi="Arial" w:cs="Arial"/>
        </w:rPr>
        <w:t xml:space="preserve"> </w:t>
      </w:r>
    </w:p>
    <w:p w:rsidR="00CF6A7F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ředitel organizace</w:t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</w:r>
      <w:r w:rsidRPr="007F091A">
        <w:rPr>
          <w:rFonts w:ascii="Arial" w:hAnsi="Arial" w:cs="Arial"/>
        </w:rPr>
        <w:tab/>
      </w:r>
      <w:r>
        <w:rPr>
          <w:rFonts w:ascii="Arial" w:hAnsi="Arial" w:cs="Arial"/>
        </w:rPr>
        <w:t>ředitel divize Stavební služby</w:t>
      </w:r>
      <w:r w:rsidRPr="007F091A" w:rsidDel="00CF16BB">
        <w:rPr>
          <w:rFonts w:ascii="Arial" w:hAnsi="Arial" w:cs="Arial"/>
        </w:rPr>
        <w:t xml:space="preserve"> </w:t>
      </w:r>
    </w:p>
    <w:p w:rsidR="00CF6A7F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</w:p>
    <w:p w:rsidR="00CF6A7F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</w:p>
    <w:p w:rsidR="00CF6A7F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</w:t>
      </w:r>
      <w:r w:rsidRPr="007F091A">
        <w:rPr>
          <w:rFonts w:ascii="Arial" w:hAnsi="Arial" w:cs="Arial"/>
        </w:rPr>
        <w:t>………………………</w:t>
      </w:r>
    </w:p>
    <w:p w:rsidR="00CF6A7F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</w:t>
      </w:r>
    </w:p>
    <w:p w:rsidR="00CF6A7F" w:rsidRPr="007F091A" w:rsidRDefault="00CF6A7F" w:rsidP="00CF6A7F">
      <w:pPr>
        <w:tabs>
          <w:tab w:val="left" w:pos="432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výrobní ředitel divize Stavební služby</w:t>
      </w:r>
    </w:p>
    <w:p w:rsidR="00B15E94" w:rsidRDefault="00B15E94"/>
    <w:sectPr w:rsidR="00B15E94" w:rsidSect="000D1769">
      <w:headerReference w:type="default" r:id="rId7"/>
      <w:footerReference w:type="default" r:id="rId8"/>
      <w:pgSz w:w="11906" w:h="16838" w:code="9"/>
      <w:pgMar w:top="1247" w:right="1134" w:bottom="141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32" w:rsidRDefault="00116732">
      <w:r>
        <w:separator/>
      </w:r>
    </w:p>
  </w:endnote>
  <w:endnote w:type="continuationSeparator" w:id="0">
    <w:p w:rsidR="00116732" w:rsidRDefault="001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42" w:rsidRPr="007A437D" w:rsidRDefault="00CF6A7F" w:rsidP="007A437D">
    <w:pPr>
      <w:pStyle w:val="Zpat"/>
      <w:tabs>
        <w:tab w:val="clear" w:pos="9072"/>
      </w:tabs>
      <w:spacing w:after="100"/>
      <w:ind w:right="360"/>
      <w:jc w:val="right"/>
      <w:rPr>
        <w:rFonts w:ascii="Arial" w:hAnsi="Arial" w:cs="Arial"/>
        <w:sz w:val="20"/>
      </w:rPr>
    </w:pPr>
    <w:r w:rsidRPr="007A437D">
      <w:rPr>
        <w:rFonts w:ascii="Arial" w:hAnsi="Arial" w:cs="Arial"/>
        <w:sz w:val="16"/>
      </w:rPr>
      <w:tab/>
      <w:t xml:space="preserve">strana </w:t>
    </w:r>
    <w:r w:rsidRPr="007A437D">
      <w:rPr>
        <w:rFonts w:ascii="Arial" w:hAnsi="Arial" w:cs="Arial"/>
        <w:sz w:val="16"/>
      </w:rPr>
      <w:fldChar w:fldCharType="begin"/>
    </w:r>
    <w:r w:rsidRPr="007A437D">
      <w:rPr>
        <w:rFonts w:ascii="Arial" w:hAnsi="Arial" w:cs="Arial"/>
        <w:sz w:val="16"/>
      </w:rPr>
      <w:instrText xml:space="preserve"> PAGE </w:instrText>
    </w:r>
    <w:r w:rsidRPr="007A437D">
      <w:rPr>
        <w:rFonts w:ascii="Arial" w:hAnsi="Arial" w:cs="Arial"/>
        <w:sz w:val="16"/>
      </w:rPr>
      <w:fldChar w:fldCharType="separate"/>
    </w:r>
    <w:r w:rsidR="009F3360">
      <w:rPr>
        <w:rFonts w:ascii="Arial" w:hAnsi="Arial" w:cs="Arial"/>
        <w:noProof/>
        <w:sz w:val="16"/>
      </w:rPr>
      <w:t>2</w:t>
    </w:r>
    <w:r w:rsidRPr="007A437D">
      <w:rPr>
        <w:rFonts w:ascii="Arial" w:hAnsi="Arial" w:cs="Arial"/>
        <w:sz w:val="16"/>
      </w:rPr>
      <w:fldChar w:fldCharType="end"/>
    </w:r>
    <w:r w:rsidRPr="007A437D">
      <w:rPr>
        <w:rFonts w:ascii="Arial" w:hAnsi="Arial" w:cs="Arial"/>
        <w:sz w:val="16"/>
      </w:rPr>
      <w:t xml:space="preserve"> (celkem </w:t>
    </w:r>
    <w:r w:rsidRPr="007A437D">
      <w:rPr>
        <w:rFonts w:ascii="Arial" w:hAnsi="Arial" w:cs="Arial"/>
        <w:sz w:val="16"/>
      </w:rPr>
      <w:fldChar w:fldCharType="begin"/>
    </w:r>
    <w:r w:rsidRPr="007A437D">
      <w:rPr>
        <w:rFonts w:ascii="Arial" w:hAnsi="Arial" w:cs="Arial"/>
        <w:sz w:val="16"/>
      </w:rPr>
      <w:instrText xml:space="preserve"> NUMPAGES </w:instrText>
    </w:r>
    <w:r w:rsidRPr="007A437D">
      <w:rPr>
        <w:rFonts w:ascii="Arial" w:hAnsi="Arial" w:cs="Arial"/>
        <w:sz w:val="16"/>
      </w:rPr>
      <w:fldChar w:fldCharType="separate"/>
    </w:r>
    <w:r w:rsidR="009F3360">
      <w:rPr>
        <w:rFonts w:ascii="Arial" w:hAnsi="Arial" w:cs="Arial"/>
        <w:noProof/>
        <w:sz w:val="16"/>
      </w:rPr>
      <w:t>3</w:t>
    </w:r>
    <w:r w:rsidRPr="007A437D">
      <w:rPr>
        <w:rFonts w:ascii="Arial" w:hAnsi="Arial" w:cs="Arial"/>
        <w:sz w:val="16"/>
      </w:rPr>
      <w:fldChar w:fldCharType="end"/>
    </w:r>
    <w:r w:rsidRPr="007A437D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32" w:rsidRDefault="00116732">
      <w:r>
        <w:separator/>
      </w:r>
    </w:p>
  </w:footnote>
  <w:footnote w:type="continuationSeparator" w:id="0">
    <w:p w:rsidR="00116732" w:rsidRDefault="0011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C" w:rsidRDefault="00CF6A7F" w:rsidP="0024788E">
    <w:pPr>
      <w:pStyle w:val="Zhlav"/>
      <w:jc w:val="right"/>
    </w:pPr>
    <w:r w:rsidRPr="00663049">
      <w:rPr>
        <w:sz w:val="22"/>
      </w:rPr>
      <w:t>R-372</w:t>
    </w:r>
    <w:r>
      <w:rPr>
        <w:sz w:val="22"/>
      </w:rPr>
      <w:t>-02</w:t>
    </w:r>
    <w:r w:rsidRPr="00663049">
      <w:rPr>
        <w:sz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716"/>
    <w:multiLevelType w:val="multilevel"/>
    <w:tmpl w:val="622A3CF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CB42039"/>
    <w:multiLevelType w:val="hybridMultilevel"/>
    <w:tmpl w:val="A6C6A1E6"/>
    <w:lvl w:ilvl="0" w:tplc="A5D0C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5329A"/>
    <w:multiLevelType w:val="hybridMultilevel"/>
    <w:tmpl w:val="A6C6A1E6"/>
    <w:lvl w:ilvl="0" w:tplc="A5D0C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7F"/>
    <w:rsid w:val="00116732"/>
    <w:rsid w:val="007B3E87"/>
    <w:rsid w:val="009F3360"/>
    <w:rsid w:val="00B15E94"/>
    <w:rsid w:val="00C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E0AE-E5A5-425F-8676-40687C69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6A7F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CF6A7F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5">
    <w:name w:val="heading 5"/>
    <w:basedOn w:val="Normln"/>
    <w:next w:val="Normln"/>
    <w:link w:val="Nadpis5Char"/>
    <w:qFormat/>
    <w:rsid w:val="00CF6A7F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CF6A7F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CF6A7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F6A7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F6A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A7F"/>
    <w:rPr>
      <w:rFonts w:ascii="Times New Roman" w:eastAsia="Times New Roman" w:hAnsi="Times New Roman" w:cs="Times New Roman"/>
      <w:b/>
      <w:sz w:val="6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F6A7F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F6A7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F6A7F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F6A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F6A7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F6A7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CF6A7F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rsid w:val="00CF6A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odsaz">
    <w:name w:val="Norm.odsaz."/>
    <w:basedOn w:val="Normln"/>
    <w:rsid w:val="00CF6A7F"/>
    <w:pPr>
      <w:numPr>
        <w:ilvl w:val="1"/>
        <w:numId w:val="1"/>
      </w:numPr>
      <w:jc w:val="both"/>
    </w:pPr>
    <w:rPr>
      <w:sz w:val="24"/>
    </w:rPr>
  </w:style>
  <w:style w:type="paragraph" w:styleId="Zhlav">
    <w:name w:val="header"/>
    <w:basedOn w:val="Normln"/>
    <w:link w:val="ZhlavChar"/>
    <w:rsid w:val="00CF6A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6A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6A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3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3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ORSAGOVA Jitka</dc:creator>
  <cp:keywords/>
  <dc:description/>
  <cp:lastModifiedBy>SUHAJ Zdenek</cp:lastModifiedBy>
  <cp:revision>2</cp:revision>
  <dcterms:created xsi:type="dcterms:W3CDTF">2020-05-15T11:06:00Z</dcterms:created>
  <dcterms:modified xsi:type="dcterms:W3CDTF">2020-05-15T11:06:00Z</dcterms:modified>
</cp:coreProperties>
</file>