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A2" w:rsidRPr="009A50B5" w:rsidRDefault="00B514A2" w:rsidP="003D3BD6">
      <w:pPr>
        <w:spacing w:after="120"/>
        <w:jc w:val="center"/>
        <w:rPr>
          <w:b/>
          <w:bCs/>
          <w:sz w:val="32"/>
          <w:szCs w:val="32"/>
        </w:rPr>
      </w:pPr>
      <w:r>
        <w:rPr>
          <w:b/>
          <w:bCs/>
          <w:sz w:val="32"/>
          <w:szCs w:val="32"/>
        </w:rPr>
        <w:t>Smlouva</w:t>
      </w:r>
      <w:r w:rsidR="009B29F3">
        <w:rPr>
          <w:b/>
          <w:bCs/>
          <w:sz w:val="32"/>
          <w:szCs w:val="32"/>
        </w:rPr>
        <w:t xml:space="preserve"> </w:t>
      </w:r>
      <w:r w:rsidRPr="009A50B5">
        <w:rPr>
          <w:b/>
          <w:bCs/>
          <w:sz w:val="32"/>
          <w:szCs w:val="32"/>
        </w:rPr>
        <w:t>o poskytování služeb</w:t>
      </w:r>
      <w:r w:rsidR="009B29F3">
        <w:rPr>
          <w:b/>
          <w:bCs/>
          <w:sz w:val="32"/>
          <w:szCs w:val="32"/>
        </w:rPr>
        <w:t xml:space="preserve">, </w:t>
      </w:r>
      <w:r w:rsidR="00AE2574" w:rsidRPr="009A50B5">
        <w:rPr>
          <w:b/>
          <w:bCs/>
          <w:sz w:val="32"/>
          <w:szCs w:val="32"/>
        </w:rPr>
        <w:t xml:space="preserve">č. </w:t>
      </w:r>
      <w:r w:rsidR="00642174">
        <w:rPr>
          <w:b/>
          <w:bCs/>
          <w:sz w:val="32"/>
          <w:szCs w:val="32"/>
        </w:rPr>
        <w:t>S-</w:t>
      </w:r>
      <w:r w:rsidR="00642174" w:rsidRPr="00017372">
        <w:rPr>
          <w:b/>
          <w:bCs/>
          <w:sz w:val="32"/>
          <w:szCs w:val="32"/>
        </w:rPr>
        <w:t>0</w:t>
      </w:r>
      <w:r w:rsidR="00017372" w:rsidRPr="00017372">
        <w:rPr>
          <w:b/>
          <w:bCs/>
          <w:sz w:val="32"/>
          <w:szCs w:val="32"/>
        </w:rPr>
        <w:t>12</w:t>
      </w:r>
      <w:r w:rsidR="008B7BF1" w:rsidRPr="00017372">
        <w:rPr>
          <w:b/>
          <w:bCs/>
          <w:sz w:val="32"/>
          <w:szCs w:val="32"/>
        </w:rPr>
        <w:t>/</w:t>
      </w:r>
      <w:r w:rsidR="00642174" w:rsidRPr="00017372">
        <w:rPr>
          <w:b/>
          <w:bCs/>
          <w:sz w:val="32"/>
          <w:szCs w:val="32"/>
        </w:rPr>
        <w:t>20</w:t>
      </w:r>
    </w:p>
    <w:p w:rsidR="00B514A2" w:rsidRDefault="00B514A2" w:rsidP="009B29F3">
      <w:pPr>
        <w:widowControl w:val="0"/>
        <w:autoSpaceDE w:val="0"/>
        <w:autoSpaceDN w:val="0"/>
        <w:adjustRightInd w:val="0"/>
        <w:jc w:val="center"/>
      </w:pPr>
      <w:r>
        <w:t xml:space="preserve">uzavřená podle § 1746 </w:t>
      </w:r>
      <w:r w:rsidR="00F95E09">
        <w:t xml:space="preserve">odst. 2 </w:t>
      </w:r>
      <w:r>
        <w:t xml:space="preserve">a násl. </w:t>
      </w:r>
      <w:r w:rsidR="00F95E09">
        <w:t>zákona č. 89/2012 Sb., občanský zákoník ve znění pozdějších předpisů (dále jen občanský zákoník)</w:t>
      </w:r>
    </w:p>
    <w:p w:rsidR="00B514A2" w:rsidRDefault="00B514A2" w:rsidP="00B514A2">
      <w:pPr>
        <w:widowControl w:val="0"/>
        <w:autoSpaceDE w:val="0"/>
        <w:autoSpaceDN w:val="0"/>
        <w:adjustRightInd w:val="0"/>
      </w:pPr>
    </w:p>
    <w:p w:rsidR="000458CB" w:rsidRDefault="000458CB" w:rsidP="000458CB">
      <w:pPr>
        <w:widowControl w:val="0"/>
        <w:autoSpaceDE w:val="0"/>
        <w:autoSpaceDN w:val="0"/>
        <w:adjustRightInd w:val="0"/>
        <w:jc w:val="center"/>
      </w:pPr>
      <w:r w:rsidRPr="009F078B">
        <w:rPr>
          <w:b/>
          <w:bCs/>
          <w:color w:val="000000"/>
        </w:rPr>
        <w:t>Smluvní strany:</w:t>
      </w:r>
    </w:p>
    <w:p w:rsidR="00B514A2" w:rsidRDefault="00B514A2" w:rsidP="00B514A2">
      <w:pPr>
        <w:widowControl w:val="0"/>
        <w:autoSpaceDE w:val="0"/>
        <w:autoSpaceDN w:val="0"/>
        <w:adjustRightInd w:val="0"/>
      </w:pPr>
    </w:p>
    <w:p w:rsidR="00B514A2" w:rsidRPr="00927E2F" w:rsidRDefault="00927E2F" w:rsidP="00927E2F">
      <w:pPr>
        <w:widowControl w:val="0"/>
        <w:tabs>
          <w:tab w:val="left" w:pos="3686"/>
        </w:tabs>
        <w:autoSpaceDE w:val="0"/>
        <w:autoSpaceDN w:val="0"/>
        <w:adjustRightInd w:val="0"/>
        <w:spacing w:after="60"/>
        <w:jc w:val="both"/>
        <w:rPr>
          <w:b/>
          <w:bCs/>
        </w:rPr>
      </w:pPr>
      <w:r w:rsidRPr="00927E2F">
        <w:rPr>
          <w:b/>
          <w:bCs/>
        </w:rPr>
        <w:t>O</w:t>
      </w:r>
      <w:r w:rsidR="000458CB" w:rsidRPr="00927E2F">
        <w:rPr>
          <w:b/>
          <w:bCs/>
        </w:rPr>
        <w:t>bjednatel</w:t>
      </w:r>
      <w:r w:rsidRPr="00927E2F">
        <w:rPr>
          <w:b/>
          <w:bCs/>
        </w:rPr>
        <w:t>:</w:t>
      </w:r>
      <w:r w:rsidRPr="00927E2F">
        <w:rPr>
          <w:b/>
          <w:bCs/>
        </w:rPr>
        <w:tab/>
      </w:r>
      <w:r w:rsidR="00B514A2" w:rsidRPr="00927E2F">
        <w:rPr>
          <w:b/>
          <w:bCs/>
        </w:rPr>
        <w:t xml:space="preserve">Česká republika – Úřad průmyslového vlastnictví </w:t>
      </w:r>
    </w:p>
    <w:p w:rsidR="00B514A2" w:rsidRPr="00927E2F" w:rsidRDefault="000458CB" w:rsidP="00927E2F">
      <w:pPr>
        <w:widowControl w:val="0"/>
        <w:tabs>
          <w:tab w:val="left" w:pos="3686"/>
        </w:tabs>
        <w:autoSpaceDE w:val="0"/>
        <w:autoSpaceDN w:val="0"/>
        <w:adjustRightInd w:val="0"/>
        <w:jc w:val="both"/>
        <w:rPr>
          <w:b/>
        </w:rPr>
      </w:pPr>
      <w:r w:rsidRPr="00927E2F">
        <w:rPr>
          <w:color w:val="000000"/>
        </w:rPr>
        <w:t>Sídlo:</w:t>
      </w:r>
      <w:r w:rsidR="00927E2F" w:rsidRPr="00927E2F">
        <w:rPr>
          <w:color w:val="000000"/>
        </w:rPr>
        <w:tab/>
      </w:r>
      <w:r w:rsidR="00B514A2" w:rsidRPr="00927E2F">
        <w:t>Antonína Čermáka 2a, 160 68, Praha 6</w:t>
      </w:r>
      <w:r w:rsidR="00927E2F" w:rsidRPr="00927E2F">
        <w:t xml:space="preserve"> – Bubeneč</w:t>
      </w:r>
    </w:p>
    <w:p w:rsidR="000458CB" w:rsidRPr="00927E2F" w:rsidRDefault="000458CB" w:rsidP="00927E2F">
      <w:pPr>
        <w:widowControl w:val="0"/>
        <w:tabs>
          <w:tab w:val="left" w:pos="3686"/>
        </w:tabs>
        <w:autoSpaceDE w:val="0"/>
        <w:autoSpaceDN w:val="0"/>
        <w:adjustRightInd w:val="0"/>
        <w:jc w:val="both"/>
      </w:pPr>
      <w:r w:rsidRPr="00927E2F">
        <w:rPr>
          <w:color w:val="000000"/>
        </w:rPr>
        <w:t>Právní forma:</w:t>
      </w:r>
      <w:r w:rsidR="00927E2F" w:rsidRPr="00927E2F">
        <w:rPr>
          <w:color w:val="000000"/>
        </w:rPr>
        <w:tab/>
      </w:r>
      <w:r w:rsidRPr="00927E2F">
        <w:rPr>
          <w:color w:val="000000"/>
        </w:rPr>
        <w:t>325 – organizační složka státu</w:t>
      </w:r>
    </w:p>
    <w:p w:rsidR="00B514A2" w:rsidRPr="00927E2F" w:rsidRDefault="000458CB" w:rsidP="00927E2F">
      <w:pPr>
        <w:widowControl w:val="0"/>
        <w:tabs>
          <w:tab w:val="left" w:pos="3686"/>
        </w:tabs>
        <w:autoSpaceDE w:val="0"/>
        <w:autoSpaceDN w:val="0"/>
        <w:adjustRightInd w:val="0"/>
        <w:jc w:val="both"/>
        <w:rPr>
          <w:bCs/>
        </w:rPr>
      </w:pPr>
      <w:r w:rsidRPr="00927E2F">
        <w:t>IČ</w:t>
      </w:r>
      <w:r w:rsidR="00927E2F" w:rsidRPr="00927E2F">
        <w:t>O</w:t>
      </w:r>
      <w:r w:rsidRPr="00927E2F">
        <w:t>:</w:t>
      </w:r>
      <w:r w:rsidR="00927E2F" w:rsidRPr="00927E2F">
        <w:tab/>
      </w:r>
      <w:r w:rsidR="00B514A2" w:rsidRPr="00927E2F">
        <w:rPr>
          <w:bCs/>
        </w:rPr>
        <w:t>481</w:t>
      </w:r>
      <w:r w:rsidR="00927E2F" w:rsidRPr="00927E2F">
        <w:rPr>
          <w:bCs/>
        </w:rPr>
        <w:t xml:space="preserve"> </w:t>
      </w:r>
      <w:r w:rsidR="00B514A2" w:rsidRPr="00927E2F">
        <w:rPr>
          <w:bCs/>
        </w:rPr>
        <w:t>35</w:t>
      </w:r>
      <w:r w:rsidR="00927E2F" w:rsidRPr="00927E2F">
        <w:rPr>
          <w:bCs/>
        </w:rPr>
        <w:t xml:space="preserve"> </w:t>
      </w:r>
      <w:r w:rsidR="00B514A2" w:rsidRPr="00927E2F">
        <w:rPr>
          <w:bCs/>
        </w:rPr>
        <w:t>097</w:t>
      </w:r>
    </w:p>
    <w:p w:rsidR="00927E2F" w:rsidRDefault="000458CB" w:rsidP="00927E2F">
      <w:pPr>
        <w:widowControl w:val="0"/>
        <w:tabs>
          <w:tab w:val="left" w:pos="3686"/>
        </w:tabs>
        <w:autoSpaceDE w:val="0"/>
        <w:autoSpaceDN w:val="0"/>
        <w:adjustRightInd w:val="0"/>
        <w:jc w:val="both"/>
        <w:rPr>
          <w:color w:val="000000"/>
        </w:rPr>
      </w:pPr>
      <w:r w:rsidRPr="00927E2F">
        <w:rPr>
          <w:color w:val="000000"/>
        </w:rPr>
        <w:t>DIČ:</w:t>
      </w:r>
      <w:r w:rsidR="00927E2F" w:rsidRPr="00927E2F">
        <w:rPr>
          <w:color w:val="000000"/>
        </w:rPr>
        <w:tab/>
      </w:r>
      <w:r w:rsidRPr="00927E2F">
        <w:rPr>
          <w:color w:val="000000"/>
        </w:rPr>
        <w:t>CZ4813509</w:t>
      </w:r>
      <w:r w:rsidR="00927E2F" w:rsidRPr="00927E2F">
        <w:rPr>
          <w:color w:val="000000"/>
        </w:rPr>
        <w:t>7</w:t>
      </w:r>
    </w:p>
    <w:p w:rsidR="00927E2F" w:rsidRPr="00927E2F" w:rsidRDefault="00927E2F" w:rsidP="00927E2F">
      <w:pPr>
        <w:widowControl w:val="0"/>
        <w:tabs>
          <w:tab w:val="left" w:pos="3686"/>
        </w:tabs>
        <w:autoSpaceDE w:val="0"/>
        <w:autoSpaceDN w:val="0"/>
        <w:adjustRightInd w:val="0"/>
        <w:spacing w:after="60"/>
        <w:jc w:val="both"/>
        <w:rPr>
          <w:color w:val="000000"/>
        </w:rPr>
      </w:pPr>
      <w:r w:rsidRPr="00927E2F">
        <w:rPr>
          <w:color w:val="000000"/>
        </w:rPr>
        <w:t>Bankovní spojení:</w:t>
      </w:r>
      <w:r w:rsidRPr="00927E2F">
        <w:rPr>
          <w:color w:val="000000"/>
        </w:rPr>
        <w:tab/>
        <w:t>Česká národní banka, č. účtu: 21526001/0710</w:t>
      </w:r>
    </w:p>
    <w:p w:rsidR="00927E2F" w:rsidRPr="00927E2F" w:rsidRDefault="00927E2F" w:rsidP="00927E2F">
      <w:pPr>
        <w:widowControl w:val="0"/>
        <w:tabs>
          <w:tab w:val="left" w:pos="3686"/>
        </w:tabs>
        <w:autoSpaceDE w:val="0"/>
        <w:autoSpaceDN w:val="0"/>
        <w:adjustRightInd w:val="0"/>
        <w:jc w:val="both"/>
        <w:rPr>
          <w:b/>
          <w:bCs/>
        </w:rPr>
      </w:pPr>
      <w:r w:rsidRPr="00927E2F">
        <w:t>Osoba oprávněná jednat</w:t>
      </w:r>
    </w:p>
    <w:p w:rsidR="00B514A2" w:rsidRPr="00927E2F" w:rsidRDefault="00927E2F" w:rsidP="00927E2F">
      <w:pPr>
        <w:widowControl w:val="0"/>
        <w:tabs>
          <w:tab w:val="left" w:pos="3686"/>
        </w:tabs>
        <w:autoSpaceDE w:val="0"/>
        <w:autoSpaceDN w:val="0"/>
        <w:adjustRightInd w:val="0"/>
      </w:pPr>
      <w:r w:rsidRPr="00927E2F">
        <w:t>za objednatele</w:t>
      </w:r>
      <w:r w:rsidR="000458CB" w:rsidRPr="00927E2F">
        <w:t>:</w:t>
      </w:r>
      <w:r w:rsidRPr="00927E2F">
        <w:tab/>
      </w:r>
      <w:r w:rsidR="00B514A2" w:rsidRPr="00927E2F">
        <w:t xml:space="preserve">Ing. </w:t>
      </w:r>
      <w:r w:rsidR="00C66081" w:rsidRPr="00927E2F">
        <w:t>Luděk Churáček</w:t>
      </w:r>
      <w:r w:rsidR="00EA6671" w:rsidRPr="00927E2F">
        <w:t>,</w:t>
      </w:r>
      <w:r w:rsidR="00B514A2" w:rsidRPr="00927E2F">
        <w:t xml:space="preserve"> </w:t>
      </w:r>
      <w:r w:rsidR="00C66081" w:rsidRPr="00927E2F">
        <w:t>ředitel ekonomického</w:t>
      </w:r>
      <w:r w:rsidRPr="00927E2F">
        <w:t xml:space="preserve"> </w:t>
      </w:r>
      <w:r w:rsidR="00C66081" w:rsidRPr="00927E2F">
        <w:t>odboru</w:t>
      </w:r>
    </w:p>
    <w:p w:rsidR="00927E2F" w:rsidRPr="00927E2F" w:rsidRDefault="00927E2F" w:rsidP="00927E2F">
      <w:pPr>
        <w:widowControl w:val="0"/>
        <w:tabs>
          <w:tab w:val="left" w:pos="3686"/>
        </w:tabs>
        <w:autoSpaceDE w:val="0"/>
        <w:autoSpaceDN w:val="0"/>
        <w:adjustRightInd w:val="0"/>
      </w:pPr>
    </w:p>
    <w:p w:rsidR="00B514A2" w:rsidRPr="00927E2F" w:rsidRDefault="00B514A2" w:rsidP="00B514A2">
      <w:pPr>
        <w:widowControl w:val="0"/>
        <w:autoSpaceDE w:val="0"/>
        <w:autoSpaceDN w:val="0"/>
        <w:adjustRightInd w:val="0"/>
        <w:jc w:val="both"/>
        <w:rPr>
          <w:b/>
          <w:bCs/>
        </w:rPr>
      </w:pPr>
      <w:r w:rsidRPr="00927E2F">
        <w:rPr>
          <w:b/>
          <w:bCs/>
        </w:rPr>
        <w:t>(</w:t>
      </w:r>
      <w:r w:rsidRPr="00927E2F">
        <w:rPr>
          <w:bCs/>
        </w:rPr>
        <w:t>dále jen „</w:t>
      </w:r>
      <w:r w:rsidRPr="00927E2F">
        <w:rPr>
          <w:b/>
          <w:bCs/>
        </w:rPr>
        <w:t>objednatel</w:t>
      </w:r>
      <w:r w:rsidRPr="00927E2F">
        <w:rPr>
          <w:bCs/>
        </w:rPr>
        <w:t>“)</w:t>
      </w:r>
    </w:p>
    <w:p w:rsidR="00B514A2" w:rsidRPr="00927E2F" w:rsidRDefault="00B514A2" w:rsidP="00B514A2">
      <w:pPr>
        <w:widowControl w:val="0"/>
        <w:autoSpaceDE w:val="0"/>
        <w:autoSpaceDN w:val="0"/>
        <w:adjustRightInd w:val="0"/>
        <w:jc w:val="both"/>
      </w:pPr>
    </w:p>
    <w:p w:rsidR="00B514A2" w:rsidRPr="00927E2F" w:rsidRDefault="00B514A2" w:rsidP="00B514A2">
      <w:pPr>
        <w:widowControl w:val="0"/>
        <w:autoSpaceDE w:val="0"/>
        <w:autoSpaceDN w:val="0"/>
        <w:adjustRightInd w:val="0"/>
        <w:jc w:val="both"/>
      </w:pPr>
      <w:r w:rsidRPr="00927E2F">
        <w:t>a</w:t>
      </w:r>
    </w:p>
    <w:p w:rsidR="00B514A2" w:rsidRPr="00927E2F" w:rsidRDefault="00B514A2" w:rsidP="00B514A2">
      <w:pPr>
        <w:widowControl w:val="0"/>
        <w:autoSpaceDE w:val="0"/>
        <w:autoSpaceDN w:val="0"/>
        <w:adjustRightInd w:val="0"/>
        <w:jc w:val="both"/>
      </w:pPr>
    </w:p>
    <w:p w:rsidR="00177A29" w:rsidRPr="00927E2F" w:rsidRDefault="00927E2F" w:rsidP="00927E2F">
      <w:pPr>
        <w:pStyle w:val="Default"/>
        <w:tabs>
          <w:tab w:val="left" w:pos="3686"/>
        </w:tabs>
        <w:spacing w:after="60"/>
        <w:rPr>
          <w:rFonts w:ascii="Times New Roman" w:hAnsi="Times New Roman" w:cs="Times New Roman"/>
          <w:b/>
        </w:rPr>
      </w:pPr>
      <w:r w:rsidRPr="00927E2F">
        <w:rPr>
          <w:rFonts w:ascii="Times New Roman" w:hAnsi="Times New Roman" w:cs="Times New Roman"/>
          <w:b/>
          <w:bCs/>
        </w:rPr>
        <w:t>P</w:t>
      </w:r>
      <w:r w:rsidR="000458CB" w:rsidRPr="00927E2F">
        <w:rPr>
          <w:rFonts w:ascii="Times New Roman" w:hAnsi="Times New Roman" w:cs="Times New Roman"/>
          <w:b/>
          <w:bCs/>
        </w:rPr>
        <w:t>oskytovatel</w:t>
      </w:r>
      <w:r w:rsidR="00177A29" w:rsidRPr="00927E2F">
        <w:rPr>
          <w:rFonts w:ascii="Times New Roman" w:hAnsi="Times New Roman" w:cs="Times New Roman"/>
          <w:b/>
          <w:bCs/>
        </w:rPr>
        <w:t>:</w:t>
      </w:r>
      <w:r w:rsidRPr="00927E2F">
        <w:rPr>
          <w:rFonts w:ascii="Times New Roman" w:hAnsi="Times New Roman" w:cs="Times New Roman"/>
          <w:b/>
          <w:bCs/>
        </w:rPr>
        <w:tab/>
      </w:r>
      <w:r w:rsidR="00AE6814" w:rsidRPr="00927E2F">
        <w:rPr>
          <w:rFonts w:ascii="Times New Roman" w:hAnsi="Times New Roman" w:cs="Times New Roman"/>
          <w:b/>
        </w:rPr>
        <w:t xml:space="preserve">Skřivánek s.r.o. </w:t>
      </w:r>
      <w:r w:rsidR="00177A29" w:rsidRPr="00927E2F">
        <w:rPr>
          <w:rFonts w:ascii="Times New Roman" w:hAnsi="Times New Roman" w:cs="Times New Roman"/>
          <w:b/>
          <w:bCs/>
        </w:rPr>
        <w:t xml:space="preserve"> </w:t>
      </w:r>
    </w:p>
    <w:p w:rsidR="00177A29" w:rsidRPr="00927E2F" w:rsidRDefault="00177A29" w:rsidP="00927E2F">
      <w:pPr>
        <w:pStyle w:val="Default"/>
        <w:tabs>
          <w:tab w:val="left" w:pos="3686"/>
        </w:tabs>
        <w:rPr>
          <w:rFonts w:ascii="Times New Roman" w:hAnsi="Times New Roman" w:cs="Times New Roman"/>
        </w:rPr>
      </w:pPr>
      <w:r w:rsidRPr="00927E2F">
        <w:rPr>
          <w:rFonts w:ascii="Times New Roman" w:hAnsi="Times New Roman" w:cs="Times New Roman"/>
        </w:rPr>
        <w:t>Sídlo:</w:t>
      </w:r>
      <w:r w:rsidR="00927E2F" w:rsidRPr="00927E2F">
        <w:rPr>
          <w:rFonts w:ascii="Times New Roman" w:hAnsi="Times New Roman" w:cs="Times New Roman"/>
        </w:rPr>
        <w:tab/>
      </w:r>
      <w:r w:rsidR="00AE6814" w:rsidRPr="00927E2F">
        <w:rPr>
          <w:rFonts w:ascii="Times New Roman" w:hAnsi="Times New Roman" w:cs="Times New Roman"/>
        </w:rPr>
        <w:t>Na dolinách 153/22, 147 00, Praha 4</w:t>
      </w:r>
      <w:r w:rsidR="00927E2F" w:rsidRPr="00927E2F">
        <w:rPr>
          <w:rFonts w:ascii="Times New Roman" w:hAnsi="Times New Roman" w:cs="Times New Roman"/>
        </w:rPr>
        <w:t xml:space="preserve"> – Podolí</w:t>
      </w:r>
    </w:p>
    <w:p w:rsidR="00805972" w:rsidRPr="00927E2F" w:rsidRDefault="00177A29" w:rsidP="00927E2F">
      <w:pPr>
        <w:pStyle w:val="Default"/>
        <w:tabs>
          <w:tab w:val="left" w:pos="3686"/>
        </w:tabs>
        <w:rPr>
          <w:rFonts w:ascii="Times New Roman" w:hAnsi="Times New Roman" w:cs="Times New Roman"/>
        </w:rPr>
      </w:pPr>
      <w:r w:rsidRPr="00927E2F">
        <w:rPr>
          <w:rFonts w:ascii="Times New Roman" w:hAnsi="Times New Roman" w:cs="Times New Roman"/>
        </w:rPr>
        <w:t>Právní forma:</w:t>
      </w:r>
      <w:r w:rsidR="00927E2F" w:rsidRPr="00927E2F">
        <w:rPr>
          <w:rFonts w:ascii="Times New Roman" w:hAnsi="Times New Roman" w:cs="Times New Roman"/>
        </w:rPr>
        <w:tab/>
      </w:r>
      <w:r w:rsidR="00AE6814" w:rsidRPr="00927E2F">
        <w:rPr>
          <w:rFonts w:ascii="Times New Roman" w:hAnsi="Times New Roman" w:cs="Times New Roman"/>
        </w:rPr>
        <w:t>společnost s ručením omezeným</w:t>
      </w:r>
    </w:p>
    <w:p w:rsidR="00177A29" w:rsidRPr="00927E2F" w:rsidRDefault="00177A29" w:rsidP="00927E2F">
      <w:pPr>
        <w:pStyle w:val="Default"/>
        <w:tabs>
          <w:tab w:val="left" w:pos="3686"/>
        </w:tabs>
        <w:rPr>
          <w:rFonts w:ascii="Times New Roman" w:hAnsi="Times New Roman" w:cs="Times New Roman"/>
        </w:rPr>
      </w:pPr>
      <w:r w:rsidRPr="00927E2F">
        <w:rPr>
          <w:rFonts w:ascii="Times New Roman" w:hAnsi="Times New Roman" w:cs="Times New Roman"/>
        </w:rPr>
        <w:t>IČ</w:t>
      </w:r>
      <w:r w:rsidR="00927E2F" w:rsidRPr="00927E2F">
        <w:rPr>
          <w:rFonts w:ascii="Times New Roman" w:hAnsi="Times New Roman" w:cs="Times New Roman"/>
        </w:rPr>
        <w:t>O</w:t>
      </w:r>
      <w:r w:rsidRPr="00927E2F">
        <w:rPr>
          <w:rFonts w:ascii="Times New Roman" w:hAnsi="Times New Roman" w:cs="Times New Roman"/>
        </w:rPr>
        <w:t>:</w:t>
      </w:r>
      <w:r w:rsidR="00927E2F" w:rsidRPr="00927E2F">
        <w:rPr>
          <w:rFonts w:ascii="Times New Roman" w:hAnsi="Times New Roman" w:cs="Times New Roman"/>
        </w:rPr>
        <w:tab/>
      </w:r>
      <w:r w:rsidR="00AE6814" w:rsidRPr="00927E2F">
        <w:rPr>
          <w:rFonts w:ascii="Times New Roman" w:hAnsi="Times New Roman" w:cs="Times New Roman"/>
        </w:rPr>
        <w:t>607</w:t>
      </w:r>
      <w:r w:rsidR="00927E2F" w:rsidRPr="00927E2F">
        <w:rPr>
          <w:rFonts w:ascii="Times New Roman" w:hAnsi="Times New Roman" w:cs="Times New Roman"/>
        </w:rPr>
        <w:t xml:space="preserve"> </w:t>
      </w:r>
      <w:r w:rsidR="00AE6814" w:rsidRPr="00927E2F">
        <w:rPr>
          <w:rFonts w:ascii="Times New Roman" w:hAnsi="Times New Roman" w:cs="Times New Roman"/>
        </w:rPr>
        <w:t>15</w:t>
      </w:r>
      <w:r w:rsidR="00927E2F" w:rsidRPr="00927E2F">
        <w:rPr>
          <w:rFonts w:ascii="Times New Roman" w:hAnsi="Times New Roman" w:cs="Times New Roman"/>
        </w:rPr>
        <w:t xml:space="preserve"> </w:t>
      </w:r>
      <w:r w:rsidR="00AE6814" w:rsidRPr="00927E2F">
        <w:rPr>
          <w:rFonts w:ascii="Times New Roman" w:hAnsi="Times New Roman" w:cs="Times New Roman"/>
        </w:rPr>
        <w:t>235</w:t>
      </w:r>
    </w:p>
    <w:p w:rsidR="00927E2F" w:rsidRPr="00927E2F" w:rsidRDefault="00927E2F" w:rsidP="00927E2F">
      <w:pPr>
        <w:pStyle w:val="Default"/>
        <w:tabs>
          <w:tab w:val="left" w:pos="3686"/>
        </w:tabs>
        <w:rPr>
          <w:rFonts w:ascii="Times New Roman" w:hAnsi="Times New Roman" w:cs="Times New Roman"/>
        </w:rPr>
      </w:pPr>
      <w:r w:rsidRPr="00927E2F">
        <w:rPr>
          <w:rFonts w:ascii="Times New Roman" w:hAnsi="Times New Roman" w:cs="Times New Roman"/>
        </w:rPr>
        <w:t>DIČ:</w:t>
      </w:r>
      <w:r w:rsidRPr="00927E2F">
        <w:rPr>
          <w:rFonts w:ascii="Times New Roman" w:hAnsi="Times New Roman" w:cs="Times New Roman"/>
        </w:rPr>
        <w:tab/>
        <w:t>CZ60715235</w:t>
      </w:r>
    </w:p>
    <w:p w:rsidR="00927E2F" w:rsidRPr="00927E2F" w:rsidRDefault="00927E2F" w:rsidP="00927E2F">
      <w:pPr>
        <w:pStyle w:val="Default"/>
        <w:tabs>
          <w:tab w:val="left" w:pos="3686"/>
        </w:tabs>
        <w:rPr>
          <w:rFonts w:ascii="Times New Roman" w:hAnsi="Times New Roman" w:cs="Times New Roman"/>
        </w:rPr>
      </w:pPr>
      <w:r w:rsidRPr="00927E2F">
        <w:rPr>
          <w:rFonts w:ascii="Times New Roman" w:hAnsi="Times New Roman" w:cs="Times New Roman"/>
        </w:rPr>
        <w:t>Zapsaná u:</w:t>
      </w:r>
      <w:r w:rsidRPr="00927E2F">
        <w:rPr>
          <w:rFonts w:ascii="Times New Roman" w:hAnsi="Times New Roman" w:cs="Times New Roman"/>
        </w:rPr>
        <w:tab/>
        <w:t>Městského soudu v Praze, spisová značka C 232789</w:t>
      </w:r>
    </w:p>
    <w:p w:rsidR="00927E2F" w:rsidRPr="00927E2F" w:rsidRDefault="00927E2F" w:rsidP="00927E2F">
      <w:pPr>
        <w:pStyle w:val="Default"/>
        <w:tabs>
          <w:tab w:val="left" w:pos="3686"/>
        </w:tabs>
        <w:spacing w:after="60"/>
        <w:rPr>
          <w:rFonts w:ascii="Times New Roman" w:hAnsi="Times New Roman" w:cs="Times New Roman"/>
        </w:rPr>
      </w:pPr>
      <w:r w:rsidRPr="00927E2F">
        <w:rPr>
          <w:rFonts w:ascii="Times New Roman" w:hAnsi="Times New Roman" w:cs="Times New Roman"/>
        </w:rPr>
        <w:t>Bankovní spojení:</w:t>
      </w:r>
      <w:r w:rsidRPr="00927E2F">
        <w:rPr>
          <w:rFonts w:ascii="Times New Roman" w:hAnsi="Times New Roman" w:cs="Times New Roman"/>
        </w:rPr>
        <w:tab/>
      </w:r>
      <w:r w:rsidR="009F09D4" w:rsidRPr="009F09D4">
        <w:rPr>
          <w:rFonts w:ascii="Times New Roman" w:hAnsi="Times New Roman" w:cs="Times New Roman"/>
        </w:rPr>
        <w:t>Komerční banka</w:t>
      </w:r>
      <w:r w:rsidR="009F09D4">
        <w:rPr>
          <w:rFonts w:ascii="Times New Roman" w:hAnsi="Times New Roman" w:cs="Times New Roman"/>
        </w:rPr>
        <w:t xml:space="preserve">, č. účtu: </w:t>
      </w:r>
      <w:r w:rsidR="009F09D4" w:rsidRPr="009F09D4">
        <w:rPr>
          <w:rFonts w:ascii="Times New Roman" w:hAnsi="Times New Roman" w:cs="Times New Roman"/>
        </w:rPr>
        <w:t>86-4134100267/0100</w:t>
      </w:r>
    </w:p>
    <w:p w:rsidR="00927E2F" w:rsidRPr="00927E2F" w:rsidRDefault="00927E2F" w:rsidP="00927E2F">
      <w:pPr>
        <w:pStyle w:val="Default"/>
        <w:tabs>
          <w:tab w:val="left" w:pos="3686"/>
        </w:tabs>
        <w:rPr>
          <w:rFonts w:ascii="Times New Roman" w:hAnsi="Times New Roman" w:cs="Times New Roman"/>
        </w:rPr>
      </w:pPr>
      <w:r w:rsidRPr="00927E2F">
        <w:rPr>
          <w:rFonts w:ascii="Times New Roman" w:hAnsi="Times New Roman" w:cs="Times New Roman"/>
        </w:rPr>
        <w:t>Osoba oprávněná jednat</w:t>
      </w:r>
    </w:p>
    <w:p w:rsidR="00B514A2" w:rsidRPr="00927E2F" w:rsidRDefault="00927E2F" w:rsidP="00927E2F">
      <w:pPr>
        <w:pStyle w:val="Default"/>
        <w:tabs>
          <w:tab w:val="left" w:pos="3686"/>
        </w:tabs>
        <w:rPr>
          <w:rFonts w:ascii="Times New Roman" w:hAnsi="Times New Roman" w:cs="Times New Roman"/>
        </w:rPr>
      </w:pPr>
      <w:r w:rsidRPr="00927E2F">
        <w:rPr>
          <w:rFonts w:ascii="Times New Roman" w:hAnsi="Times New Roman" w:cs="Times New Roman"/>
        </w:rPr>
        <w:t>za poskytovatele</w:t>
      </w:r>
      <w:r w:rsidR="00177A29" w:rsidRPr="00927E2F">
        <w:rPr>
          <w:rFonts w:ascii="Times New Roman" w:hAnsi="Times New Roman" w:cs="Times New Roman"/>
        </w:rPr>
        <w:t>:</w:t>
      </w:r>
      <w:r w:rsidRPr="00927E2F">
        <w:rPr>
          <w:rFonts w:ascii="Times New Roman" w:hAnsi="Times New Roman" w:cs="Times New Roman"/>
        </w:rPr>
        <w:tab/>
      </w:r>
      <w:r w:rsidR="003C2DA7">
        <w:rPr>
          <w:rFonts w:ascii="Times New Roman" w:hAnsi="Times New Roman" w:cs="Times New Roman"/>
        </w:rPr>
        <w:t>XXXXXXXXXX</w:t>
      </w:r>
      <w:r w:rsidR="00AE6814" w:rsidRPr="00927E2F">
        <w:rPr>
          <w:rFonts w:ascii="Times New Roman" w:hAnsi="Times New Roman" w:cs="Times New Roman"/>
        </w:rPr>
        <w:t>, ředitelka provozovny Praha</w:t>
      </w:r>
      <w:r w:rsidRPr="00927E2F">
        <w:rPr>
          <w:rFonts w:ascii="Times New Roman" w:hAnsi="Times New Roman" w:cs="Times New Roman"/>
        </w:rPr>
        <w:t>,</w:t>
      </w:r>
    </w:p>
    <w:p w:rsidR="00927E2F" w:rsidRPr="00927E2F" w:rsidRDefault="00927E2F" w:rsidP="00927E2F">
      <w:pPr>
        <w:widowControl w:val="0"/>
        <w:tabs>
          <w:tab w:val="left" w:pos="3686"/>
        </w:tabs>
        <w:autoSpaceDE w:val="0"/>
        <w:autoSpaceDN w:val="0"/>
        <w:adjustRightInd w:val="0"/>
        <w:jc w:val="both"/>
        <w:rPr>
          <w:bCs/>
        </w:rPr>
      </w:pPr>
      <w:r w:rsidRPr="00927E2F">
        <w:rPr>
          <w:bCs/>
        </w:rPr>
        <w:tab/>
        <w:t>na základě plné moci ze dne 25. 11. 2019</w:t>
      </w:r>
    </w:p>
    <w:p w:rsidR="00927E2F" w:rsidRDefault="00927E2F" w:rsidP="00927E2F">
      <w:pPr>
        <w:widowControl w:val="0"/>
        <w:tabs>
          <w:tab w:val="left" w:pos="3686"/>
        </w:tabs>
        <w:autoSpaceDE w:val="0"/>
        <w:autoSpaceDN w:val="0"/>
        <w:adjustRightInd w:val="0"/>
        <w:jc w:val="both"/>
        <w:rPr>
          <w:bCs/>
        </w:rPr>
      </w:pPr>
    </w:p>
    <w:p w:rsidR="00B514A2" w:rsidRDefault="00B514A2" w:rsidP="00927E2F">
      <w:pPr>
        <w:widowControl w:val="0"/>
        <w:tabs>
          <w:tab w:val="left" w:pos="3686"/>
        </w:tabs>
        <w:autoSpaceDE w:val="0"/>
        <w:autoSpaceDN w:val="0"/>
        <w:adjustRightInd w:val="0"/>
        <w:jc w:val="both"/>
        <w:rPr>
          <w:bCs/>
        </w:rPr>
      </w:pPr>
      <w:r w:rsidRPr="00AE6814">
        <w:rPr>
          <w:bCs/>
        </w:rPr>
        <w:t>(dále jen „</w:t>
      </w:r>
      <w:r w:rsidRPr="00ED3FA2">
        <w:rPr>
          <w:b/>
          <w:bCs/>
        </w:rPr>
        <w:t>poskytovatel</w:t>
      </w:r>
      <w:r w:rsidRPr="00AE6814">
        <w:rPr>
          <w:bCs/>
        </w:rPr>
        <w:t>“)</w:t>
      </w:r>
    </w:p>
    <w:p w:rsidR="009B29F3" w:rsidRDefault="009B29F3" w:rsidP="00927E2F">
      <w:pPr>
        <w:widowControl w:val="0"/>
        <w:tabs>
          <w:tab w:val="left" w:pos="3686"/>
        </w:tabs>
        <w:autoSpaceDE w:val="0"/>
        <w:autoSpaceDN w:val="0"/>
        <w:adjustRightInd w:val="0"/>
        <w:jc w:val="both"/>
        <w:rPr>
          <w:bCs/>
        </w:rPr>
      </w:pPr>
    </w:p>
    <w:p w:rsidR="009B29F3" w:rsidRPr="00AE6814" w:rsidRDefault="009B29F3" w:rsidP="00927E2F">
      <w:pPr>
        <w:widowControl w:val="0"/>
        <w:tabs>
          <w:tab w:val="left" w:pos="3686"/>
        </w:tabs>
        <w:autoSpaceDE w:val="0"/>
        <w:autoSpaceDN w:val="0"/>
        <w:adjustRightInd w:val="0"/>
        <w:jc w:val="both"/>
        <w:rPr>
          <w:bCs/>
        </w:rPr>
      </w:pPr>
      <w:r>
        <w:rPr>
          <w:bCs/>
        </w:rPr>
        <w:t>(</w:t>
      </w:r>
      <w:r w:rsidRPr="009B29F3">
        <w:rPr>
          <w:bCs/>
        </w:rPr>
        <w:t>dále společně jako „</w:t>
      </w:r>
      <w:r w:rsidRPr="009B29F3">
        <w:rPr>
          <w:b/>
          <w:bCs/>
        </w:rPr>
        <w:t>smluvní strany</w:t>
      </w:r>
      <w:r w:rsidRPr="009B29F3">
        <w:rPr>
          <w:bCs/>
        </w:rPr>
        <w:t>“)</w:t>
      </w:r>
    </w:p>
    <w:p w:rsidR="001073BC" w:rsidRDefault="001073BC"/>
    <w:p w:rsidR="00F95E09" w:rsidRDefault="00F95E09"/>
    <w:p w:rsidR="00F95E09" w:rsidRPr="00567E3E" w:rsidRDefault="00F95E09" w:rsidP="00F95E09">
      <w:pPr>
        <w:jc w:val="center"/>
        <w:rPr>
          <w:b/>
        </w:rPr>
      </w:pPr>
      <w:r w:rsidRPr="00567E3E">
        <w:rPr>
          <w:b/>
        </w:rPr>
        <w:t>Článek I.</w:t>
      </w:r>
    </w:p>
    <w:p w:rsidR="00F95E09" w:rsidRPr="00567E3E" w:rsidRDefault="003D5431" w:rsidP="00F95E09">
      <w:pPr>
        <w:jc w:val="center"/>
        <w:rPr>
          <w:b/>
        </w:rPr>
      </w:pPr>
      <w:r w:rsidRPr="00567E3E">
        <w:rPr>
          <w:b/>
        </w:rPr>
        <w:t>Preambule</w:t>
      </w:r>
    </w:p>
    <w:p w:rsidR="003D5431" w:rsidRDefault="003D5431" w:rsidP="00F95E09">
      <w:pPr>
        <w:jc w:val="center"/>
      </w:pPr>
    </w:p>
    <w:p w:rsidR="003D5431" w:rsidRDefault="003D5431" w:rsidP="003D5431">
      <w:r>
        <w:t>Vzhledem k tomu, že:</w:t>
      </w:r>
    </w:p>
    <w:p w:rsidR="003D5431" w:rsidRDefault="003D5431" w:rsidP="00752C90">
      <w:pPr>
        <w:pStyle w:val="Odstavecseseznamem"/>
        <w:numPr>
          <w:ilvl w:val="0"/>
          <w:numId w:val="15"/>
        </w:numPr>
        <w:ind w:left="426" w:hanging="426"/>
        <w:jc w:val="both"/>
      </w:pPr>
      <w:r>
        <w:t xml:space="preserve">Objednatel </w:t>
      </w:r>
      <w:r w:rsidR="0006504D">
        <w:t>vypsa</w:t>
      </w:r>
      <w:r w:rsidR="00332349">
        <w:t xml:space="preserve">l </w:t>
      </w:r>
      <w:r w:rsidR="00411613">
        <w:t xml:space="preserve">dne </w:t>
      </w:r>
      <w:r w:rsidR="00EC6D03">
        <w:t>31</w:t>
      </w:r>
      <w:r w:rsidR="00D80F26" w:rsidRPr="007D1E0C">
        <w:t xml:space="preserve">. </w:t>
      </w:r>
      <w:r w:rsidR="00EC6D03">
        <w:t>3</w:t>
      </w:r>
      <w:r w:rsidR="00D80F26" w:rsidRPr="007D1E0C">
        <w:t>. 20</w:t>
      </w:r>
      <w:r w:rsidR="00B50872">
        <w:t>20</w:t>
      </w:r>
      <w:r w:rsidR="00411613">
        <w:t xml:space="preserve"> </w:t>
      </w:r>
      <w:r w:rsidR="00246F31">
        <w:t>v</w:t>
      </w:r>
      <w:r w:rsidR="00332349">
        <w:t xml:space="preserve">eřejnou </w:t>
      </w:r>
      <w:r>
        <w:t xml:space="preserve">zakázku </w:t>
      </w:r>
      <w:hyperlink r:id="rId7" w:history="1">
        <w:r w:rsidR="00237702" w:rsidRPr="00752C90">
          <w:rPr>
            <w:b/>
          </w:rPr>
          <w:t>T004/</w:t>
        </w:r>
        <w:r w:rsidR="00B50872">
          <w:rPr>
            <w:b/>
          </w:rPr>
          <w:t>20</w:t>
        </w:r>
        <w:r w:rsidR="00237702" w:rsidRPr="00752C90">
          <w:rPr>
            <w:b/>
          </w:rPr>
          <w:t>V/000</w:t>
        </w:r>
        <w:r w:rsidR="00B50872">
          <w:rPr>
            <w:b/>
          </w:rPr>
          <w:t>04786</w:t>
        </w:r>
      </w:hyperlink>
      <w:r w:rsidR="00237702" w:rsidRPr="00752C90">
        <w:rPr>
          <w:b/>
        </w:rPr>
        <w:t xml:space="preserve"> – </w:t>
      </w:r>
      <w:r w:rsidR="00201AE6" w:rsidRPr="00752C90">
        <w:rPr>
          <w:b/>
        </w:rPr>
        <w:t>Překladatelské služby</w:t>
      </w:r>
      <w:r>
        <w:t>;</w:t>
      </w:r>
    </w:p>
    <w:p w:rsidR="003D5431" w:rsidRDefault="003F0D1B" w:rsidP="00752C90">
      <w:pPr>
        <w:pStyle w:val="Odstavecseseznamem"/>
        <w:numPr>
          <w:ilvl w:val="0"/>
          <w:numId w:val="15"/>
        </w:numPr>
        <w:ind w:left="426" w:hanging="426"/>
        <w:jc w:val="both"/>
      </w:pPr>
      <w:r>
        <w:t>n</w:t>
      </w:r>
      <w:r w:rsidR="003D5431" w:rsidRPr="003D5431">
        <w:t xml:space="preserve">a základě </w:t>
      </w:r>
      <w:r w:rsidR="00332349">
        <w:t>výsledků</w:t>
      </w:r>
      <w:r w:rsidR="003D5431" w:rsidRPr="003D5431">
        <w:t xml:space="preserve"> a hodnocení nabídek v</w:t>
      </w:r>
      <w:r w:rsidR="00332349">
        <w:t xml:space="preserve"> zadávacím </w:t>
      </w:r>
      <w:r w:rsidR="003D5431" w:rsidRPr="003D5431">
        <w:t xml:space="preserve">řízení byla ze strany </w:t>
      </w:r>
      <w:r w:rsidR="003D5431">
        <w:t>o</w:t>
      </w:r>
      <w:r w:rsidR="003D5431" w:rsidRPr="003D5431">
        <w:t xml:space="preserve">bjednatele nabídka </w:t>
      </w:r>
      <w:r w:rsidR="003D5431">
        <w:t>p</w:t>
      </w:r>
      <w:r w:rsidR="003D5431" w:rsidRPr="003D5431">
        <w:t>oskytovatele vybrána jako nejvhodnější;</w:t>
      </w:r>
    </w:p>
    <w:p w:rsidR="003D5431" w:rsidRDefault="003D5431" w:rsidP="00752C90">
      <w:pPr>
        <w:pStyle w:val="Odstavecseseznamem"/>
        <w:numPr>
          <w:ilvl w:val="0"/>
          <w:numId w:val="15"/>
        </w:numPr>
        <w:ind w:left="426" w:hanging="426"/>
        <w:jc w:val="both"/>
      </w:pPr>
      <w:r>
        <w:t>o</w:t>
      </w:r>
      <w:r w:rsidRPr="003D5431">
        <w:t xml:space="preserve">bjednatel má zájem na tom, aby </w:t>
      </w:r>
      <w:r>
        <w:t>p</w:t>
      </w:r>
      <w:r w:rsidRPr="003D5431">
        <w:t>oskytovatel zajistil</w:t>
      </w:r>
      <w:r w:rsidR="00201AE6">
        <w:t xml:space="preserve"> poskytování co nejkvalitnějších překladů</w:t>
      </w:r>
      <w:r w:rsidRPr="003D5431">
        <w:t xml:space="preserve">, přičemž </w:t>
      </w:r>
      <w:r>
        <w:t>p</w:t>
      </w:r>
      <w:r w:rsidRPr="003D5431">
        <w:t xml:space="preserve">oskytovatel si je tohoto </w:t>
      </w:r>
      <w:r>
        <w:t>o</w:t>
      </w:r>
      <w:r w:rsidRPr="003D5431">
        <w:t xml:space="preserve">bjednatelova zájmu plně vědom a je připraven provádět svoji činnost takovým způsobem, aby tento </w:t>
      </w:r>
      <w:r>
        <w:t>o</w:t>
      </w:r>
      <w:r w:rsidRPr="003D5431">
        <w:t>bjednatelův zájem byl náležitě uspokojen;</w:t>
      </w:r>
    </w:p>
    <w:p w:rsidR="003D5431" w:rsidRDefault="003D5431" w:rsidP="003D5431">
      <w:pPr>
        <w:jc w:val="both"/>
      </w:pPr>
    </w:p>
    <w:p w:rsidR="003D5431" w:rsidRDefault="003D5431" w:rsidP="003D5431">
      <w:pPr>
        <w:widowControl w:val="0"/>
        <w:autoSpaceDE w:val="0"/>
        <w:autoSpaceDN w:val="0"/>
        <w:adjustRightInd w:val="0"/>
        <w:jc w:val="both"/>
      </w:pPr>
      <w:r>
        <w:t>smluvní strany uzavírají níže uvedeného dne, měsíce a roku tuto smlouvu.</w:t>
      </w:r>
    </w:p>
    <w:p w:rsidR="003D5431" w:rsidRPr="00567E3E" w:rsidRDefault="003D5431" w:rsidP="003D5431">
      <w:pPr>
        <w:widowControl w:val="0"/>
        <w:autoSpaceDE w:val="0"/>
        <w:autoSpaceDN w:val="0"/>
        <w:adjustRightInd w:val="0"/>
        <w:jc w:val="center"/>
        <w:rPr>
          <w:b/>
        </w:rPr>
      </w:pPr>
      <w:r w:rsidRPr="00567E3E">
        <w:rPr>
          <w:b/>
        </w:rPr>
        <w:lastRenderedPageBreak/>
        <w:t>Článek II.</w:t>
      </w:r>
    </w:p>
    <w:p w:rsidR="003D5431" w:rsidRPr="00567E3E" w:rsidRDefault="003D5431" w:rsidP="003D5431">
      <w:pPr>
        <w:widowControl w:val="0"/>
        <w:autoSpaceDE w:val="0"/>
        <w:autoSpaceDN w:val="0"/>
        <w:adjustRightInd w:val="0"/>
        <w:jc w:val="center"/>
        <w:rPr>
          <w:b/>
        </w:rPr>
      </w:pPr>
      <w:r w:rsidRPr="00567E3E">
        <w:rPr>
          <w:b/>
        </w:rPr>
        <w:t>Předmět smlouvy</w:t>
      </w:r>
    </w:p>
    <w:p w:rsidR="003D5431" w:rsidRDefault="003D5431" w:rsidP="003D5431">
      <w:pPr>
        <w:widowControl w:val="0"/>
        <w:autoSpaceDE w:val="0"/>
        <w:autoSpaceDN w:val="0"/>
        <w:adjustRightInd w:val="0"/>
        <w:jc w:val="center"/>
      </w:pPr>
    </w:p>
    <w:p w:rsidR="00501A8A" w:rsidRDefault="00EC21AA" w:rsidP="00501A8A">
      <w:pPr>
        <w:shd w:val="clear" w:color="auto" w:fill="FFFFFF"/>
        <w:jc w:val="both"/>
      </w:pPr>
      <w:r>
        <w:t>Předmětem smlouvy</w:t>
      </w:r>
      <w:r w:rsidR="00501A8A" w:rsidRPr="00A6085E">
        <w:t xml:space="preserve"> je komplexní zajišťování jazykových překladů</w:t>
      </w:r>
      <w:r w:rsidR="00A53802">
        <w:t xml:space="preserve"> z  českého jazyka</w:t>
      </w:r>
      <w:r w:rsidR="00501A8A" w:rsidRPr="00A6085E">
        <w:t xml:space="preserve"> </w:t>
      </w:r>
      <w:r w:rsidR="006D4817">
        <w:t xml:space="preserve">do </w:t>
      </w:r>
      <w:r w:rsidR="006D4817" w:rsidRPr="00A6085E">
        <w:t>anglického, německého, francouzského, ruského a čínského jazyka</w:t>
      </w:r>
      <w:r w:rsidR="006D4817">
        <w:t xml:space="preserve"> a z těchto jazyků do jazyka českého, </w:t>
      </w:r>
      <w:r w:rsidR="00A53802">
        <w:t>v souladu s výzvou k podání nabídek včetně zadávací dokumentace, které jsou nedílnou součástí této smlouvy</w:t>
      </w:r>
      <w:r>
        <w:t xml:space="preserve"> (viz příloha č. 1)</w:t>
      </w:r>
      <w:r w:rsidR="00A53802">
        <w:t xml:space="preserve"> a </w:t>
      </w:r>
      <w:r w:rsidR="00501A8A" w:rsidRPr="00A6085E">
        <w:t>dle aktuálních požadavků zadavatele, a to zejména mezinárodních a národních právních předpisů, judikátů, smluv</w:t>
      </w:r>
      <w:r w:rsidR="004C7F89" w:rsidRPr="00A6085E">
        <w:t>, seznam</w:t>
      </w:r>
      <w:r w:rsidR="00F05E37">
        <w:t>u</w:t>
      </w:r>
      <w:r w:rsidR="004C7F89" w:rsidRPr="00A6085E">
        <w:t xml:space="preserve"> výrobků a služeb</w:t>
      </w:r>
      <w:r w:rsidR="00501A8A" w:rsidRPr="00A6085E">
        <w:t xml:space="preserve"> a částí spisů jednotlivých institutů průmyslových práv, které budou poskytovány na základě dílčích objednávek</w:t>
      </w:r>
      <w:r w:rsidR="00012216">
        <w:t xml:space="preserve"> zadavatele</w:t>
      </w:r>
      <w:r w:rsidR="00752C90" w:rsidRPr="00A6085E">
        <w:t>.</w:t>
      </w:r>
    </w:p>
    <w:p w:rsidR="00C92AB7" w:rsidRPr="00A6085E" w:rsidRDefault="00C92AB7" w:rsidP="00501A8A">
      <w:pPr>
        <w:shd w:val="clear" w:color="auto" w:fill="FFFFFF"/>
        <w:jc w:val="both"/>
      </w:pPr>
    </w:p>
    <w:p w:rsidR="00501A8A" w:rsidRPr="00410C4E" w:rsidRDefault="00501A8A" w:rsidP="00501A8A">
      <w:pPr>
        <w:shd w:val="clear" w:color="auto" w:fill="FFFFFF"/>
        <w:jc w:val="both"/>
      </w:pPr>
      <w:r w:rsidRPr="00410C4E">
        <w:t>Podle typů překladů a lhůty jejich dodání se rozlišují následující kategorie:</w:t>
      </w:r>
    </w:p>
    <w:p w:rsidR="00501A8A" w:rsidRPr="00410C4E" w:rsidRDefault="00752C90" w:rsidP="009A0381">
      <w:pPr>
        <w:pStyle w:val="Odstavecseseznamem"/>
        <w:numPr>
          <w:ilvl w:val="1"/>
          <w:numId w:val="13"/>
        </w:numPr>
        <w:shd w:val="clear" w:color="auto" w:fill="FFFFFF"/>
        <w:ind w:left="426" w:hanging="426"/>
        <w:jc w:val="both"/>
      </w:pPr>
      <w:r w:rsidRPr="00410C4E">
        <w:t>Překlady anotací a názvů zveřejněných přihlášek a udělených patentů a názvů zapsaných užitných vzorů z českého do anglického jazyka. V rozsahu cca 550 normostran za rok</w:t>
      </w:r>
      <w:r w:rsidR="00501A8A" w:rsidRPr="00410C4E">
        <w:t>.</w:t>
      </w:r>
    </w:p>
    <w:p w:rsidR="00501A8A" w:rsidRPr="00410C4E" w:rsidRDefault="009A0381" w:rsidP="009A0381">
      <w:pPr>
        <w:pStyle w:val="Odstavecseseznamem"/>
        <w:numPr>
          <w:ilvl w:val="1"/>
          <w:numId w:val="13"/>
        </w:numPr>
        <w:shd w:val="clear" w:color="auto" w:fill="FFFFFF"/>
        <w:ind w:left="426" w:hanging="426"/>
        <w:jc w:val="both"/>
      </w:pPr>
      <w:r w:rsidRPr="00410C4E">
        <w:t>Ostatní</w:t>
      </w:r>
      <w:r w:rsidR="00501A8A" w:rsidRPr="00410C4E">
        <w:t xml:space="preserve"> překlady</w:t>
      </w:r>
      <w:r w:rsidR="00752C90" w:rsidRPr="00410C4E">
        <w:t>, v rozsahu:</w:t>
      </w:r>
    </w:p>
    <w:p w:rsidR="00752C90" w:rsidRPr="00410C4E" w:rsidRDefault="00752C90" w:rsidP="00752C90">
      <w:pPr>
        <w:pStyle w:val="Odstavecseseznamem"/>
        <w:numPr>
          <w:ilvl w:val="0"/>
          <w:numId w:val="16"/>
        </w:numPr>
        <w:shd w:val="clear" w:color="auto" w:fill="FFFFFF"/>
        <w:ind w:left="709" w:hanging="283"/>
        <w:jc w:val="both"/>
      </w:pPr>
      <w:r w:rsidRPr="00410C4E">
        <w:t>Cca 250 normostran</w:t>
      </w:r>
      <w:r w:rsidR="00410C4E">
        <w:t xml:space="preserve"> za rok,</w:t>
      </w:r>
      <w:r w:rsidRPr="00410C4E">
        <w:t xml:space="preserve"> překlady z nebo do angličtiny</w:t>
      </w:r>
    </w:p>
    <w:p w:rsidR="00752C90" w:rsidRPr="00410C4E" w:rsidRDefault="00752C90" w:rsidP="00752C90">
      <w:pPr>
        <w:pStyle w:val="Odstavecseseznamem"/>
        <w:numPr>
          <w:ilvl w:val="0"/>
          <w:numId w:val="16"/>
        </w:numPr>
        <w:shd w:val="clear" w:color="auto" w:fill="FFFFFF"/>
        <w:ind w:left="709" w:hanging="283"/>
        <w:jc w:val="both"/>
      </w:pPr>
      <w:r w:rsidRPr="00410C4E">
        <w:t>Cca 30 normostran</w:t>
      </w:r>
      <w:r w:rsidR="00410C4E">
        <w:t xml:space="preserve"> za rok,</w:t>
      </w:r>
      <w:r w:rsidRPr="00410C4E">
        <w:t xml:space="preserve"> z a do německého, francouzského, ruského a čínského jazyka</w:t>
      </w:r>
    </w:p>
    <w:p w:rsidR="00501A8A" w:rsidRPr="00410C4E" w:rsidRDefault="00501A8A" w:rsidP="00501A8A">
      <w:pPr>
        <w:shd w:val="clear" w:color="auto" w:fill="FFFFFF"/>
        <w:ind w:left="426" w:hanging="426"/>
        <w:jc w:val="both"/>
      </w:pPr>
    </w:p>
    <w:p w:rsidR="001A4D80" w:rsidRPr="00410C4E" w:rsidRDefault="00317F46" w:rsidP="00317F46">
      <w:pPr>
        <w:shd w:val="clear" w:color="auto" w:fill="FFFFFF"/>
        <w:jc w:val="both"/>
      </w:pPr>
      <w:r w:rsidRPr="00410C4E">
        <w:t>Pro plnění podle bodu 2.1 bude pro předávání podkladů využíván on-line systém zadavatele. Pro plnění podle bodu 2.2 budou podklady předávány v elektronické formě ve formátech Microso</w:t>
      </w:r>
      <w:r w:rsidR="00871E19">
        <w:t>ft Word, Excel, PowerPoint, PDF, spolu s vystavenou objednávkou.</w:t>
      </w:r>
    </w:p>
    <w:p w:rsidR="001A4D80" w:rsidRPr="00410C4E" w:rsidRDefault="001A4D80" w:rsidP="001A0274">
      <w:pPr>
        <w:jc w:val="both"/>
      </w:pPr>
    </w:p>
    <w:p w:rsidR="00317F46" w:rsidRPr="00185C9E" w:rsidRDefault="00317F46" w:rsidP="001A0274">
      <w:pPr>
        <w:jc w:val="both"/>
        <w:rPr>
          <w:color w:val="FF0000"/>
        </w:rPr>
      </w:pPr>
    </w:p>
    <w:p w:rsidR="00567E3E" w:rsidRPr="00567E3E" w:rsidRDefault="00567E3E" w:rsidP="00567E3E">
      <w:pPr>
        <w:jc w:val="center"/>
        <w:rPr>
          <w:b/>
        </w:rPr>
      </w:pPr>
      <w:r w:rsidRPr="00567E3E">
        <w:rPr>
          <w:b/>
        </w:rPr>
        <w:t>Článek III</w:t>
      </w:r>
      <w:r w:rsidR="004E4A64">
        <w:rPr>
          <w:b/>
        </w:rPr>
        <w:t>.</w:t>
      </w:r>
    </w:p>
    <w:p w:rsidR="00567E3E" w:rsidRDefault="000B2388" w:rsidP="00567E3E">
      <w:pPr>
        <w:jc w:val="center"/>
        <w:rPr>
          <w:b/>
        </w:rPr>
      </w:pPr>
      <w:r>
        <w:rPr>
          <w:b/>
        </w:rPr>
        <w:t>P</w:t>
      </w:r>
      <w:r w:rsidR="00567E3E" w:rsidRPr="00567E3E">
        <w:rPr>
          <w:b/>
        </w:rPr>
        <w:t>lnění</w:t>
      </w:r>
      <w:r>
        <w:rPr>
          <w:b/>
        </w:rPr>
        <w:t xml:space="preserve"> a lhůty</w:t>
      </w:r>
    </w:p>
    <w:p w:rsidR="00F63855" w:rsidRPr="00567E3E" w:rsidRDefault="00F63855" w:rsidP="00567E3E">
      <w:pPr>
        <w:jc w:val="center"/>
        <w:rPr>
          <w:b/>
        </w:rPr>
      </w:pPr>
    </w:p>
    <w:p w:rsidR="001A0274" w:rsidRPr="00410C4E" w:rsidRDefault="00567E3E" w:rsidP="00317F46">
      <w:pPr>
        <w:pStyle w:val="Odstavecseseznamem"/>
        <w:numPr>
          <w:ilvl w:val="0"/>
          <w:numId w:val="18"/>
        </w:numPr>
        <w:ind w:left="426" w:hanging="426"/>
        <w:jc w:val="both"/>
      </w:pPr>
      <w:r w:rsidRPr="00410C4E">
        <w:t>Tato smlouva se uzavírá na dobu neurčitou.</w:t>
      </w:r>
    </w:p>
    <w:p w:rsidR="00567E3E" w:rsidRPr="00410C4E" w:rsidRDefault="00567E3E" w:rsidP="00317F46">
      <w:pPr>
        <w:pStyle w:val="Odstavecseseznamem"/>
        <w:numPr>
          <w:ilvl w:val="0"/>
          <w:numId w:val="18"/>
        </w:numPr>
        <w:ind w:left="426" w:hanging="426"/>
        <w:jc w:val="both"/>
      </w:pPr>
      <w:r w:rsidRPr="00410C4E">
        <w:t xml:space="preserve">Poskytovatel je povinen zahájit plnění předmětu smlouvy </w:t>
      </w:r>
      <w:r w:rsidRPr="008B1DCD">
        <w:t xml:space="preserve">od </w:t>
      </w:r>
      <w:r w:rsidR="00C93439">
        <w:rPr>
          <w:b/>
        </w:rPr>
        <w:t>25</w:t>
      </w:r>
      <w:r w:rsidRPr="00E56851">
        <w:rPr>
          <w:b/>
        </w:rPr>
        <w:t xml:space="preserve">. </w:t>
      </w:r>
      <w:r w:rsidR="00E56851" w:rsidRPr="00E56851">
        <w:rPr>
          <w:b/>
        </w:rPr>
        <w:t>5</w:t>
      </w:r>
      <w:r w:rsidRPr="00E56851">
        <w:rPr>
          <w:b/>
        </w:rPr>
        <w:t>. 20</w:t>
      </w:r>
      <w:r w:rsidR="00E56851" w:rsidRPr="00E56851">
        <w:rPr>
          <w:b/>
        </w:rPr>
        <w:t>20</w:t>
      </w:r>
      <w:r w:rsidR="000A682B" w:rsidRPr="00410C4E">
        <w:t>.</w:t>
      </w:r>
      <w:r w:rsidRPr="00410C4E">
        <w:t xml:space="preserve"> </w:t>
      </w:r>
    </w:p>
    <w:p w:rsidR="008414E1" w:rsidRPr="00410C4E" w:rsidRDefault="000B2388" w:rsidP="00317F46">
      <w:pPr>
        <w:pStyle w:val="Odstavecseseznamem"/>
        <w:numPr>
          <w:ilvl w:val="0"/>
          <w:numId w:val="18"/>
        </w:numPr>
        <w:ind w:left="426" w:hanging="426"/>
        <w:jc w:val="both"/>
      </w:pPr>
      <w:r w:rsidRPr="00410C4E">
        <w:t>Plnění bude prováděno na základě dílčích objednávek zadavatele.</w:t>
      </w:r>
      <w:r w:rsidR="00DE7EF8" w:rsidRPr="00410C4E">
        <w:t xml:space="preserve"> Pro předávání plnění podle</w:t>
      </w:r>
      <w:r w:rsidR="00C92AB7">
        <w:t xml:space="preserve"> čl. II.</w:t>
      </w:r>
      <w:r w:rsidR="00663154">
        <w:t xml:space="preserve"> </w:t>
      </w:r>
      <w:r w:rsidR="008337C3">
        <w:t>odst.</w:t>
      </w:r>
      <w:r w:rsidR="00DE7EF8" w:rsidRPr="00410C4E">
        <w:t xml:space="preserve"> 2.1 bude využíván on-line systém zadavatele. Plnění podle</w:t>
      </w:r>
      <w:r w:rsidR="00C92AB7">
        <w:t xml:space="preserve"> čl. II.</w:t>
      </w:r>
      <w:r w:rsidR="00663154">
        <w:t xml:space="preserve"> </w:t>
      </w:r>
      <w:r w:rsidR="008337C3">
        <w:t>odst.</w:t>
      </w:r>
      <w:r w:rsidR="00DE7EF8" w:rsidRPr="00410C4E">
        <w:t xml:space="preserve"> 2.2 budou předávána v elektronické formě ve formátu Microsoft Word, Excel, PowerPoint, PDF.</w:t>
      </w:r>
    </w:p>
    <w:p w:rsidR="000B2388" w:rsidRPr="00410C4E" w:rsidRDefault="008414E1" w:rsidP="00317F46">
      <w:pPr>
        <w:pStyle w:val="Odstavecseseznamem"/>
        <w:numPr>
          <w:ilvl w:val="0"/>
          <w:numId w:val="18"/>
        </w:numPr>
        <w:ind w:left="426" w:hanging="426"/>
        <w:jc w:val="both"/>
      </w:pPr>
      <w:r w:rsidRPr="00410C4E">
        <w:t xml:space="preserve">Pro plnění podle </w:t>
      </w:r>
      <w:r w:rsidR="00B20073">
        <w:t xml:space="preserve">čl. II. </w:t>
      </w:r>
      <w:r w:rsidR="008337C3">
        <w:t>odst.</w:t>
      </w:r>
      <w:r w:rsidRPr="00410C4E">
        <w:t xml:space="preserve"> 2.1 budou podklady předávány minimálně týden před lhůtou pro dodání (každý týden v úterý). </w:t>
      </w:r>
      <w:r w:rsidR="008E1235" w:rsidRPr="00410C4E">
        <w:t>Pro plnění</w:t>
      </w:r>
      <w:r w:rsidR="00B20073">
        <w:t xml:space="preserve"> podle čl. II.</w:t>
      </w:r>
      <w:r w:rsidR="008E1235" w:rsidRPr="00410C4E">
        <w:t xml:space="preserve"> </w:t>
      </w:r>
      <w:r w:rsidR="008337C3">
        <w:t>odst.</w:t>
      </w:r>
      <w:r w:rsidR="008E1235" w:rsidRPr="00410C4E">
        <w:t xml:space="preserve"> 2.2 je stan</w:t>
      </w:r>
      <w:r w:rsidR="00663154">
        <w:t>dardní dodací lhůta 3 pracovní dny</w:t>
      </w:r>
      <w:r w:rsidR="008E1235" w:rsidRPr="00410C4E">
        <w:t xml:space="preserve"> pro překlady v rozsahu do 10 normostran, u rozsahu nad 10 normostran bude dodací lhůta stanovena dohodou.</w:t>
      </w:r>
      <w:r w:rsidR="00DE7EF8" w:rsidRPr="00410C4E">
        <w:t xml:space="preserve"> </w:t>
      </w:r>
    </w:p>
    <w:p w:rsidR="00567E3E" w:rsidRPr="00410C4E" w:rsidRDefault="00567E3E" w:rsidP="00567E3E">
      <w:pPr>
        <w:jc w:val="both"/>
      </w:pPr>
    </w:p>
    <w:p w:rsidR="00613114" w:rsidRPr="00410C4E" w:rsidRDefault="00613114" w:rsidP="00567E3E">
      <w:pPr>
        <w:jc w:val="both"/>
      </w:pPr>
    </w:p>
    <w:p w:rsidR="00567E3E" w:rsidRPr="00567E3E" w:rsidRDefault="00567E3E" w:rsidP="00567E3E">
      <w:pPr>
        <w:jc w:val="center"/>
        <w:rPr>
          <w:b/>
        </w:rPr>
      </w:pPr>
      <w:r w:rsidRPr="00567E3E">
        <w:rPr>
          <w:b/>
        </w:rPr>
        <w:t>Článek IV</w:t>
      </w:r>
      <w:r w:rsidR="004E4A64">
        <w:rPr>
          <w:b/>
        </w:rPr>
        <w:t>.</w:t>
      </w:r>
    </w:p>
    <w:p w:rsidR="00567E3E" w:rsidRDefault="00567E3E" w:rsidP="00567E3E">
      <w:pPr>
        <w:jc w:val="center"/>
        <w:rPr>
          <w:b/>
        </w:rPr>
      </w:pPr>
      <w:r w:rsidRPr="00567E3E">
        <w:rPr>
          <w:b/>
        </w:rPr>
        <w:t>Cena</w:t>
      </w:r>
    </w:p>
    <w:p w:rsidR="00F63855" w:rsidRDefault="00F63855" w:rsidP="00567E3E">
      <w:pPr>
        <w:jc w:val="center"/>
        <w:rPr>
          <w:b/>
        </w:rPr>
      </w:pPr>
    </w:p>
    <w:p w:rsidR="00567E3E" w:rsidRPr="004A686D" w:rsidRDefault="00F11BC9" w:rsidP="00B200B3">
      <w:pPr>
        <w:pStyle w:val="Odstavecseseznamem"/>
        <w:numPr>
          <w:ilvl w:val="0"/>
          <w:numId w:val="10"/>
        </w:numPr>
        <w:ind w:left="426" w:hanging="426"/>
        <w:jc w:val="both"/>
      </w:pPr>
      <w:r w:rsidRPr="004A686D">
        <w:t>Celková c</w:t>
      </w:r>
      <w:r w:rsidR="00567E3E" w:rsidRPr="004A686D">
        <w:t xml:space="preserve">ena za jednu </w:t>
      </w:r>
      <w:r w:rsidR="00DE7EF8" w:rsidRPr="004A686D">
        <w:t>normostranu</w:t>
      </w:r>
      <w:r w:rsidR="00567E3E" w:rsidRPr="004A686D">
        <w:t xml:space="preserve"> činí </w:t>
      </w:r>
      <w:r w:rsidR="002B6B6E" w:rsidRPr="002B6B6E">
        <w:rPr>
          <w:rFonts w:eastAsiaTheme="minorHAnsi"/>
          <w:b/>
          <w:bCs/>
          <w:lang w:eastAsia="en-US"/>
        </w:rPr>
        <w:t>267</w:t>
      </w:r>
      <w:r w:rsidR="007B6549" w:rsidRPr="002B6B6E">
        <w:rPr>
          <w:b/>
          <w:bCs/>
          <w:color w:val="000000"/>
        </w:rPr>
        <w:t xml:space="preserve"> </w:t>
      </w:r>
      <w:r w:rsidR="007B6549" w:rsidRPr="002B6B6E">
        <w:rPr>
          <w:b/>
        </w:rPr>
        <w:t>Kč</w:t>
      </w:r>
      <w:r w:rsidR="00EC5649" w:rsidRPr="002B6B6E">
        <w:rPr>
          <w:b/>
        </w:rPr>
        <w:t xml:space="preserve"> </w:t>
      </w:r>
      <w:r w:rsidR="003F0D1B" w:rsidRPr="00972B46">
        <w:t>bez DPH</w:t>
      </w:r>
      <w:r w:rsidR="003F0D1B" w:rsidRPr="004A686D">
        <w:t>.</w:t>
      </w:r>
    </w:p>
    <w:p w:rsidR="00033F25" w:rsidRPr="004A686D" w:rsidRDefault="00033F25" w:rsidP="00B200B3">
      <w:pPr>
        <w:pStyle w:val="Odstavecseseznamem"/>
        <w:numPr>
          <w:ilvl w:val="0"/>
          <w:numId w:val="10"/>
        </w:numPr>
        <w:ind w:left="426" w:hanging="426"/>
        <w:jc w:val="both"/>
      </w:pPr>
      <w:r w:rsidRPr="004A686D">
        <w:t>Cenu plnění je možno zvýšit po dohodě s </w:t>
      </w:r>
      <w:proofErr w:type="gramStart"/>
      <w:r w:rsidRPr="004A686D">
        <w:t>objednatelem</w:t>
      </w:r>
      <w:proofErr w:type="gramEnd"/>
      <w:r w:rsidRPr="004A686D">
        <w:t xml:space="preserve"> pokud meziroční míra inflace (index spotřebitelských cen vydaný ČSÚ) bude vyšší než 2,5%, přičemž je možné provést zvýšení maximálně o 5% dohodnuté ceny plnění. Toto zvýšení ceny plnění je možné provést maximálně 1x za půl rok, nejdříve však jeden rok od uzavření smlouvy.</w:t>
      </w:r>
    </w:p>
    <w:p w:rsidR="00F11BC9" w:rsidRDefault="00F11BC9" w:rsidP="00567E3E"/>
    <w:p w:rsidR="00EB67BA" w:rsidRDefault="00EB67BA" w:rsidP="00567E3E"/>
    <w:p w:rsidR="00613114" w:rsidRDefault="00613114" w:rsidP="00567E3E"/>
    <w:p w:rsidR="009D5A6A" w:rsidRPr="009D5A6A" w:rsidRDefault="004E4A64" w:rsidP="009D5A6A">
      <w:pPr>
        <w:jc w:val="center"/>
        <w:rPr>
          <w:b/>
        </w:rPr>
      </w:pPr>
      <w:r>
        <w:rPr>
          <w:b/>
        </w:rPr>
        <w:lastRenderedPageBreak/>
        <w:t>Článek V.</w:t>
      </w:r>
    </w:p>
    <w:p w:rsidR="009D5A6A" w:rsidRPr="009D5A6A" w:rsidRDefault="009D5A6A" w:rsidP="009D5A6A">
      <w:pPr>
        <w:jc w:val="center"/>
        <w:rPr>
          <w:b/>
        </w:rPr>
      </w:pPr>
      <w:r w:rsidRPr="009D5A6A">
        <w:rPr>
          <w:b/>
        </w:rPr>
        <w:t>Platební a fakturační podmínky</w:t>
      </w:r>
    </w:p>
    <w:p w:rsidR="009D5A6A" w:rsidRPr="009D5A6A" w:rsidRDefault="009D5A6A" w:rsidP="009D5A6A">
      <w:pPr>
        <w:jc w:val="center"/>
        <w:rPr>
          <w:b/>
        </w:rPr>
      </w:pPr>
    </w:p>
    <w:p w:rsidR="00F11BC9" w:rsidRDefault="00F11BC9" w:rsidP="00A415C8">
      <w:pPr>
        <w:pStyle w:val="Odstavecseseznamem"/>
        <w:numPr>
          <w:ilvl w:val="0"/>
          <w:numId w:val="22"/>
        </w:numPr>
        <w:ind w:left="426" w:hanging="426"/>
        <w:jc w:val="both"/>
      </w:pPr>
      <w:r>
        <w:t>Objednatel nebude poskytovat poskytovateli žádné zálohy na cenu plnění předmětu této smlouvy v jakékoliv formě.</w:t>
      </w:r>
    </w:p>
    <w:p w:rsidR="00D604CB" w:rsidRDefault="00F11BC9" w:rsidP="00A415C8">
      <w:pPr>
        <w:pStyle w:val="Odstavecseseznamem"/>
        <w:numPr>
          <w:ilvl w:val="0"/>
          <w:numId w:val="22"/>
        </w:numPr>
        <w:ind w:left="426" w:hanging="426"/>
        <w:jc w:val="both"/>
      </w:pPr>
      <w:r>
        <w:t xml:space="preserve">Cenu za plnění předmětu smlouvy </w:t>
      </w:r>
      <w:r w:rsidR="004A686D">
        <w:t>dle</w:t>
      </w:r>
      <w:r w:rsidR="00293D0C">
        <w:t xml:space="preserve"> čl. II.</w:t>
      </w:r>
      <w:r w:rsidR="00970ACE">
        <w:t xml:space="preserve"> </w:t>
      </w:r>
      <w:r w:rsidR="00B54084">
        <w:t>odst.</w:t>
      </w:r>
      <w:r w:rsidR="004A686D">
        <w:t xml:space="preserve"> 2.1 </w:t>
      </w:r>
      <w:r>
        <w:t xml:space="preserve">objednatel uhradí vždy zpětně za každý kalendářní měsíc, v němž byly služby poskytovány, na základě faktury řádně vystavené poskytovatelem. </w:t>
      </w:r>
      <w:r w:rsidR="00AC72D1">
        <w:t xml:space="preserve">Cenu za plnění předmětu smlouvy dle </w:t>
      </w:r>
      <w:r w:rsidR="00970ACE">
        <w:t xml:space="preserve">čl. II. </w:t>
      </w:r>
      <w:r w:rsidR="00B54084">
        <w:t>odst.</w:t>
      </w:r>
      <w:r w:rsidR="00AC72D1">
        <w:t xml:space="preserve"> 2.2 objednatel uhradí po předání plnění</w:t>
      </w:r>
      <w:r w:rsidR="006F2E01">
        <w:t>,</w:t>
      </w:r>
      <w:r w:rsidR="00AC72D1">
        <w:t xml:space="preserve"> na základě faktury řádně vystavené poskytovatelem v návaznosti na příslušnou objednávku. </w:t>
      </w:r>
      <w:r>
        <w:t>Poskytovatel je oprávněn zaslat fakturu včetně všech příloh za příslušný měsíc poštou i elektronicky</w:t>
      </w:r>
      <w:r w:rsidR="00D604CB">
        <w:t xml:space="preserve"> (s</w:t>
      </w:r>
      <w:r w:rsidR="00D604CB" w:rsidRPr="00D604CB">
        <w:t xml:space="preserve"> použitím elektronického podpisu nebo datové schránky</w:t>
      </w:r>
      <w:r w:rsidR="00D604CB">
        <w:t>).</w:t>
      </w:r>
    </w:p>
    <w:p w:rsidR="00C90E23" w:rsidRDefault="00F11BC9" w:rsidP="00A415C8">
      <w:pPr>
        <w:pStyle w:val="Odstavecseseznamem"/>
        <w:numPr>
          <w:ilvl w:val="0"/>
          <w:numId w:val="22"/>
        </w:numPr>
        <w:ind w:left="426" w:hanging="426"/>
        <w:jc w:val="both"/>
      </w:pPr>
      <w:r>
        <w:t>Faktura vystavená poskytovatelem musí obsahovat vedle náležitostí daňového dokladu stanovených právními předpisy rovněž evidenční číslo této smlouvy</w:t>
      </w:r>
      <w:r w:rsidR="006A05B5">
        <w:t xml:space="preserve"> nebo vystavené objednávky</w:t>
      </w:r>
      <w:r>
        <w:t>. V případě, že faktura nebude obsahovat stanovené náležitosti</w:t>
      </w:r>
      <w:r w:rsidR="00F80C23">
        <w:t xml:space="preserve"> nebo bude obsahovat chybné údaje</w:t>
      </w:r>
      <w:r>
        <w:t>, je objednatel oprávněn zaslat ji ve lhůtě splatnosti zpět poskytovateli k doplnění či opravě, aniž se tím dostane do prodlení s jejím zaplacením; lhůta splatnosti počíná běžet znovu ode dne doručení bezvadné faktury objednateli.</w:t>
      </w:r>
    </w:p>
    <w:p w:rsidR="00F11BC9" w:rsidRDefault="00F11BC9" w:rsidP="00A415C8">
      <w:pPr>
        <w:pStyle w:val="Odstavecseseznamem"/>
        <w:numPr>
          <w:ilvl w:val="0"/>
          <w:numId w:val="22"/>
        </w:numPr>
        <w:ind w:left="426" w:hanging="426"/>
        <w:jc w:val="both"/>
      </w:pPr>
      <w:r>
        <w:t xml:space="preserve">V případě, že poskytovatel bude v prodlení s plněním jakékoliv povinnosti podle této smlouvy, není </w:t>
      </w:r>
      <w:r w:rsidR="00450DA5">
        <w:t>o</w:t>
      </w:r>
      <w:r>
        <w:t xml:space="preserve">bjednatel povinen provést jakoukoliv platbu podle tohoto článku smlouvy, dokud </w:t>
      </w:r>
      <w:r w:rsidR="00450DA5">
        <w:t>p</w:t>
      </w:r>
      <w:r>
        <w:t>oskytovatel neodstraní vady či nedostatky plnění předmětu smlouvy.</w:t>
      </w:r>
    </w:p>
    <w:p w:rsidR="00F11BC9" w:rsidRDefault="00F11BC9" w:rsidP="00A415C8">
      <w:pPr>
        <w:pStyle w:val="Odstavecseseznamem"/>
        <w:numPr>
          <w:ilvl w:val="0"/>
          <w:numId w:val="22"/>
        </w:numPr>
        <w:ind w:left="426" w:hanging="426"/>
        <w:jc w:val="both"/>
      </w:pPr>
      <w:r>
        <w:t xml:space="preserve">Smluvní strany se dohodly na termínu splatnosti faktury </w:t>
      </w:r>
      <w:r w:rsidR="00450DA5">
        <w:t>21</w:t>
      </w:r>
      <w:r>
        <w:t xml:space="preserve"> kalendářních dnů ode dne jejího doručení </w:t>
      </w:r>
      <w:r w:rsidR="00450DA5">
        <w:t>o</w:t>
      </w:r>
      <w:r>
        <w:t>bjednateli.</w:t>
      </w:r>
    </w:p>
    <w:p w:rsidR="00825F31" w:rsidRDefault="00825F31" w:rsidP="00F11BC9">
      <w:pPr>
        <w:jc w:val="both"/>
      </w:pPr>
    </w:p>
    <w:p w:rsidR="003264FA" w:rsidRDefault="003264FA" w:rsidP="00F11BC9">
      <w:pPr>
        <w:jc w:val="both"/>
      </w:pPr>
    </w:p>
    <w:p w:rsidR="00491501" w:rsidRPr="00491501" w:rsidRDefault="00491501" w:rsidP="00491501">
      <w:pPr>
        <w:jc w:val="center"/>
        <w:rPr>
          <w:b/>
        </w:rPr>
      </w:pPr>
      <w:r w:rsidRPr="00491501">
        <w:rPr>
          <w:b/>
        </w:rPr>
        <w:t>Článek VI.</w:t>
      </w:r>
    </w:p>
    <w:p w:rsidR="00491501" w:rsidRPr="005E0967" w:rsidRDefault="005E0967" w:rsidP="005E0967">
      <w:pPr>
        <w:jc w:val="center"/>
        <w:rPr>
          <w:b/>
        </w:rPr>
      </w:pPr>
      <w:r w:rsidRPr="005E0967">
        <w:rPr>
          <w:b/>
        </w:rPr>
        <w:t>Povinnosti smluvních stran a sankce za jejich porušení</w:t>
      </w:r>
    </w:p>
    <w:p w:rsidR="005E0967" w:rsidRDefault="005E0967" w:rsidP="005E0967">
      <w:pPr>
        <w:pStyle w:val="Odstavecseseznamem"/>
        <w:ind w:left="426"/>
        <w:jc w:val="both"/>
      </w:pPr>
    </w:p>
    <w:p w:rsidR="005E0967" w:rsidRPr="005E0967" w:rsidRDefault="005E0967" w:rsidP="005E0967">
      <w:pPr>
        <w:pStyle w:val="Odstavecseseznamem"/>
        <w:numPr>
          <w:ilvl w:val="0"/>
          <w:numId w:val="25"/>
        </w:numPr>
        <w:ind w:left="426" w:hanging="426"/>
        <w:jc w:val="both"/>
      </w:pPr>
      <w:r>
        <w:t>Poskyto</w:t>
      </w:r>
      <w:r w:rsidRPr="005E0967">
        <w:t>vatel se zavazuje poskytovat veškeré služby s odbornou péčí a v náležité jazykové kvalitě, ve shodné grafické úpravě s překládaným dokumentem a v požadovaném termínu.</w:t>
      </w:r>
    </w:p>
    <w:p w:rsidR="005E0967" w:rsidRPr="005E0967" w:rsidRDefault="005E0967" w:rsidP="005E0967">
      <w:pPr>
        <w:pStyle w:val="Odstavecseseznamem"/>
        <w:numPr>
          <w:ilvl w:val="0"/>
          <w:numId w:val="25"/>
        </w:numPr>
        <w:ind w:left="426" w:hanging="426"/>
        <w:jc w:val="both"/>
      </w:pPr>
      <w:r>
        <w:t>Poskyto</w:t>
      </w:r>
      <w:r w:rsidRPr="005E0967">
        <w:t xml:space="preserve">vatel se zavazuje informovat objednatele o možných komplikacích s konkrétní objednávkou včas a bez zbytečného odkladu, zejména při řešení odborných termínů a grafické úpravy. V případě nevhodných pokynů objednatele je </w:t>
      </w:r>
      <w:r>
        <w:t>poskyto</w:t>
      </w:r>
      <w:r w:rsidRPr="005E0967">
        <w:t xml:space="preserve">vatel povinen na nevhodnost těchto pokynů objednatele písemně upozornit, v opačném případě nese </w:t>
      </w:r>
      <w:r>
        <w:t>poskyto</w:t>
      </w:r>
      <w:r w:rsidRPr="005E0967">
        <w:t xml:space="preserve">vatel zejména odpovědnost za vady a za škodu, které v důsledku nevhodných pokynů objednatele objednateli, nebo </w:t>
      </w:r>
      <w:r>
        <w:t>poskyto</w:t>
      </w:r>
      <w:r w:rsidRPr="005E0967">
        <w:t>vatel</w:t>
      </w:r>
      <w:r>
        <w:t>i</w:t>
      </w:r>
      <w:r w:rsidRPr="005E0967">
        <w:t xml:space="preserve"> vznikly. </w:t>
      </w:r>
    </w:p>
    <w:p w:rsidR="005E0967" w:rsidRPr="005E0967" w:rsidRDefault="005E0967" w:rsidP="005E0967">
      <w:pPr>
        <w:pStyle w:val="Odstavecseseznamem"/>
        <w:numPr>
          <w:ilvl w:val="0"/>
          <w:numId w:val="25"/>
        </w:numPr>
        <w:ind w:left="426" w:hanging="426"/>
        <w:jc w:val="both"/>
      </w:pPr>
      <w:r w:rsidRPr="005E0967">
        <w:t xml:space="preserve">V případě prodlení </w:t>
      </w:r>
      <w:r w:rsidR="008C5D2C">
        <w:t>poskyto</w:t>
      </w:r>
      <w:r w:rsidRPr="005E0967">
        <w:t xml:space="preserve">vatele s plněním předmětu dílčí objednávky ve stanoveném termínu má objednatel nárok na smluvní pokutu ve výši 0,5 % z celkové ceny dílčí objednávky, a to za </w:t>
      </w:r>
      <w:proofErr w:type="gramStart"/>
      <w:r w:rsidRPr="005E0967">
        <w:t>každý</w:t>
      </w:r>
      <w:proofErr w:type="gramEnd"/>
      <w:r w:rsidRPr="005E0967">
        <w:t xml:space="preserve"> byť i započatý den prodlení až do doby zjednání nápravy řádným splněním dílčí objednávky. </w:t>
      </w:r>
    </w:p>
    <w:p w:rsidR="00C53B40" w:rsidRDefault="00C53B40" w:rsidP="00C53B40">
      <w:pPr>
        <w:pStyle w:val="Odstavecseseznamem"/>
        <w:numPr>
          <w:ilvl w:val="0"/>
          <w:numId w:val="25"/>
        </w:numPr>
        <w:ind w:left="426" w:hanging="426"/>
        <w:jc w:val="both"/>
      </w:pPr>
      <w:r w:rsidRPr="00C53B40">
        <w:t xml:space="preserve">V případě prodlení objednatele s úhradou fakturované částky má </w:t>
      </w:r>
      <w:r w:rsidR="00817FAD">
        <w:t>poskyto</w:t>
      </w:r>
      <w:r w:rsidRPr="00C53B40">
        <w:t xml:space="preserve">vatel nárok na úrok z prodlení v zákonné výši. </w:t>
      </w:r>
    </w:p>
    <w:p w:rsidR="006B6159" w:rsidRPr="006B6159" w:rsidRDefault="006B6159" w:rsidP="006B6159">
      <w:pPr>
        <w:pStyle w:val="Odstavecseseznamem"/>
        <w:numPr>
          <w:ilvl w:val="0"/>
          <w:numId w:val="25"/>
        </w:numPr>
        <w:ind w:left="426" w:hanging="426"/>
        <w:jc w:val="both"/>
      </w:pPr>
      <w:r w:rsidRPr="006B6159">
        <w:t xml:space="preserve">Smluvní pokuta a úrok z prodlení jsou splatné do </w:t>
      </w:r>
      <w:r w:rsidR="00215162">
        <w:t>deseti</w:t>
      </w:r>
      <w:r w:rsidRPr="006B6159">
        <w:t xml:space="preserve"> kalendářních dnů ode dne jejich uplatnění. </w:t>
      </w:r>
    </w:p>
    <w:p w:rsidR="00FB1D3F" w:rsidRDefault="00FB1D3F" w:rsidP="00FB1D3F">
      <w:pPr>
        <w:pStyle w:val="Odstavecseseznamem"/>
        <w:numPr>
          <w:ilvl w:val="0"/>
          <w:numId w:val="25"/>
        </w:numPr>
        <w:ind w:left="426" w:hanging="426"/>
        <w:jc w:val="both"/>
      </w:pPr>
      <w:r w:rsidRPr="00FB1D3F">
        <w:t xml:space="preserve">Zaplacením smluvních sankcí není dotčena povinnost </w:t>
      </w:r>
      <w:r w:rsidR="006C64F6">
        <w:t>poskyto</w:t>
      </w:r>
      <w:r w:rsidRPr="00FB1D3F">
        <w:t xml:space="preserve">vatele dále řádně plnit předmět smlouvy. </w:t>
      </w:r>
    </w:p>
    <w:p w:rsidR="005D0652" w:rsidRPr="00FB1D3F" w:rsidRDefault="005D0652" w:rsidP="00FB1D3F">
      <w:pPr>
        <w:pStyle w:val="Odstavecseseznamem"/>
        <w:numPr>
          <w:ilvl w:val="0"/>
          <w:numId w:val="25"/>
        </w:numPr>
        <w:ind w:left="426" w:hanging="426"/>
        <w:jc w:val="both"/>
      </w:pPr>
      <w:r>
        <w:t xml:space="preserve">Zaplacením smluvní pokuty není dotčeno </w:t>
      </w:r>
      <w:r w:rsidR="008D69CF">
        <w:t>p</w:t>
      </w:r>
      <w:r>
        <w:t>rávo na náhradu škody v plném rozsahu. Smluvní pokuta se na náhradu škody nezapočítává.</w:t>
      </w:r>
    </w:p>
    <w:p w:rsidR="006B6159" w:rsidRDefault="006B6159" w:rsidP="00F11BC9">
      <w:pPr>
        <w:jc w:val="both"/>
      </w:pPr>
    </w:p>
    <w:p w:rsidR="00F63855" w:rsidRDefault="00F63855" w:rsidP="00F63855">
      <w:pPr>
        <w:jc w:val="center"/>
      </w:pPr>
      <w:r w:rsidRPr="00450DA5">
        <w:rPr>
          <w:b/>
        </w:rPr>
        <w:lastRenderedPageBreak/>
        <w:t>Článek VI</w:t>
      </w:r>
      <w:r>
        <w:rPr>
          <w:b/>
        </w:rPr>
        <w:t>I</w:t>
      </w:r>
      <w:r w:rsidRPr="00450DA5">
        <w:rPr>
          <w:b/>
        </w:rPr>
        <w:t>.</w:t>
      </w:r>
    </w:p>
    <w:p w:rsidR="00F63855" w:rsidRDefault="00F63855" w:rsidP="00F63855">
      <w:pPr>
        <w:jc w:val="center"/>
        <w:rPr>
          <w:b/>
        </w:rPr>
      </w:pPr>
      <w:r w:rsidRPr="00F63855">
        <w:rPr>
          <w:b/>
        </w:rPr>
        <w:t>Záruky za jakost služeb a odpovědnost za vady</w:t>
      </w:r>
    </w:p>
    <w:p w:rsidR="00F63855" w:rsidRPr="00F63855" w:rsidRDefault="00F63855" w:rsidP="00F63855">
      <w:pPr>
        <w:jc w:val="center"/>
        <w:rPr>
          <w:b/>
        </w:rPr>
      </w:pPr>
    </w:p>
    <w:p w:rsidR="00F63855" w:rsidRDefault="00F63855" w:rsidP="00F63855">
      <w:pPr>
        <w:pStyle w:val="Odstavecseseznamem"/>
        <w:numPr>
          <w:ilvl w:val="0"/>
          <w:numId w:val="26"/>
        </w:numPr>
        <w:ind w:left="426" w:hanging="426"/>
        <w:jc w:val="both"/>
      </w:pPr>
      <w:r w:rsidRPr="00F63855">
        <w:t>Poskytovatel se zavazuje, že veškeré služby bude objednateli poskytovat řádně, včas a v náležité dohodnuté kvalitě po celou dobu trvání této smlouvy, dle podmínek této smlouvy, zadávacích podmínek a nabídky poskytovatele.</w:t>
      </w:r>
    </w:p>
    <w:p w:rsidR="00F63855" w:rsidRPr="00F63855" w:rsidRDefault="00F63855" w:rsidP="00F63855">
      <w:pPr>
        <w:pStyle w:val="Odstavecseseznamem"/>
        <w:numPr>
          <w:ilvl w:val="0"/>
          <w:numId w:val="26"/>
        </w:numPr>
        <w:ind w:left="426" w:hanging="426"/>
        <w:jc w:val="both"/>
      </w:pPr>
      <w:r w:rsidRPr="00F63855">
        <w:t xml:space="preserve">Objednatel považuje za bezvadný takový překlad, který má odbornou úroveň odpovídající charakteru překládaného textu, ve kterém je správně užita odborná terminologie, v textu jsou správně uvedeny odkazy, použita správná stylistika, zachována plynulost přeloženého textu, zachován správný slovosled ve větě, zachována přesnost překladu, respektována gramatická pravidla a větná skladba jak cizího, tak českého jazyka, nepřimýšlena slova, neuváděn nejednoznačný překlad, neuváděna nevhodná slovní spojení a interpunkce je užita odpovídajícím způsobem. Zároveň musí celkový charakter přeloženého textu odpovídat politice a vystupování objednatele navenek. </w:t>
      </w:r>
    </w:p>
    <w:p w:rsidR="009C05CD" w:rsidRPr="009C05CD" w:rsidRDefault="009C05CD" w:rsidP="009C05CD">
      <w:pPr>
        <w:pStyle w:val="Odstavecseseznamem"/>
        <w:numPr>
          <w:ilvl w:val="0"/>
          <w:numId w:val="26"/>
        </w:numPr>
        <w:ind w:left="426" w:hanging="426"/>
        <w:jc w:val="both"/>
      </w:pPr>
      <w:r w:rsidRPr="009C05CD">
        <w:t xml:space="preserve">Pokud překlad nebude splňovat požadavky objednatele, nebo nebude proveden v souladu s odst. 2 tohoto článku, vrátí objednatel jednotlivá plnění dodavateli k opravě. V případě uplatnění reklamace je objednatel oprávněn po dodavateli požadovat slevu z celkové ceny dílčí objednávky až do výše 50 %. Reklamace bude dodavatelem provedena nejpozději do poloviny počtu pracovních dní nebo hodin uvedených v původní objednávce, přičemž tato doba se počítá od okamžiku vrácení překladu dodavateli k opravě. V případě nesplnění této lhůty nastupují podmínky dle čl. VI. odst. </w:t>
      </w:r>
      <w:r w:rsidR="005D2678">
        <w:t>3</w:t>
      </w:r>
      <w:r w:rsidRPr="009C05CD">
        <w:t xml:space="preserve"> této smlouvy. </w:t>
      </w:r>
    </w:p>
    <w:p w:rsidR="00F63855" w:rsidRDefault="00F63855" w:rsidP="00F11BC9">
      <w:pPr>
        <w:jc w:val="both"/>
      </w:pPr>
    </w:p>
    <w:p w:rsidR="00F63855" w:rsidRDefault="00F63855" w:rsidP="00F11BC9">
      <w:pPr>
        <w:jc w:val="both"/>
      </w:pPr>
    </w:p>
    <w:p w:rsidR="00450DA5" w:rsidRPr="00450DA5" w:rsidRDefault="00450DA5" w:rsidP="00450DA5">
      <w:pPr>
        <w:jc w:val="center"/>
        <w:rPr>
          <w:b/>
        </w:rPr>
      </w:pPr>
      <w:r w:rsidRPr="00450DA5">
        <w:rPr>
          <w:b/>
        </w:rPr>
        <w:t>Článek VI</w:t>
      </w:r>
      <w:r w:rsidR="00F63855">
        <w:rPr>
          <w:b/>
        </w:rPr>
        <w:t>I</w:t>
      </w:r>
      <w:r w:rsidR="00491501">
        <w:rPr>
          <w:b/>
        </w:rPr>
        <w:t>I</w:t>
      </w:r>
      <w:r w:rsidRPr="00450DA5">
        <w:rPr>
          <w:b/>
        </w:rPr>
        <w:t>.</w:t>
      </w:r>
    </w:p>
    <w:p w:rsidR="00450DA5" w:rsidRPr="00450DA5" w:rsidRDefault="00450DA5" w:rsidP="00450DA5">
      <w:pPr>
        <w:jc w:val="center"/>
        <w:rPr>
          <w:b/>
        </w:rPr>
      </w:pPr>
      <w:r w:rsidRPr="00450DA5">
        <w:rPr>
          <w:b/>
        </w:rPr>
        <w:t>Další ujednání</w:t>
      </w:r>
    </w:p>
    <w:p w:rsidR="00450DA5" w:rsidRDefault="00450DA5" w:rsidP="00F11BC9">
      <w:pPr>
        <w:jc w:val="both"/>
      </w:pPr>
    </w:p>
    <w:p w:rsidR="00622A8C" w:rsidRPr="005D1522" w:rsidRDefault="00AC2B01" w:rsidP="00CE6A1B">
      <w:pPr>
        <w:pStyle w:val="Odstavecseseznamem"/>
        <w:numPr>
          <w:ilvl w:val="0"/>
          <w:numId w:val="11"/>
        </w:numPr>
        <w:ind w:left="426" w:hanging="426"/>
        <w:jc w:val="both"/>
      </w:pPr>
      <w:r>
        <w:t>Poskyto</w:t>
      </w:r>
      <w:r w:rsidR="00461208" w:rsidRPr="005D1522">
        <w:t xml:space="preserve">vatel musí pro vyjmenované jazyky disponovat </w:t>
      </w:r>
      <w:r w:rsidR="00752C2E">
        <w:t>překladateli</w:t>
      </w:r>
      <w:r w:rsidR="00752C2E" w:rsidRPr="005D1522">
        <w:t>, kteří mají vysokoškolské vzdělání</w:t>
      </w:r>
      <w:r w:rsidR="00752C2E">
        <w:t>. Č</w:t>
      </w:r>
      <w:r w:rsidR="00752C2E" w:rsidRPr="005D1522">
        <w:t>eskými</w:t>
      </w:r>
      <w:r w:rsidR="00215162">
        <w:t xml:space="preserve"> překladateli</w:t>
      </w:r>
      <w:r w:rsidR="00752C2E">
        <w:t>,</w:t>
      </w:r>
      <w:r w:rsidR="00461208" w:rsidRPr="005D1522">
        <w:t xml:space="preserve"> případně rodilými nebo bilingvními mluvčími. </w:t>
      </w:r>
      <w:r w:rsidR="00CE6A1B" w:rsidRPr="005D1522">
        <w:t xml:space="preserve">Pro plnění podle </w:t>
      </w:r>
      <w:r w:rsidR="00637238">
        <w:t xml:space="preserve">čl. II. </w:t>
      </w:r>
      <w:r w:rsidR="00663154">
        <w:t>bod</w:t>
      </w:r>
      <w:r w:rsidR="00CE6A1B" w:rsidRPr="005D1522">
        <w:t xml:space="preserve"> 2.1 je požadováno vysokoškolské vzdělání technického zaměření. </w:t>
      </w:r>
    </w:p>
    <w:p w:rsidR="00450DA5" w:rsidRDefault="00622A8C" w:rsidP="00CE6A1B">
      <w:pPr>
        <w:pStyle w:val="Odstavecseseznamem"/>
        <w:numPr>
          <w:ilvl w:val="0"/>
          <w:numId w:val="11"/>
        </w:numPr>
        <w:ind w:left="426" w:hanging="426"/>
        <w:jc w:val="both"/>
      </w:pPr>
      <w:r w:rsidRPr="005D1522">
        <w:t>Poskytovatel se zavazuje před zahájením plnění předmětu smlouvy objednateli předat seznam členů realizačního týmu a strukturované životopisy jednotlivých členů, včetně příloh. Přílohou životopisů musí být kopie požadovaných osvědčení, diplomů či certifikátů s tím, že pokud jsou tyto dokumenty v jiném jazyce než českém nebo slovenském, bude přiložen i překlad do českého jazyka (překlad nemusí být úředně ověřený; za správnost překladu ve vztahu k zadavateli odpovídá poskytovatel).</w:t>
      </w:r>
    </w:p>
    <w:p w:rsidR="006D63F0" w:rsidRPr="006D63F0" w:rsidRDefault="00DB6E12" w:rsidP="006D63F0">
      <w:pPr>
        <w:pStyle w:val="Odstavecseseznamem"/>
        <w:numPr>
          <w:ilvl w:val="0"/>
          <w:numId w:val="11"/>
        </w:numPr>
        <w:ind w:left="426" w:hanging="426"/>
        <w:jc w:val="both"/>
      </w:pPr>
      <w:r w:rsidRPr="006D63F0">
        <w:t xml:space="preserve">Kontaktní osoby zadavatele jsou </w:t>
      </w:r>
      <w:r w:rsidR="003C2DA7">
        <w:t>XXXXXXXXXX</w:t>
      </w:r>
      <w:r w:rsidRPr="006D63F0">
        <w:t xml:space="preserve">, </w:t>
      </w:r>
      <w:r w:rsidR="003C2DA7">
        <w:t>XXXXXXXXXX</w:t>
      </w:r>
      <w:r w:rsidRPr="006D63F0">
        <w:t xml:space="preserve">@upv.cz, </w:t>
      </w:r>
      <w:r w:rsidR="003C2DA7">
        <w:t>XXXXXXXXXX</w:t>
      </w:r>
      <w:r w:rsidR="003C2DA7" w:rsidRPr="006D63F0">
        <w:t xml:space="preserve"> </w:t>
      </w:r>
      <w:r w:rsidRPr="006D63F0">
        <w:t xml:space="preserve">a </w:t>
      </w:r>
      <w:r w:rsidR="003C2DA7">
        <w:t>XXXXXXXXXX</w:t>
      </w:r>
      <w:r w:rsidRPr="006D63F0">
        <w:t xml:space="preserve">, </w:t>
      </w:r>
      <w:r w:rsidR="003C2DA7">
        <w:t>XXXXXXXXXX</w:t>
      </w:r>
      <w:r w:rsidRPr="006D63F0">
        <w:t xml:space="preserve">@upv.cz, </w:t>
      </w:r>
      <w:r w:rsidR="003C2DA7">
        <w:t>XXXXXXXXXX</w:t>
      </w:r>
      <w:r w:rsidRPr="006D63F0">
        <w:t xml:space="preserve">. Kontaktními osobami poskytovatele jsou </w:t>
      </w:r>
      <w:r w:rsidR="003C2DA7">
        <w:t>XXXXXXXXXX</w:t>
      </w:r>
      <w:r w:rsidR="006D63F0" w:rsidRPr="006D63F0">
        <w:t xml:space="preserve">, </w:t>
      </w:r>
      <w:r w:rsidR="003C2DA7">
        <w:t>XXXXXXXXXX</w:t>
      </w:r>
      <w:r w:rsidR="003C2DA7" w:rsidRPr="006D63F0">
        <w:t xml:space="preserve"> </w:t>
      </w:r>
      <w:r w:rsidR="006D63F0" w:rsidRPr="006D63F0">
        <w:t xml:space="preserve">@skrivanek.cz, </w:t>
      </w:r>
      <w:r w:rsidR="003C2DA7">
        <w:t>XXXXXXXXXX</w:t>
      </w:r>
      <w:r w:rsidR="006D63F0" w:rsidRPr="006D63F0">
        <w:t xml:space="preserve">; </w:t>
      </w:r>
      <w:r w:rsidR="003C2DA7">
        <w:t>XXXXXXXXXX</w:t>
      </w:r>
      <w:r w:rsidR="006D63F0" w:rsidRPr="006D63F0">
        <w:t xml:space="preserve">, praha@skrivanek.cz, </w:t>
      </w:r>
      <w:r w:rsidR="003C2DA7">
        <w:t>XXXXXXXXXX</w:t>
      </w:r>
      <w:r w:rsidR="003C2DA7">
        <w:t>.</w:t>
      </w:r>
    </w:p>
    <w:p w:rsidR="00DB6E12" w:rsidRPr="005D1522" w:rsidRDefault="00DB6E12" w:rsidP="006D63F0">
      <w:pPr>
        <w:pStyle w:val="Odstavecseseznamem"/>
        <w:autoSpaceDE w:val="0"/>
        <w:autoSpaceDN w:val="0"/>
        <w:adjustRightInd w:val="0"/>
        <w:ind w:left="426"/>
      </w:pPr>
    </w:p>
    <w:p w:rsidR="00DB6E12" w:rsidRPr="005D1522" w:rsidRDefault="00DB6E12" w:rsidP="00362A57">
      <w:pPr>
        <w:jc w:val="both"/>
      </w:pPr>
    </w:p>
    <w:p w:rsidR="00DB6E12" w:rsidRDefault="00DB6E12" w:rsidP="00362A57">
      <w:pPr>
        <w:jc w:val="both"/>
      </w:pPr>
    </w:p>
    <w:p w:rsidR="00825F31" w:rsidRPr="00B67560" w:rsidRDefault="00825F31" w:rsidP="00825F31">
      <w:pPr>
        <w:jc w:val="center"/>
        <w:rPr>
          <w:b/>
        </w:rPr>
      </w:pPr>
      <w:r w:rsidRPr="00B67560">
        <w:rPr>
          <w:b/>
        </w:rPr>
        <w:t xml:space="preserve">Článek </w:t>
      </w:r>
      <w:r>
        <w:rPr>
          <w:b/>
        </w:rPr>
        <w:t>I</w:t>
      </w:r>
      <w:r w:rsidR="00215162">
        <w:rPr>
          <w:b/>
        </w:rPr>
        <w:t>X</w:t>
      </w:r>
      <w:r>
        <w:rPr>
          <w:b/>
        </w:rPr>
        <w:t>.</w:t>
      </w:r>
    </w:p>
    <w:p w:rsidR="00AA153D" w:rsidRPr="00250C15" w:rsidRDefault="00AA153D" w:rsidP="00AA153D">
      <w:pPr>
        <w:pStyle w:val="Nadpis6"/>
        <w:ind w:firstLine="360"/>
        <w:jc w:val="center"/>
        <w:rPr>
          <w:szCs w:val="24"/>
        </w:rPr>
      </w:pPr>
      <w:r>
        <w:rPr>
          <w:szCs w:val="24"/>
        </w:rPr>
        <w:t>Ochrana informací a obchodního tajemství</w:t>
      </w:r>
    </w:p>
    <w:p w:rsidR="00825F31" w:rsidRDefault="00825F31" w:rsidP="00B67560">
      <w:pPr>
        <w:jc w:val="center"/>
        <w:rPr>
          <w:b/>
        </w:rPr>
      </w:pPr>
    </w:p>
    <w:p w:rsidR="00AA153D" w:rsidRDefault="00AA153D" w:rsidP="00B66D10">
      <w:pPr>
        <w:ind w:left="426" w:hanging="426"/>
        <w:jc w:val="both"/>
      </w:pPr>
      <w:r>
        <w:t xml:space="preserve">1. </w:t>
      </w:r>
      <w:r w:rsidRPr="000F5FCD">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w:t>
      </w:r>
      <w:r w:rsidRPr="000F5FCD">
        <w:lastRenderedPageBreak/>
        <w:t>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AA153D" w:rsidRPr="000F5FCD" w:rsidRDefault="00AA153D" w:rsidP="00B66D10">
      <w:pPr>
        <w:ind w:left="426" w:hanging="426"/>
        <w:jc w:val="both"/>
      </w:pPr>
      <w:r>
        <w:t xml:space="preserve">2. </w:t>
      </w:r>
      <w:r w:rsidR="00B66D10">
        <w:tab/>
      </w:r>
      <w:r w:rsidRPr="000F5FCD">
        <w:t xml:space="preserve">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 </w:t>
      </w:r>
    </w:p>
    <w:p w:rsidR="00AA153D" w:rsidRPr="000F5FCD" w:rsidRDefault="00AA153D" w:rsidP="00B66D10">
      <w:pPr>
        <w:ind w:left="426" w:hanging="426"/>
        <w:jc w:val="both"/>
      </w:pPr>
      <w:r>
        <w:t xml:space="preserve">3. </w:t>
      </w:r>
      <w:r w:rsidR="00B66D10">
        <w:tab/>
      </w:r>
      <w:r w:rsidRPr="000F5FCD">
        <w:t>Smluvní strany se zavazují:</w:t>
      </w:r>
    </w:p>
    <w:p w:rsidR="00AA153D" w:rsidRPr="000F5FCD" w:rsidRDefault="00AA153D" w:rsidP="00B66D10">
      <w:pPr>
        <w:pStyle w:val="Odstavecseseznamem"/>
        <w:numPr>
          <w:ilvl w:val="0"/>
          <w:numId w:val="4"/>
        </w:numPr>
        <w:ind w:left="851" w:hanging="425"/>
        <w:jc w:val="both"/>
      </w:pPr>
      <w:r w:rsidRPr="000F5FCD">
        <w:t>zachovávat v tajnosti veškeré chráněné informace týkající se druhé smluvní strany,</w:t>
      </w:r>
    </w:p>
    <w:p w:rsidR="00AA153D" w:rsidRPr="000F5FCD" w:rsidRDefault="00AA153D" w:rsidP="00B66D10">
      <w:pPr>
        <w:pStyle w:val="Odstavecseseznamem"/>
        <w:numPr>
          <w:ilvl w:val="0"/>
          <w:numId w:val="4"/>
        </w:numPr>
        <w:ind w:left="851" w:hanging="425"/>
        <w:jc w:val="both"/>
      </w:pPr>
      <w:r w:rsidRPr="000F5FCD">
        <w:t>používat chráněné informace týkající se druhé smluvní strany pouze pro účely stanovené touto smlouvou,</w:t>
      </w:r>
    </w:p>
    <w:p w:rsidR="00AA153D" w:rsidRPr="000F5FCD" w:rsidRDefault="00AA153D" w:rsidP="00B66D10">
      <w:pPr>
        <w:pStyle w:val="Odstavecseseznamem"/>
        <w:numPr>
          <w:ilvl w:val="0"/>
          <w:numId w:val="4"/>
        </w:numPr>
        <w:ind w:left="851" w:hanging="425"/>
        <w:jc w:val="both"/>
      </w:pPr>
      <w:r w:rsidRPr="000F5FCD">
        <w:t>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obsažených v této smlouvě a musí se písemně zavázat, že se budou řídit ustanovením odst. 4 tohoto článku,</w:t>
      </w:r>
    </w:p>
    <w:p w:rsidR="00AA153D" w:rsidRPr="000F5FCD" w:rsidRDefault="00AA153D" w:rsidP="00B66D10">
      <w:pPr>
        <w:pStyle w:val="Odstavecseseznamem"/>
        <w:numPr>
          <w:ilvl w:val="0"/>
          <w:numId w:val="4"/>
        </w:numPr>
        <w:ind w:left="851" w:hanging="425"/>
        <w:jc w:val="both"/>
      </w:pPr>
      <w:r w:rsidRPr="000F5FCD">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EA470A" w:rsidRDefault="00EA470A" w:rsidP="00AA153D">
      <w:pPr>
        <w:jc w:val="both"/>
      </w:pPr>
    </w:p>
    <w:p w:rsidR="00AA153D" w:rsidRDefault="00EA470A" w:rsidP="00B66D10">
      <w:pPr>
        <w:ind w:left="426" w:hanging="426"/>
        <w:jc w:val="both"/>
      </w:pPr>
      <w:r>
        <w:t xml:space="preserve">4. </w:t>
      </w:r>
      <w:r w:rsidR="00B66D10">
        <w:tab/>
      </w:r>
      <w:r w:rsidR="00AA153D" w:rsidRPr="000F5FCD">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AA153D" w:rsidRDefault="00AA153D" w:rsidP="00AA153D">
      <w:pPr>
        <w:rPr>
          <w:b/>
        </w:rPr>
      </w:pPr>
    </w:p>
    <w:p w:rsidR="00825F31" w:rsidRDefault="00825F31" w:rsidP="0078225F">
      <w:pPr>
        <w:rPr>
          <w:b/>
        </w:rPr>
      </w:pPr>
    </w:p>
    <w:p w:rsidR="00B67560" w:rsidRPr="00B67560" w:rsidRDefault="00B67560" w:rsidP="00B67560">
      <w:pPr>
        <w:jc w:val="center"/>
        <w:rPr>
          <w:b/>
        </w:rPr>
      </w:pPr>
      <w:r w:rsidRPr="00B67560">
        <w:rPr>
          <w:b/>
        </w:rPr>
        <w:t xml:space="preserve">Článek </w:t>
      </w:r>
      <w:r w:rsidR="009C307F">
        <w:rPr>
          <w:b/>
        </w:rPr>
        <w:t>IX</w:t>
      </w:r>
      <w:r w:rsidR="00825F31">
        <w:rPr>
          <w:b/>
        </w:rPr>
        <w:t>.</w:t>
      </w:r>
    </w:p>
    <w:p w:rsidR="00B67560" w:rsidRDefault="00B67560" w:rsidP="00B67560">
      <w:pPr>
        <w:jc w:val="center"/>
        <w:rPr>
          <w:b/>
        </w:rPr>
      </w:pPr>
      <w:r w:rsidRPr="00B67560">
        <w:rPr>
          <w:b/>
        </w:rPr>
        <w:t>Závěrečná ustanovení</w:t>
      </w:r>
    </w:p>
    <w:p w:rsidR="00DD215E" w:rsidRDefault="00DD215E" w:rsidP="00B67560">
      <w:pPr>
        <w:jc w:val="center"/>
        <w:rPr>
          <w:b/>
        </w:rPr>
      </w:pPr>
    </w:p>
    <w:p w:rsidR="004F2467" w:rsidRDefault="004F2467" w:rsidP="00E91567">
      <w:pPr>
        <w:ind w:left="426" w:hanging="426"/>
        <w:jc w:val="both"/>
      </w:pPr>
      <w:r>
        <w:t xml:space="preserve">1. </w:t>
      </w:r>
      <w:r w:rsidR="008E4A8D">
        <w:tab/>
      </w:r>
      <w:r>
        <w:t>Ostatní vztahy, v této smlouvě neupravené, se řídí příslušnými ustanoveními občanského zákoníku.</w:t>
      </w:r>
    </w:p>
    <w:p w:rsidR="004F2467" w:rsidRDefault="004F2467" w:rsidP="00E91567">
      <w:pPr>
        <w:ind w:left="426" w:hanging="426"/>
        <w:jc w:val="both"/>
      </w:pPr>
      <w:r w:rsidRPr="004F2467">
        <w:t xml:space="preserve">2. </w:t>
      </w:r>
      <w:r w:rsidR="008E4A8D">
        <w:tab/>
      </w:r>
      <w:r w:rsidRPr="004F2467">
        <w:t>Tato smlouva může být měněna, upravována či doplňována pouze formou písemných, postupně</w:t>
      </w:r>
      <w:r>
        <w:t xml:space="preserve"> </w:t>
      </w:r>
      <w:r w:rsidRPr="004F2467">
        <w:t>číslovaných dodatků, odsouhlasených a podepsaných oběma smluvními stranami. Tyto dodatky</w:t>
      </w:r>
      <w:r>
        <w:t xml:space="preserve"> </w:t>
      </w:r>
      <w:r w:rsidRPr="004F2467">
        <w:t>se stávají nedílnou součástí této smlouvy.</w:t>
      </w:r>
    </w:p>
    <w:p w:rsidR="008F5F92" w:rsidRPr="008F5F92" w:rsidRDefault="008F5F92" w:rsidP="00E91567">
      <w:pPr>
        <w:ind w:left="426" w:hanging="426"/>
        <w:jc w:val="both"/>
      </w:pPr>
      <w:r>
        <w:t>3.</w:t>
      </w:r>
      <w:r>
        <w:tab/>
      </w:r>
      <w:r w:rsidRPr="008F5F92">
        <w:t>V souladu s nařízením Evropského parlamentu a Rady (E</w:t>
      </w:r>
      <w:r>
        <w:t xml:space="preserve">U) 2016/679 o ochraně fyzických osob </w:t>
      </w:r>
      <w:r w:rsidRPr="008F5F92">
        <w:t xml:space="preserve">v souvislosti se zpracováním osobních údajů a o volném pohybu těchto </w:t>
      </w:r>
      <w:r w:rsidRPr="008F5F92">
        <w:lastRenderedPageBreak/>
        <w:t xml:space="preserve">údajů a o zrušení směrnice 95/46/ES, budou smluvní strany při plnění závazků z této smlouvy vyplývajících vždy postupovat v souladu s podmínkami uvedenými v dokumentu s názvem „Informace o ochraně osobních údajů“ vydaným Úřadem průmyslového vlastnictví, který tvoří přílohu č. </w:t>
      </w:r>
      <w:r w:rsidR="00F0268C">
        <w:t>2</w:t>
      </w:r>
      <w:r w:rsidR="00F0268C" w:rsidRPr="008F5F92">
        <w:t xml:space="preserve"> </w:t>
      </w:r>
      <w:r w:rsidRPr="008F5F92">
        <w:t>této smlouvy.</w:t>
      </w:r>
    </w:p>
    <w:p w:rsidR="00613114" w:rsidRDefault="00A410C0" w:rsidP="00E91567">
      <w:pPr>
        <w:ind w:left="426" w:hanging="426"/>
        <w:jc w:val="both"/>
      </w:pPr>
      <w:r>
        <w:t>4</w:t>
      </w:r>
      <w:r w:rsidR="00613114">
        <w:t>.</w:t>
      </w:r>
      <w:r w:rsidR="00613114" w:rsidRPr="00613114">
        <w:t xml:space="preserve"> </w:t>
      </w:r>
      <w:r w:rsidR="008E4A8D">
        <w:tab/>
      </w:r>
      <w:r w:rsidR="00613114">
        <w:t>Tato s</w:t>
      </w:r>
      <w:r w:rsidR="00613114" w:rsidRPr="00613114">
        <w:t>mlouva může být vypovězena oběma stranami bez udání důvodů. Výpovědní lhůta činí 1 měsíc ode dne doručení písemné výpovědi druhé straně.</w:t>
      </w:r>
    </w:p>
    <w:p w:rsidR="00DA6B96" w:rsidRDefault="00A410C0" w:rsidP="00E91567">
      <w:pPr>
        <w:ind w:left="426" w:hanging="426"/>
        <w:jc w:val="both"/>
      </w:pPr>
      <w:r>
        <w:t>5</w:t>
      </w:r>
      <w:r w:rsidR="00DA6B96">
        <w:t xml:space="preserve">. </w:t>
      </w:r>
      <w:r w:rsidR="008E4A8D">
        <w:tab/>
      </w:r>
      <w:r w:rsidR="00DA6B96" w:rsidRPr="00A860B4">
        <w:t>Uveřejnění smlouvy v registru smluv zajistí Úřad průmyslového vlastnictví v souladu se zákonem č. 340/2015 Sb., o registru smluv, bez odkladu po obdržení podepsané smlouvy oběma smluvními stranami.</w:t>
      </w:r>
    </w:p>
    <w:p w:rsidR="00613114" w:rsidRDefault="00A410C0" w:rsidP="00E91567">
      <w:pPr>
        <w:ind w:left="426" w:hanging="426"/>
        <w:jc w:val="both"/>
      </w:pPr>
      <w:r>
        <w:t>6</w:t>
      </w:r>
      <w:r w:rsidR="004F2467" w:rsidRPr="004F2467">
        <w:t xml:space="preserve">. </w:t>
      </w:r>
      <w:r w:rsidR="008E4A8D">
        <w:tab/>
      </w:r>
      <w:r w:rsidR="00613114" w:rsidRPr="00613114">
        <w:t xml:space="preserve">Tato smlouva byla vyhotovena ve dvou stejnopisech, přičemž každý z účastníků obdrží po jednom z nich. </w:t>
      </w:r>
    </w:p>
    <w:p w:rsidR="008B2E6A" w:rsidRDefault="00A410C0" w:rsidP="00E91567">
      <w:pPr>
        <w:ind w:left="426" w:hanging="426"/>
        <w:jc w:val="both"/>
      </w:pPr>
      <w:r>
        <w:t>7</w:t>
      </w:r>
      <w:r w:rsidR="008B2E6A">
        <w:t xml:space="preserve">. </w:t>
      </w:r>
      <w:r w:rsidR="008E4A8D">
        <w:tab/>
      </w:r>
      <w:r w:rsidR="008B2E6A" w:rsidRPr="00A860B4">
        <w:t>Ta</w:t>
      </w:r>
      <w:r w:rsidR="00680E9B">
        <w:t xml:space="preserve">to smlouva nabývá účinnosti dne </w:t>
      </w:r>
      <w:r w:rsidR="00C93439">
        <w:t>25</w:t>
      </w:r>
      <w:r w:rsidR="00042E20">
        <w:t>. 5. 2020</w:t>
      </w:r>
      <w:r w:rsidR="00680E9B">
        <w:t xml:space="preserve"> za podmínky</w:t>
      </w:r>
      <w:r w:rsidR="008B2E6A" w:rsidRPr="00A860B4">
        <w:t xml:space="preserve"> </w:t>
      </w:r>
      <w:r w:rsidR="004251C5">
        <w:t>jejího zveřejnění v registru smluv</w:t>
      </w:r>
      <w:r w:rsidR="008B2E6A" w:rsidRPr="00A860B4">
        <w:t>.</w:t>
      </w:r>
    </w:p>
    <w:p w:rsidR="008B2E6A" w:rsidRDefault="008B2E6A" w:rsidP="004F2467">
      <w:pPr>
        <w:jc w:val="both"/>
      </w:pPr>
    </w:p>
    <w:p w:rsidR="008C3007" w:rsidRDefault="008C3007" w:rsidP="004F2467">
      <w:pPr>
        <w:jc w:val="both"/>
      </w:pPr>
    </w:p>
    <w:p w:rsidR="004F2467" w:rsidRDefault="00144355" w:rsidP="004F2467">
      <w:pPr>
        <w:jc w:val="both"/>
      </w:pPr>
      <w:r>
        <w:t>P</w:t>
      </w:r>
      <w:r w:rsidR="004F2467" w:rsidRPr="004F2467">
        <w:t>řílohy:</w:t>
      </w:r>
    </w:p>
    <w:p w:rsidR="00144355" w:rsidRPr="004F2467" w:rsidRDefault="00144355" w:rsidP="004F2467">
      <w:pPr>
        <w:jc w:val="both"/>
      </w:pPr>
    </w:p>
    <w:p w:rsidR="004F2467" w:rsidRPr="00DB10DA" w:rsidRDefault="001475FB" w:rsidP="007E588A">
      <w:pPr>
        <w:pStyle w:val="Odstavecseseznamem"/>
        <w:numPr>
          <w:ilvl w:val="0"/>
          <w:numId w:val="23"/>
        </w:numPr>
        <w:spacing w:after="60"/>
        <w:ind w:left="714" w:hanging="357"/>
        <w:contextualSpacing w:val="0"/>
        <w:jc w:val="both"/>
      </w:pPr>
      <w:r w:rsidRPr="00DB10DA">
        <w:t>Výzva k podání nabídky</w:t>
      </w:r>
      <w:r w:rsidR="00CC5712" w:rsidRPr="00DB10DA">
        <w:t xml:space="preserve"> včetně zadávací dokumentace</w:t>
      </w:r>
      <w:r w:rsidRPr="00DB10DA">
        <w:t xml:space="preserve"> ze </w:t>
      </w:r>
      <w:r w:rsidR="00FD7F7A" w:rsidRPr="00DB10DA">
        <w:t xml:space="preserve">dne </w:t>
      </w:r>
      <w:r w:rsidR="00EA2B5B" w:rsidRPr="00DB10DA">
        <w:t>31</w:t>
      </w:r>
      <w:r w:rsidR="00FD7F7A" w:rsidRPr="00DB10DA">
        <w:t xml:space="preserve">. </w:t>
      </w:r>
      <w:r w:rsidR="00EA2B5B" w:rsidRPr="00DB10DA">
        <w:t>3</w:t>
      </w:r>
      <w:r w:rsidR="00FD7F7A" w:rsidRPr="00DB10DA">
        <w:t>.20</w:t>
      </w:r>
      <w:r w:rsidR="0042370F" w:rsidRPr="00DB10DA">
        <w:t>20</w:t>
      </w:r>
      <w:r w:rsidR="000661D1" w:rsidRPr="00DB10DA">
        <w:t xml:space="preserve"> kromě návrhu smlouvy</w:t>
      </w:r>
      <w:r w:rsidR="00A0085E" w:rsidRPr="00DB10DA">
        <w:t xml:space="preserve"> a kontrolních překladů</w:t>
      </w:r>
    </w:p>
    <w:p w:rsidR="00FD65CB" w:rsidRPr="00DB10DA" w:rsidRDefault="00FD65CB" w:rsidP="007E588A">
      <w:pPr>
        <w:pStyle w:val="Odstavecseseznamem"/>
        <w:numPr>
          <w:ilvl w:val="0"/>
          <w:numId w:val="23"/>
        </w:numPr>
        <w:spacing w:after="60"/>
        <w:ind w:left="714" w:hanging="357"/>
        <w:contextualSpacing w:val="0"/>
        <w:jc w:val="both"/>
      </w:pPr>
      <w:r w:rsidRPr="00DB10DA">
        <w:t>Informace o ochraně osobních údajů</w:t>
      </w:r>
    </w:p>
    <w:p w:rsidR="00DB10DA" w:rsidRPr="00DB10DA" w:rsidRDefault="00DB10DA" w:rsidP="00FD65CB">
      <w:pPr>
        <w:pStyle w:val="Odstavecseseznamem"/>
        <w:numPr>
          <w:ilvl w:val="0"/>
          <w:numId w:val="23"/>
        </w:numPr>
        <w:jc w:val="both"/>
      </w:pPr>
      <w:r w:rsidRPr="00DB10DA">
        <w:t>Plná moc ze dne 25. 11. 2019</w:t>
      </w:r>
    </w:p>
    <w:p w:rsidR="00880399" w:rsidRPr="00DB10DA" w:rsidRDefault="00880399" w:rsidP="004F2467">
      <w:pPr>
        <w:jc w:val="both"/>
      </w:pPr>
    </w:p>
    <w:p w:rsidR="00DB10DA" w:rsidRPr="00DB10DA" w:rsidRDefault="00DB10DA" w:rsidP="004F2467">
      <w:pPr>
        <w:jc w:val="both"/>
      </w:pPr>
    </w:p>
    <w:p w:rsidR="00DD215E" w:rsidRPr="00DB10DA" w:rsidRDefault="00DD215E" w:rsidP="00B67560">
      <w:pPr>
        <w:jc w:val="center"/>
        <w:rPr>
          <w:b/>
        </w:rPr>
      </w:pPr>
    </w:p>
    <w:p w:rsidR="00DD215E" w:rsidRPr="00DB10DA" w:rsidRDefault="00DD215E" w:rsidP="00144355">
      <w:pPr>
        <w:rPr>
          <w:b/>
        </w:rPr>
      </w:pPr>
    </w:p>
    <w:p w:rsidR="00040962" w:rsidRPr="00040962" w:rsidRDefault="00DB10DA" w:rsidP="00040962">
      <w:pPr>
        <w:pStyle w:val="arial"/>
        <w:numPr>
          <w:ilvl w:val="0"/>
          <w:numId w:val="0"/>
        </w:numPr>
        <w:tabs>
          <w:tab w:val="left" w:pos="5670"/>
        </w:tabs>
        <w:ind w:left="357"/>
      </w:pPr>
      <w:r w:rsidRPr="00DB10DA">
        <w:t>V Praze dne ……………….</w:t>
      </w:r>
      <w:r w:rsidR="00040962">
        <w:tab/>
      </w:r>
      <w:r w:rsidR="00040962" w:rsidRPr="00DB10DA">
        <w:t>V Praze dne ……………….</w:t>
      </w:r>
    </w:p>
    <w:p w:rsidR="00040962" w:rsidRDefault="00040962" w:rsidP="00DB10DA">
      <w:pPr>
        <w:pStyle w:val="Nadpis4"/>
        <w:tabs>
          <w:tab w:val="left" w:pos="5670"/>
        </w:tabs>
        <w:ind w:left="357"/>
        <w:jc w:val="both"/>
        <w:rPr>
          <w:rFonts w:ascii="Times New Roman" w:hAnsi="Times New Roman" w:cs="Times New Roman"/>
          <w:i w:val="0"/>
          <w:color w:val="auto"/>
        </w:rPr>
      </w:pPr>
    </w:p>
    <w:p w:rsidR="00040962" w:rsidRDefault="00040962" w:rsidP="00DB10DA">
      <w:pPr>
        <w:pStyle w:val="Nadpis4"/>
        <w:tabs>
          <w:tab w:val="left" w:pos="5670"/>
        </w:tabs>
        <w:ind w:left="357"/>
        <w:jc w:val="both"/>
        <w:rPr>
          <w:rFonts w:ascii="Times New Roman" w:hAnsi="Times New Roman" w:cs="Times New Roman"/>
          <w:i w:val="0"/>
          <w:color w:val="auto"/>
        </w:rPr>
      </w:pPr>
    </w:p>
    <w:p w:rsidR="00DB10DA" w:rsidRPr="00DB10DA" w:rsidRDefault="00DB10DA" w:rsidP="00DB10DA">
      <w:pPr>
        <w:pStyle w:val="Nadpis4"/>
        <w:tabs>
          <w:tab w:val="left" w:pos="5670"/>
        </w:tabs>
        <w:ind w:left="357"/>
        <w:jc w:val="both"/>
        <w:rPr>
          <w:rFonts w:ascii="Times New Roman" w:hAnsi="Times New Roman" w:cs="Times New Roman"/>
          <w:i w:val="0"/>
          <w:color w:val="auto"/>
        </w:rPr>
      </w:pPr>
      <w:r w:rsidRPr="00DB10DA">
        <w:rPr>
          <w:rFonts w:ascii="Times New Roman" w:hAnsi="Times New Roman" w:cs="Times New Roman"/>
          <w:i w:val="0"/>
          <w:color w:val="auto"/>
        </w:rPr>
        <w:t>Za objednatele:</w:t>
      </w:r>
      <w:r w:rsidRPr="00DB10DA">
        <w:rPr>
          <w:rFonts w:ascii="Times New Roman" w:hAnsi="Times New Roman" w:cs="Times New Roman"/>
          <w:i w:val="0"/>
          <w:color w:val="auto"/>
        </w:rPr>
        <w:tab/>
        <w:t>Za poskytovatele:</w:t>
      </w:r>
    </w:p>
    <w:p w:rsidR="00DB10DA" w:rsidRPr="00DB10DA" w:rsidRDefault="00DB10DA" w:rsidP="00DB10DA">
      <w:pPr>
        <w:tabs>
          <w:tab w:val="left" w:pos="5670"/>
        </w:tabs>
        <w:ind w:left="357"/>
        <w:jc w:val="both"/>
      </w:pPr>
    </w:p>
    <w:p w:rsidR="00DB10DA" w:rsidRPr="00DB10DA" w:rsidRDefault="00DB10DA" w:rsidP="00DB10DA">
      <w:pPr>
        <w:tabs>
          <w:tab w:val="left" w:pos="5670"/>
        </w:tabs>
        <w:ind w:left="357"/>
        <w:jc w:val="both"/>
      </w:pPr>
    </w:p>
    <w:p w:rsidR="00DB10DA" w:rsidRPr="00DB10DA" w:rsidRDefault="00DB10DA" w:rsidP="00DB10DA">
      <w:pPr>
        <w:tabs>
          <w:tab w:val="left" w:pos="5670"/>
        </w:tabs>
        <w:ind w:left="357"/>
        <w:jc w:val="both"/>
      </w:pPr>
    </w:p>
    <w:p w:rsidR="00DB10DA" w:rsidRPr="00DB10DA" w:rsidRDefault="00DB10DA" w:rsidP="00DB10DA">
      <w:pPr>
        <w:tabs>
          <w:tab w:val="left" w:pos="5670"/>
        </w:tabs>
        <w:spacing w:after="60"/>
        <w:ind w:left="357"/>
        <w:jc w:val="both"/>
      </w:pPr>
      <w:r w:rsidRPr="00DB10DA">
        <w:t>……………………………..</w:t>
      </w:r>
      <w:r w:rsidRPr="00DB10DA">
        <w:tab/>
        <w:t>……………………………</w:t>
      </w:r>
      <w:r w:rsidRPr="00DB10DA">
        <w:tab/>
      </w:r>
    </w:p>
    <w:p w:rsidR="00DB10DA" w:rsidRPr="00DB10DA" w:rsidRDefault="00DB10DA" w:rsidP="00DB10DA">
      <w:pPr>
        <w:tabs>
          <w:tab w:val="left" w:pos="5670"/>
        </w:tabs>
        <w:ind w:left="357" w:right="-285"/>
        <w:jc w:val="both"/>
      </w:pPr>
      <w:r w:rsidRPr="00DB10DA">
        <w:t xml:space="preserve">Ing. Luděk </w:t>
      </w:r>
      <w:proofErr w:type="spellStart"/>
      <w:r w:rsidRPr="00DB10DA">
        <w:t>Churáček</w:t>
      </w:r>
      <w:proofErr w:type="spellEnd"/>
      <w:r w:rsidRPr="00DB10DA">
        <w:tab/>
      </w:r>
      <w:r w:rsidR="005268F1">
        <w:t>XXXXXXXX</w:t>
      </w:r>
      <w:bookmarkStart w:id="0" w:name="_GoBack"/>
      <w:bookmarkEnd w:id="0"/>
      <w:r>
        <w:t>, na základě plné moci</w:t>
      </w:r>
    </w:p>
    <w:p w:rsidR="00DB10DA" w:rsidRPr="00DB10DA" w:rsidRDefault="00DB10DA" w:rsidP="00DB10DA">
      <w:pPr>
        <w:tabs>
          <w:tab w:val="left" w:pos="5670"/>
        </w:tabs>
        <w:ind w:left="357"/>
        <w:jc w:val="both"/>
      </w:pPr>
      <w:r w:rsidRPr="00DB10DA">
        <w:t>ředitel ekonomického odboru</w:t>
      </w:r>
      <w:r w:rsidRPr="00DB10DA">
        <w:tab/>
      </w:r>
      <w:r>
        <w:t>ředitelka provozovny</w:t>
      </w:r>
    </w:p>
    <w:p w:rsidR="00DB10DA" w:rsidRDefault="00DB10DA" w:rsidP="00144355">
      <w:pPr>
        <w:rPr>
          <w:b/>
        </w:rPr>
      </w:pPr>
    </w:p>
    <w:sectPr w:rsidR="00DB10DA" w:rsidSect="001073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759" w:rsidRDefault="008C0759" w:rsidP="00295AE4">
      <w:r>
        <w:separator/>
      </w:r>
    </w:p>
  </w:endnote>
  <w:endnote w:type="continuationSeparator" w:id="0">
    <w:p w:rsidR="008C0759" w:rsidRDefault="008C0759" w:rsidP="0029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5964"/>
      <w:docPartObj>
        <w:docPartGallery w:val="Page Numbers (Bottom of Page)"/>
        <w:docPartUnique/>
      </w:docPartObj>
    </w:sdtPr>
    <w:sdtEndPr/>
    <w:sdtContent>
      <w:p w:rsidR="00295AE4" w:rsidRDefault="00CA5914">
        <w:pPr>
          <w:pStyle w:val="Zpat"/>
          <w:jc w:val="center"/>
        </w:pPr>
        <w:r>
          <w:fldChar w:fldCharType="begin"/>
        </w:r>
        <w:r>
          <w:instrText xml:space="preserve"> PAGE   \* MERGEFORMAT </w:instrText>
        </w:r>
        <w:r>
          <w:fldChar w:fldCharType="separate"/>
        </w:r>
        <w:r w:rsidR="00ED3FA2">
          <w:rPr>
            <w:noProof/>
          </w:rPr>
          <w:t>1</w:t>
        </w:r>
        <w:r>
          <w:rPr>
            <w:noProof/>
          </w:rPr>
          <w:fldChar w:fldCharType="end"/>
        </w:r>
      </w:p>
    </w:sdtContent>
  </w:sdt>
  <w:p w:rsidR="00295AE4" w:rsidRDefault="00295A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759" w:rsidRDefault="008C0759" w:rsidP="00295AE4">
      <w:r>
        <w:separator/>
      </w:r>
    </w:p>
  </w:footnote>
  <w:footnote w:type="continuationSeparator" w:id="0">
    <w:p w:rsidR="008C0759" w:rsidRDefault="008C0759" w:rsidP="0029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EBD"/>
    <w:multiLevelType w:val="hybridMultilevel"/>
    <w:tmpl w:val="29C4A9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2030D"/>
    <w:multiLevelType w:val="hybridMultilevel"/>
    <w:tmpl w:val="73A870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B490B"/>
    <w:multiLevelType w:val="hybridMultilevel"/>
    <w:tmpl w:val="28965616"/>
    <w:lvl w:ilvl="0" w:tplc="8A42A360">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2145A"/>
    <w:multiLevelType w:val="hybridMultilevel"/>
    <w:tmpl w:val="62326D1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BA590E"/>
    <w:multiLevelType w:val="hybridMultilevel"/>
    <w:tmpl w:val="8DDA86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C122C"/>
    <w:multiLevelType w:val="multilevel"/>
    <w:tmpl w:val="D0A4DF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883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E5615A"/>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1F1A56DE"/>
    <w:multiLevelType w:val="multilevel"/>
    <w:tmpl w:val="AA18D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70228"/>
    <w:multiLevelType w:val="hybridMultilevel"/>
    <w:tmpl w:val="ACE67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9F3225"/>
    <w:multiLevelType w:val="hybridMultilevel"/>
    <w:tmpl w:val="0B644E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AA114B"/>
    <w:multiLevelType w:val="hybridMultilevel"/>
    <w:tmpl w:val="5BFC3D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BF11B8"/>
    <w:multiLevelType w:val="hybridMultilevel"/>
    <w:tmpl w:val="CF28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4621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4304F"/>
    <w:multiLevelType w:val="hybridMultilevel"/>
    <w:tmpl w:val="FC5283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70375A"/>
    <w:multiLevelType w:val="hybridMultilevel"/>
    <w:tmpl w:val="54B6254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A1B2705"/>
    <w:multiLevelType w:val="hybridMultilevel"/>
    <w:tmpl w:val="A0C2C4C6"/>
    <w:lvl w:ilvl="0" w:tplc="9412E340">
      <w:start w:val="3"/>
      <w:numFmt w:val="bullet"/>
      <w:lvlText w:val="-"/>
      <w:lvlJc w:val="left"/>
      <w:pPr>
        <w:ind w:left="1574" w:hanging="360"/>
      </w:pPr>
      <w:rPr>
        <w:rFonts w:ascii="Times New Roman" w:eastAsia="Times New Roman" w:hAnsi="Times New Roman" w:cs="Times New Roman" w:hint="default"/>
      </w:rPr>
    </w:lvl>
    <w:lvl w:ilvl="1" w:tplc="04050003" w:tentative="1">
      <w:start w:val="1"/>
      <w:numFmt w:val="bullet"/>
      <w:lvlText w:val="o"/>
      <w:lvlJc w:val="left"/>
      <w:pPr>
        <w:ind w:left="2294" w:hanging="360"/>
      </w:pPr>
      <w:rPr>
        <w:rFonts w:ascii="Courier New" w:hAnsi="Courier New" w:cs="Courier New" w:hint="default"/>
      </w:rPr>
    </w:lvl>
    <w:lvl w:ilvl="2" w:tplc="04050005" w:tentative="1">
      <w:start w:val="1"/>
      <w:numFmt w:val="bullet"/>
      <w:lvlText w:val=""/>
      <w:lvlJc w:val="left"/>
      <w:pPr>
        <w:ind w:left="3014" w:hanging="360"/>
      </w:pPr>
      <w:rPr>
        <w:rFonts w:ascii="Wingdings" w:hAnsi="Wingdings" w:hint="default"/>
      </w:rPr>
    </w:lvl>
    <w:lvl w:ilvl="3" w:tplc="04050001" w:tentative="1">
      <w:start w:val="1"/>
      <w:numFmt w:val="bullet"/>
      <w:lvlText w:val=""/>
      <w:lvlJc w:val="left"/>
      <w:pPr>
        <w:ind w:left="3734" w:hanging="360"/>
      </w:pPr>
      <w:rPr>
        <w:rFonts w:ascii="Symbol" w:hAnsi="Symbol" w:hint="default"/>
      </w:rPr>
    </w:lvl>
    <w:lvl w:ilvl="4" w:tplc="04050003" w:tentative="1">
      <w:start w:val="1"/>
      <w:numFmt w:val="bullet"/>
      <w:lvlText w:val="o"/>
      <w:lvlJc w:val="left"/>
      <w:pPr>
        <w:ind w:left="4454" w:hanging="360"/>
      </w:pPr>
      <w:rPr>
        <w:rFonts w:ascii="Courier New" w:hAnsi="Courier New" w:cs="Courier New" w:hint="default"/>
      </w:rPr>
    </w:lvl>
    <w:lvl w:ilvl="5" w:tplc="04050005" w:tentative="1">
      <w:start w:val="1"/>
      <w:numFmt w:val="bullet"/>
      <w:lvlText w:val=""/>
      <w:lvlJc w:val="left"/>
      <w:pPr>
        <w:ind w:left="5174" w:hanging="360"/>
      </w:pPr>
      <w:rPr>
        <w:rFonts w:ascii="Wingdings" w:hAnsi="Wingdings" w:hint="default"/>
      </w:rPr>
    </w:lvl>
    <w:lvl w:ilvl="6" w:tplc="04050001" w:tentative="1">
      <w:start w:val="1"/>
      <w:numFmt w:val="bullet"/>
      <w:lvlText w:val=""/>
      <w:lvlJc w:val="left"/>
      <w:pPr>
        <w:ind w:left="5894" w:hanging="360"/>
      </w:pPr>
      <w:rPr>
        <w:rFonts w:ascii="Symbol" w:hAnsi="Symbol" w:hint="default"/>
      </w:rPr>
    </w:lvl>
    <w:lvl w:ilvl="7" w:tplc="04050003" w:tentative="1">
      <w:start w:val="1"/>
      <w:numFmt w:val="bullet"/>
      <w:lvlText w:val="o"/>
      <w:lvlJc w:val="left"/>
      <w:pPr>
        <w:ind w:left="6614" w:hanging="360"/>
      </w:pPr>
      <w:rPr>
        <w:rFonts w:ascii="Courier New" w:hAnsi="Courier New" w:cs="Courier New" w:hint="default"/>
      </w:rPr>
    </w:lvl>
    <w:lvl w:ilvl="8" w:tplc="04050005" w:tentative="1">
      <w:start w:val="1"/>
      <w:numFmt w:val="bullet"/>
      <w:lvlText w:val=""/>
      <w:lvlJc w:val="left"/>
      <w:pPr>
        <w:ind w:left="7334" w:hanging="360"/>
      </w:pPr>
      <w:rPr>
        <w:rFonts w:ascii="Wingdings" w:hAnsi="Wingdings" w:hint="default"/>
      </w:rPr>
    </w:lvl>
  </w:abstractNum>
  <w:abstractNum w:abstractNumId="18" w15:restartNumberingAfterBreak="0">
    <w:nsid w:val="4B832B1C"/>
    <w:multiLevelType w:val="hybridMultilevel"/>
    <w:tmpl w:val="1AEC1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1C1228"/>
    <w:multiLevelType w:val="hybridMultilevel"/>
    <w:tmpl w:val="9CC47D22"/>
    <w:lvl w:ilvl="0" w:tplc="0F7450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473449"/>
    <w:multiLevelType w:val="hybridMultilevel"/>
    <w:tmpl w:val="6BD06A0A"/>
    <w:lvl w:ilvl="0" w:tplc="A162B70A">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5B3A075B"/>
    <w:multiLevelType w:val="hybridMultilevel"/>
    <w:tmpl w:val="53E028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D22207"/>
    <w:multiLevelType w:val="hybridMultilevel"/>
    <w:tmpl w:val="1018D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DC6B0B"/>
    <w:multiLevelType w:val="hybridMultilevel"/>
    <w:tmpl w:val="745EB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470A27"/>
    <w:multiLevelType w:val="hybridMultilevel"/>
    <w:tmpl w:val="FC5283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D1762B7"/>
    <w:multiLevelType w:val="hybridMultilevel"/>
    <w:tmpl w:val="4B624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177900"/>
    <w:multiLevelType w:val="hybridMultilevel"/>
    <w:tmpl w:val="AF107CC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11"/>
  </w:num>
  <w:num w:numId="5">
    <w:abstractNumId w:val="1"/>
  </w:num>
  <w:num w:numId="6">
    <w:abstractNumId w:val="4"/>
  </w:num>
  <w:num w:numId="7">
    <w:abstractNumId w:val="19"/>
  </w:num>
  <w:num w:numId="8">
    <w:abstractNumId w:val="12"/>
  </w:num>
  <w:num w:numId="9">
    <w:abstractNumId w:val="14"/>
  </w:num>
  <w:num w:numId="10">
    <w:abstractNumId w:val="10"/>
  </w:num>
  <w:num w:numId="11">
    <w:abstractNumId w:val="25"/>
  </w:num>
  <w:num w:numId="12">
    <w:abstractNumId w:val="5"/>
  </w:num>
  <w:num w:numId="13">
    <w:abstractNumId w:val="9"/>
  </w:num>
  <w:num w:numId="14">
    <w:abstractNumId w:val="13"/>
  </w:num>
  <w:num w:numId="15">
    <w:abstractNumId w:val="3"/>
  </w:num>
  <w:num w:numId="16">
    <w:abstractNumId w:val="20"/>
  </w:num>
  <w:num w:numId="17">
    <w:abstractNumId w:val="26"/>
  </w:num>
  <w:num w:numId="18">
    <w:abstractNumId w:val="7"/>
  </w:num>
  <w:num w:numId="19">
    <w:abstractNumId w:val="17"/>
  </w:num>
  <w:num w:numId="20">
    <w:abstractNumId w:val="18"/>
  </w:num>
  <w:num w:numId="21">
    <w:abstractNumId w:val="0"/>
  </w:num>
  <w:num w:numId="22">
    <w:abstractNumId w:val="15"/>
  </w:num>
  <w:num w:numId="23">
    <w:abstractNumId w:val="21"/>
  </w:num>
  <w:num w:numId="24">
    <w:abstractNumId w:val="22"/>
  </w:num>
  <w:num w:numId="25">
    <w:abstractNumId w:val="24"/>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4A2"/>
    <w:rsid w:val="00012216"/>
    <w:rsid w:val="00017372"/>
    <w:rsid w:val="00033F25"/>
    <w:rsid w:val="00040962"/>
    <w:rsid w:val="00042E20"/>
    <w:rsid w:val="000458CB"/>
    <w:rsid w:val="00063921"/>
    <w:rsid w:val="0006504D"/>
    <w:rsid w:val="000661D1"/>
    <w:rsid w:val="000751C1"/>
    <w:rsid w:val="00084CD0"/>
    <w:rsid w:val="000A3D5E"/>
    <w:rsid w:val="000A682B"/>
    <w:rsid w:val="000B2388"/>
    <w:rsid w:val="000B567A"/>
    <w:rsid w:val="000C10B3"/>
    <w:rsid w:val="000C20DD"/>
    <w:rsid w:val="000D34BD"/>
    <w:rsid w:val="000E03D4"/>
    <w:rsid w:val="000F7FFD"/>
    <w:rsid w:val="001029B3"/>
    <w:rsid w:val="001073BC"/>
    <w:rsid w:val="00110FF6"/>
    <w:rsid w:val="00113E38"/>
    <w:rsid w:val="00117650"/>
    <w:rsid w:val="00126AB3"/>
    <w:rsid w:val="001356D3"/>
    <w:rsid w:val="001364D4"/>
    <w:rsid w:val="00137E42"/>
    <w:rsid w:val="00144355"/>
    <w:rsid w:val="001475FB"/>
    <w:rsid w:val="001606A9"/>
    <w:rsid w:val="00176428"/>
    <w:rsid w:val="00177A29"/>
    <w:rsid w:val="00185C9E"/>
    <w:rsid w:val="00187BE4"/>
    <w:rsid w:val="001971FD"/>
    <w:rsid w:val="001A0274"/>
    <w:rsid w:val="001A4D80"/>
    <w:rsid w:val="001A6A08"/>
    <w:rsid w:val="00201AE6"/>
    <w:rsid w:val="00202841"/>
    <w:rsid w:val="0020404F"/>
    <w:rsid w:val="00215162"/>
    <w:rsid w:val="002320CF"/>
    <w:rsid w:val="00233E7D"/>
    <w:rsid w:val="00235936"/>
    <w:rsid w:val="00237087"/>
    <w:rsid w:val="00237702"/>
    <w:rsid w:val="00241D4E"/>
    <w:rsid w:val="00246F31"/>
    <w:rsid w:val="002569B2"/>
    <w:rsid w:val="00280A51"/>
    <w:rsid w:val="00285F74"/>
    <w:rsid w:val="00293D0C"/>
    <w:rsid w:val="00295AE4"/>
    <w:rsid w:val="00297027"/>
    <w:rsid w:val="002A4A56"/>
    <w:rsid w:val="002B1618"/>
    <w:rsid w:val="002B6B6E"/>
    <w:rsid w:val="002C07DF"/>
    <w:rsid w:val="002E69CA"/>
    <w:rsid w:val="00317F46"/>
    <w:rsid w:val="003264FA"/>
    <w:rsid w:val="00332349"/>
    <w:rsid w:val="00337A30"/>
    <w:rsid w:val="003455E3"/>
    <w:rsid w:val="00355E9F"/>
    <w:rsid w:val="00362A57"/>
    <w:rsid w:val="00370A09"/>
    <w:rsid w:val="00392635"/>
    <w:rsid w:val="003A1BD4"/>
    <w:rsid w:val="003C2DA7"/>
    <w:rsid w:val="003D3BD6"/>
    <w:rsid w:val="003D5431"/>
    <w:rsid w:val="003F0D1B"/>
    <w:rsid w:val="003F4619"/>
    <w:rsid w:val="0040482B"/>
    <w:rsid w:val="00410C4E"/>
    <w:rsid w:val="00411613"/>
    <w:rsid w:val="0042292A"/>
    <w:rsid w:val="0042370F"/>
    <w:rsid w:val="004251C5"/>
    <w:rsid w:val="00450DA5"/>
    <w:rsid w:val="00461208"/>
    <w:rsid w:val="00466014"/>
    <w:rsid w:val="00473FD1"/>
    <w:rsid w:val="004821F1"/>
    <w:rsid w:val="00483B35"/>
    <w:rsid w:val="00491501"/>
    <w:rsid w:val="00493EA8"/>
    <w:rsid w:val="004A4332"/>
    <w:rsid w:val="004A686D"/>
    <w:rsid w:val="004B36C9"/>
    <w:rsid w:val="004C1B38"/>
    <w:rsid w:val="004C7F89"/>
    <w:rsid w:val="004E4A64"/>
    <w:rsid w:val="004E51B5"/>
    <w:rsid w:val="004E7A74"/>
    <w:rsid w:val="004F1C07"/>
    <w:rsid w:val="004F2467"/>
    <w:rsid w:val="00501A8A"/>
    <w:rsid w:val="005031C4"/>
    <w:rsid w:val="00503249"/>
    <w:rsid w:val="005047FE"/>
    <w:rsid w:val="00506B0E"/>
    <w:rsid w:val="00513BD8"/>
    <w:rsid w:val="005268F1"/>
    <w:rsid w:val="00567E3E"/>
    <w:rsid w:val="0058022B"/>
    <w:rsid w:val="00592B9A"/>
    <w:rsid w:val="005A74F5"/>
    <w:rsid w:val="005B059A"/>
    <w:rsid w:val="005B0727"/>
    <w:rsid w:val="005D0652"/>
    <w:rsid w:val="005D1522"/>
    <w:rsid w:val="005D2678"/>
    <w:rsid w:val="005E0967"/>
    <w:rsid w:val="0060632E"/>
    <w:rsid w:val="0061291D"/>
    <w:rsid w:val="00613114"/>
    <w:rsid w:val="00622A8C"/>
    <w:rsid w:val="00623199"/>
    <w:rsid w:val="006359A1"/>
    <w:rsid w:val="0063650C"/>
    <w:rsid w:val="00637238"/>
    <w:rsid w:val="00641622"/>
    <w:rsid w:val="00642174"/>
    <w:rsid w:val="00652F15"/>
    <w:rsid w:val="00663154"/>
    <w:rsid w:val="00665EB0"/>
    <w:rsid w:val="00680E9B"/>
    <w:rsid w:val="0068265D"/>
    <w:rsid w:val="00697C3D"/>
    <w:rsid w:val="006A05B5"/>
    <w:rsid w:val="006B306A"/>
    <w:rsid w:val="006B494E"/>
    <w:rsid w:val="006B6159"/>
    <w:rsid w:val="006C64F6"/>
    <w:rsid w:val="006D4817"/>
    <w:rsid w:val="006D63F0"/>
    <w:rsid w:val="006E0AD1"/>
    <w:rsid w:val="006E3556"/>
    <w:rsid w:val="006F0400"/>
    <w:rsid w:val="006F0CB2"/>
    <w:rsid w:val="006F2E01"/>
    <w:rsid w:val="007004C1"/>
    <w:rsid w:val="00731685"/>
    <w:rsid w:val="00752C2E"/>
    <w:rsid w:val="00752C90"/>
    <w:rsid w:val="00765C84"/>
    <w:rsid w:val="0078225F"/>
    <w:rsid w:val="007A17C5"/>
    <w:rsid w:val="007B6549"/>
    <w:rsid w:val="007D1E0C"/>
    <w:rsid w:val="007D256B"/>
    <w:rsid w:val="007E588A"/>
    <w:rsid w:val="00800BB0"/>
    <w:rsid w:val="00800E89"/>
    <w:rsid w:val="00805972"/>
    <w:rsid w:val="00806A78"/>
    <w:rsid w:val="00817FAD"/>
    <w:rsid w:val="00822859"/>
    <w:rsid w:val="00825F31"/>
    <w:rsid w:val="008337C3"/>
    <w:rsid w:val="008412A1"/>
    <w:rsid w:val="008414E1"/>
    <w:rsid w:val="0085464C"/>
    <w:rsid w:val="00862840"/>
    <w:rsid w:val="00871E19"/>
    <w:rsid w:val="00880399"/>
    <w:rsid w:val="00890BC8"/>
    <w:rsid w:val="008A1699"/>
    <w:rsid w:val="008B1DCD"/>
    <w:rsid w:val="008B2E6A"/>
    <w:rsid w:val="008B7BF1"/>
    <w:rsid w:val="008C0759"/>
    <w:rsid w:val="008C3007"/>
    <w:rsid w:val="008C5D2C"/>
    <w:rsid w:val="008D3466"/>
    <w:rsid w:val="008D3C76"/>
    <w:rsid w:val="008D585D"/>
    <w:rsid w:val="008D69CF"/>
    <w:rsid w:val="008E1235"/>
    <w:rsid w:val="008E4A8D"/>
    <w:rsid w:val="008F1D22"/>
    <w:rsid w:val="008F5F92"/>
    <w:rsid w:val="008F7033"/>
    <w:rsid w:val="009023B6"/>
    <w:rsid w:val="00910211"/>
    <w:rsid w:val="009115A9"/>
    <w:rsid w:val="00912C3C"/>
    <w:rsid w:val="00922B9B"/>
    <w:rsid w:val="009245C4"/>
    <w:rsid w:val="00927E2F"/>
    <w:rsid w:val="00947FC3"/>
    <w:rsid w:val="00960136"/>
    <w:rsid w:val="00970ACE"/>
    <w:rsid w:val="00972B46"/>
    <w:rsid w:val="00992359"/>
    <w:rsid w:val="009944E1"/>
    <w:rsid w:val="009A0381"/>
    <w:rsid w:val="009A1AF9"/>
    <w:rsid w:val="009A50B5"/>
    <w:rsid w:val="009A7BF8"/>
    <w:rsid w:val="009B29F3"/>
    <w:rsid w:val="009B7011"/>
    <w:rsid w:val="009C05CD"/>
    <w:rsid w:val="009C307F"/>
    <w:rsid w:val="009D5A6A"/>
    <w:rsid w:val="009F09D4"/>
    <w:rsid w:val="009F3297"/>
    <w:rsid w:val="009F645A"/>
    <w:rsid w:val="00A0085E"/>
    <w:rsid w:val="00A1161E"/>
    <w:rsid w:val="00A179BB"/>
    <w:rsid w:val="00A201C1"/>
    <w:rsid w:val="00A2709F"/>
    <w:rsid w:val="00A410C0"/>
    <w:rsid w:val="00A415C8"/>
    <w:rsid w:val="00A45E0E"/>
    <w:rsid w:val="00A53802"/>
    <w:rsid w:val="00A6085E"/>
    <w:rsid w:val="00A65E6F"/>
    <w:rsid w:val="00A705DF"/>
    <w:rsid w:val="00A9704B"/>
    <w:rsid w:val="00AA153D"/>
    <w:rsid w:val="00AB7AA5"/>
    <w:rsid w:val="00AC1CBC"/>
    <w:rsid w:val="00AC2B01"/>
    <w:rsid w:val="00AC3F08"/>
    <w:rsid w:val="00AC72D1"/>
    <w:rsid w:val="00AD5EFE"/>
    <w:rsid w:val="00AE2574"/>
    <w:rsid w:val="00AE6814"/>
    <w:rsid w:val="00AF20AB"/>
    <w:rsid w:val="00B00858"/>
    <w:rsid w:val="00B20073"/>
    <w:rsid w:val="00B200B3"/>
    <w:rsid w:val="00B257E7"/>
    <w:rsid w:val="00B50872"/>
    <w:rsid w:val="00B514A2"/>
    <w:rsid w:val="00B54084"/>
    <w:rsid w:val="00B56F63"/>
    <w:rsid w:val="00B662E0"/>
    <w:rsid w:val="00B66D10"/>
    <w:rsid w:val="00B67560"/>
    <w:rsid w:val="00B76EF8"/>
    <w:rsid w:val="00B80E60"/>
    <w:rsid w:val="00B86486"/>
    <w:rsid w:val="00B935A5"/>
    <w:rsid w:val="00B9479E"/>
    <w:rsid w:val="00B97028"/>
    <w:rsid w:val="00BD4B77"/>
    <w:rsid w:val="00BF558C"/>
    <w:rsid w:val="00C14FD7"/>
    <w:rsid w:val="00C20D0F"/>
    <w:rsid w:val="00C3224E"/>
    <w:rsid w:val="00C41444"/>
    <w:rsid w:val="00C51354"/>
    <w:rsid w:val="00C53B40"/>
    <w:rsid w:val="00C66081"/>
    <w:rsid w:val="00C71FA7"/>
    <w:rsid w:val="00C75139"/>
    <w:rsid w:val="00C906F0"/>
    <w:rsid w:val="00C90E23"/>
    <w:rsid w:val="00C92AB7"/>
    <w:rsid w:val="00C93439"/>
    <w:rsid w:val="00CA5914"/>
    <w:rsid w:val="00CC5712"/>
    <w:rsid w:val="00CD0E4A"/>
    <w:rsid w:val="00CD5C85"/>
    <w:rsid w:val="00CE6A1B"/>
    <w:rsid w:val="00CF4FD1"/>
    <w:rsid w:val="00D06CD8"/>
    <w:rsid w:val="00D1569D"/>
    <w:rsid w:val="00D228A0"/>
    <w:rsid w:val="00D26935"/>
    <w:rsid w:val="00D4256A"/>
    <w:rsid w:val="00D469AC"/>
    <w:rsid w:val="00D604CB"/>
    <w:rsid w:val="00D632F7"/>
    <w:rsid w:val="00D80F26"/>
    <w:rsid w:val="00D82265"/>
    <w:rsid w:val="00D91570"/>
    <w:rsid w:val="00DA6B96"/>
    <w:rsid w:val="00DB10DA"/>
    <w:rsid w:val="00DB28F3"/>
    <w:rsid w:val="00DB6E12"/>
    <w:rsid w:val="00DC3357"/>
    <w:rsid w:val="00DD1F0D"/>
    <w:rsid w:val="00DD215E"/>
    <w:rsid w:val="00DE7EF8"/>
    <w:rsid w:val="00DF13CA"/>
    <w:rsid w:val="00E033BA"/>
    <w:rsid w:val="00E109E5"/>
    <w:rsid w:val="00E22398"/>
    <w:rsid w:val="00E25A1A"/>
    <w:rsid w:val="00E36FCA"/>
    <w:rsid w:val="00E56851"/>
    <w:rsid w:val="00E80D3A"/>
    <w:rsid w:val="00E91567"/>
    <w:rsid w:val="00E91967"/>
    <w:rsid w:val="00E92406"/>
    <w:rsid w:val="00EA2B5B"/>
    <w:rsid w:val="00EA4305"/>
    <w:rsid w:val="00EA470A"/>
    <w:rsid w:val="00EA6671"/>
    <w:rsid w:val="00EB0FDB"/>
    <w:rsid w:val="00EB67BA"/>
    <w:rsid w:val="00EC21AA"/>
    <w:rsid w:val="00EC3E41"/>
    <w:rsid w:val="00EC5649"/>
    <w:rsid w:val="00EC6D03"/>
    <w:rsid w:val="00ED3FA2"/>
    <w:rsid w:val="00EE08B3"/>
    <w:rsid w:val="00EE6F69"/>
    <w:rsid w:val="00F0268C"/>
    <w:rsid w:val="00F05E37"/>
    <w:rsid w:val="00F11BC9"/>
    <w:rsid w:val="00F428E2"/>
    <w:rsid w:val="00F5020A"/>
    <w:rsid w:val="00F50412"/>
    <w:rsid w:val="00F53168"/>
    <w:rsid w:val="00F63855"/>
    <w:rsid w:val="00F65FD9"/>
    <w:rsid w:val="00F80C23"/>
    <w:rsid w:val="00F91CA2"/>
    <w:rsid w:val="00F95E09"/>
    <w:rsid w:val="00FA02EC"/>
    <w:rsid w:val="00FB1D36"/>
    <w:rsid w:val="00FB1D3F"/>
    <w:rsid w:val="00FC4B19"/>
    <w:rsid w:val="00FD4DCF"/>
    <w:rsid w:val="00FD65CB"/>
    <w:rsid w:val="00FD7F7A"/>
    <w:rsid w:val="00FF72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6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14A2"/>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DB10DA"/>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qFormat/>
    <w:rsid w:val="00AA153D"/>
    <w:pPr>
      <w:keepNext/>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6B96"/>
    <w:pPr>
      <w:ind w:left="720"/>
      <w:contextualSpacing/>
    </w:pPr>
  </w:style>
  <w:style w:type="character" w:styleId="Hypertextovodkaz">
    <w:name w:val="Hyperlink"/>
    <w:basedOn w:val="Standardnpsmoodstavce"/>
    <w:uiPriority w:val="99"/>
    <w:semiHidden/>
    <w:unhideWhenUsed/>
    <w:rsid w:val="00237702"/>
    <w:rPr>
      <w:color w:val="F75201"/>
      <w:u w:val="single"/>
    </w:rPr>
  </w:style>
  <w:style w:type="character" w:customStyle="1" w:styleId="Nadpis6Char">
    <w:name w:val="Nadpis 6 Char"/>
    <w:basedOn w:val="Standardnpsmoodstavce"/>
    <w:link w:val="Nadpis6"/>
    <w:rsid w:val="00AA153D"/>
    <w:rPr>
      <w:rFonts w:ascii="Times New Roman" w:eastAsia="Times New Roman" w:hAnsi="Times New Roman" w:cs="Times New Roman"/>
      <w:b/>
      <w:sz w:val="24"/>
      <w:szCs w:val="20"/>
      <w:lang w:eastAsia="cs-CZ"/>
    </w:rPr>
  </w:style>
  <w:style w:type="paragraph" w:styleId="Normlnweb">
    <w:name w:val="Normal (Web)"/>
    <w:basedOn w:val="Normln"/>
    <w:uiPriority w:val="99"/>
    <w:semiHidden/>
    <w:unhideWhenUsed/>
    <w:rsid w:val="00CE6A1B"/>
    <w:pPr>
      <w:spacing w:before="100" w:beforeAutospacing="1" w:after="100" w:afterAutospacing="1"/>
    </w:pPr>
  </w:style>
  <w:style w:type="paragraph" w:styleId="Zhlav">
    <w:name w:val="header"/>
    <w:basedOn w:val="Normln"/>
    <w:link w:val="ZhlavChar"/>
    <w:uiPriority w:val="99"/>
    <w:unhideWhenUsed/>
    <w:rsid w:val="00295AE4"/>
    <w:pPr>
      <w:tabs>
        <w:tab w:val="center" w:pos="4536"/>
        <w:tab w:val="right" w:pos="9072"/>
      </w:tabs>
    </w:pPr>
  </w:style>
  <w:style w:type="character" w:customStyle="1" w:styleId="ZhlavChar">
    <w:name w:val="Záhlaví Char"/>
    <w:basedOn w:val="Standardnpsmoodstavce"/>
    <w:link w:val="Zhlav"/>
    <w:uiPriority w:val="99"/>
    <w:rsid w:val="00295AE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95AE4"/>
    <w:pPr>
      <w:tabs>
        <w:tab w:val="center" w:pos="4536"/>
        <w:tab w:val="right" w:pos="9072"/>
      </w:tabs>
    </w:pPr>
  </w:style>
  <w:style w:type="character" w:customStyle="1" w:styleId="ZpatChar">
    <w:name w:val="Zápatí Char"/>
    <w:basedOn w:val="Standardnpsmoodstavce"/>
    <w:link w:val="Zpat"/>
    <w:uiPriority w:val="99"/>
    <w:rsid w:val="00295AE4"/>
    <w:rPr>
      <w:rFonts w:ascii="Times New Roman" w:eastAsia="Times New Roman" w:hAnsi="Times New Roman" w:cs="Times New Roman"/>
      <w:sz w:val="24"/>
      <w:szCs w:val="24"/>
      <w:lang w:eastAsia="cs-CZ"/>
    </w:rPr>
  </w:style>
  <w:style w:type="paragraph" w:customStyle="1" w:styleId="Default">
    <w:name w:val="Default"/>
    <w:rsid w:val="005E0967"/>
    <w:pPr>
      <w:autoSpaceDE w:val="0"/>
      <w:autoSpaceDN w:val="0"/>
      <w:adjustRightInd w:val="0"/>
      <w:spacing w:after="0" w:line="240" w:lineRule="auto"/>
    </w:pPr>
    <w:rPr>
      <w:rFonts w:ascii="Arial" w:hAnsi="Arial" w:cs="Arial"/>
      <w:color w:val="000000"/>
      <w:sz w:val="24"/>
      <w:szCs w:val="24"/>
    </w:rPr>
  </w:style>
  <w:style w:type="character" w:customStyle="1" w:styleId="Nadpis4Char">
    <w:name w:val="Nadpis 4 Char"/>
    <w:basedOn w:val="Standardnpsmoodstavce"/>
    <w:link w:val="Nadpis4"/>
    <w:uiPriority w:val="9"/>
    <w:semiHidden/>
    <w:rsid w:val="00DB10DA"/>
    <w:rPr>
      <w:rFonts w:asciiTheme="majorHAnsi" w:eastAsiaTheme="majorEastAsia" w:hAnsiTheme="majorHAnsi" w:cstheme="majorBidi"/>
      <w:i/>
      <w:iCs/>
      <w:color w:val="365F91" w:themeColor="accent1" w:themeShade="BF"/>
      <w:sz w:val="24"/>
      <w:szCs w:val="24"/>
      <w:lang w:eastAsia="cs-CZ"/>
    </w:rPr>
  </w:style>
  <w:style w:type="paragraph" w:customStyle="1" w:styleId="arial">
    <w:name w:val="arial"/>
    <w:basedOn w:val="Normln"/>
    <w:rsid w:val="00DB10DA"/>
    <w:pPr>
      <w:numPr>
        <w:numId w:val="27"/>
      </w:numPr>
      <w:jc w:val="both"/>
    </w:pPr>
    <w:rPr>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ndermarket.cz/common/zakazka/zakazkaList.seam?zakazkaId=T004%2F17V%2F00015333&amp;actionMethod=common%2Fzakazka%2FzakazkaList.xhtml%3AopenZakazkaAction.openZakazka&amp;cid=13522&amp;dataModelSelection=zakazkaIter%3AzakazkaModel%5B0%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12499</Characters>
  <Application>Microsoft Office Word</Application>
  <DocSecurity>0</DocSecurity>
  <Lines>104</Lines>
  <Paragraphs>29</Paragraphs>
  <ScaleCrop>false</ScaleCrop>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2020-05-15T09:08:00Z</dcterms:created>
  <dcterms:modified xsi:type="dcterms:W3CDTF">2020-05-15T09:08:00Z</dcterms:modified>
</cp:coreProperties>
</file>