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587310AE" w:rsidR="00923483" w:rsidRDefault="00D213FA"/>
    <w:p w14:paraId="166B1127" w14:textId="77777777" w:rsidR="00604890" w:rsidRPr="00E800FB" w:rsidRDefault="00604890" w:rsidP="00A75721">
      <w:pPr>
        <w:spacing w:after="0"/>
        <w:jc w:val="center"/>
        <w:rPr>
          <w:b/>
          <w:sz w:val="40"/>
          <w:szCs w:val="40"/>
        </w:rPr>
      </w:pPr>
      <w:r w:rsidRPr="00E800FB">
        <w:rPr>
          <w:b/>
          <w:sz w:val="40"/>
          <w:szCs w:val="40"/>
        </w:rPr>
        <w:t>O B J E D N Á V K</w:t>
      </w:r>
      <w:r w:rsidR="00A75721" w:rsidRPr="00E800FB">
        <w:rPr>
          <w:b/>
          <w:sz w:val="40"/>
          <w:szCs w:val="40"/>
        </w:rPr>
        <w:t> </w:t>
      </w:r>
      <w:r w:rsidRPr="00E800FB">
        <w:rPr>
          <w:b/>
          <w:sz w:val="40"/>
          <w:szCs w:val="40"/>
        </w:rPr>
        <w:t>A</w:t>
      </w:r>
    </w:p>
    <w:p w14:paraId="41D44F15" w14:textId="76D078E8" w:rsidR="009D35A1" w:rsidRPr="00E800FB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E800FB">
        <w:rPr>
          <w:sz w:val="24"/>
          <w:szCs w:val="24"/>
        </w:rPr>
        <w:t>Číslo objednávky:</w:t>
      </w:r>
      <w:r w:rsidR="008E3E46" w:rsidRPr="00E800FB">
        <w:rPr>
          <w:sz w:val="24"/>
          <w:szCs w:val="24"/>
        </w:rPr>
        <w:t xml:space="preserve"> </w:t>
      </w:r>
      <w:r w:rsidR="00BE6C9D" w:rsidRPr="00E800FB">
        <w:rPr>
          <w:b/>
          <w:sz w:val="24"/>
          <w:szCs w:val="24"/>
        </w:rPr>
        <w:t>06EU-004767</w:t>
      </w:r>
      <w:r w:rsidR="00BE6C9D" w:rsidRPr="00E800FB">
        <w:rPr>
          <w:sz w:val="20"/>
          <w:szCs w:val="20"/>
        </w:rPr>
        <w:t xml:space="preserve"> </w:t>
      </w:r>
      <w:r w:rsidR="008E3E46" w:rsidRPr="00E800FB">
        <w:rPr>
          <w:sz w:val="20"/>
          <w:szCs w:val="20"/>
        </w:rPr>
        <w:t>(uvádějte při fakturaci)</w:t>
      </w:r>
    </w:p>
    <w:p w14:paraId="211824E7" w14:textId="1D9A5210" w:rsidR="008E3E46" w:rsidRPr="00E800FB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E800FB">
        <w:rPr>
          <w:bCs/>
          <w:sz w:val="24"/>
          <w:szCs w:val="24"/>
        </w:rPr>
        <w:t xml:space="preserve">Číslo dodavatele: </w:t>
      </w:r>
      <w:proofErr w:type="spellStart"/>
      <w:r w:rsidR="00E800FB" w:rsidRPr="00E800FB">
        <w:rPr>
          <w:bCs/>
          <w:sz w:val="24"/>
          <w:szCs w:val="24"/>
          <w:highlight w:val="black"/>
        </w:rPr>
        <w:t>xxxxxxxxxx</w:t>
      </w:r>
      <w:proofErr w:type="spellEnd"/>
    </w:p>
    <w:p w14:paraId="364C7595" w14:textId="28FD1A3D" w:rsidR="008E3E46" w:rsidRPr="00E800FB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E800FB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800FB">
        <w:rPr>
          <w:bCs/>
          <w:sz w:val="24"/>
          <w:szCs w:val="24"/>
        </w:rPr>
        <w:t xml:space="preserve">ISPROFIN/ISPROFOND: </w:t>
      </w:r>
      <w:r w:rsidR="00BE6C9D" w:rsidRPr="00E800FB">
        <w:rPr>
          <w:sz w:val="24"/>
          <w:szCs w:val="24"/>
          <w:highlight w:val="black"/>
        </w:rPr>
        <w:t>3271110901.34685 INV protihluky</w:t>
      </w:r>
      <w:r w:rsidR="00BE6C9D" w:rsidRPr="00E800FB">
        <w:rPr>
          <w:sz w:val="24"/>
          <w:szCs w:val="24"/>
        </w:rPr>
        <w:t xml:space="preserve"> </w:t>
      </w:r>
      <w:r w:rsidRPr="00E800FB">
        <w:rPr>
          <w:sz w:val="20"/>
          <w:szCs w:val="20"/>
        </w:rPr>
        <w:t>(uvádějte při fakturaci)</w:t>
      </w:r>
    </w:p>
    <w:p w14:paraId="2E47A06F" w14:textId="77777777" w:rsidR="008E3E46" w:rsidRPr="00E800FB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64FFB24D" w:rsidR="008E3E46" w:rsidRPr="00E800FB" w:rsidRDefault="00BE6C9D" w:rsidP="008E3E46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E800FB">
        <w:rPr>
          <w:b/>
          <w:bCs/>
          <w:szCs w:val="28"/>
          <w:u w:val="single"/>
        </w:rPr>
        <w:t>I/19 Spálené Poříčí – památková zóna – IV. etapa řešení SHZ</w:t>
      </w:r>
    </w:p>
    <w:p w14:paraId="4463750E" w14:textId="5E07D30D" w:rsidR="00CB3AB0" w:rsidRPr="00E800FB" w:rsidRDefault="00CB3AB0" w:rsidP="002E029E">
      <w:pPr>
        <w:spacing w:after="0"/>
        <w:rPr>
          <w:b/>
        </w:rPr>
      </w:pPr>
    </w:p>
    <w:p w14:paraId="6D38822C" w14:textId="77777777" w:rsidR="008E3E46" w:rsidRPr="00E800FB" w:rsidRDefault="008E3E46" w:rsidP="002E029E">
      <w:pPr>
        <w:spacing w:after="0"/>
        <w:rPr>
          <w:b/>
        </w:rPr>
        <w:sectPr w:rsidR="008E3E46" w:rsidRPr="00E800FB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E800FB" w:rsidRDefault="00604890">
      <w:pPr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Objednatel:</w:t>
      </w:r>
    </w:p>
    <w:p w14:paraId="2D91457E" w14:textId="060960B4" w:rsidR="00604890" w:rsidRPr="00E800FB" w:rsidRDefault="00604890" w:rsidP="00153D94">
      <w:pPr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>Ředitelství silnic a dálnic ČR</w:t>
      </w:r>
    </w:p>
    <w:p w14:paraId="30CF88F9" w14:textId="3FB27FFF" w:rsidR="008E3E46" w:rsidRPr="00E800FB" w:rsidRDefault="008E3E46" w:rsidP="00153D94">
      <w:pPr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>Správa Plzeň, Hřímalého 37, 301 00 Plzeň</w:t>
      </w:r>
    </w:p>
    <w:p w14:paraId="2C4E01A4" w14:textId="77777777" w:rsidR="00604890" w:rsidRPr="00E800FB" w:rsidRDefault="00604890" w:rsidP="00153D94">
      <w:pPr>
        <w:spacing w:after="0"/>
        <w:rPr>
          <w:sz w:val="24"/>
          <w:szCs w:val="24"/>
          <w:highlight w:val="black"/>
        </w:rPr>
      </w:pPr>
      <w:r w:rsidRPr="00E800FB">
        <w:rPr>
          <w:sz w:val="24"/>
          <w:szCs w:val="24"/>
        </w:rPr>
        <w:t xml:space="preserve">Bankovní spojení: </w:t>
      </w:r>
      <w:r w:rsidRPr="00E800FB">
        <w:rPr>
          <w:sz w:val="24"/>
          <w:szCs w:val="24"/>
          <w:highlight w:val="black"/>
        </w:rPr>
        <w:t>ČNB</w:t>
      </w:r>
    </w:p>
    <w:p w14:paraId="47A1C014" w14:textId="77777777" w:rsidR="00604890" w:rsidRPr="00E800FB" w:rsidRDefault="00604890" w:rsidP="00153D94">
      <w:pPr>
        <w:spacing w:after="0"/>
        <w:rPr>
          <w:sz w:val="24"/>
          <w:szCs w:val="24"/>
          <w:highlight w:val="black"/>
        </w:rPr>
      </w:pPr>
      <w:r w:rsidRPr="00E800FB">
        <w:rPr>
          <w:sz w:val="24"/>
          <w:szCs w:val="24"/>
        </w:rPr>
        <w:t xml:space="preserve">Číslo účtu: </w:t>
      </w:r>
      <w:r w:rsidRPr="00E800FB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E800FB" w:rsidRDefault="00604890" w:rsidP="00153D94">
      <w:pPr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>IČO: 65993390</w:t>
      </w:r>
    </w:p>
    <w:p w14:paraId="312D64FA" w14:textId="7F98D14B" w:rsidR="00604890" w:rsidRPr="00E800FB" w:rsidRDefault="00604890" w:rsidP="00153D94">
      <w:pPr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DIČ: </w:t>
      </w:r>
      <w:r w:rsidR="00105E6A" w:rsidRPr="00E800FB">
        <w:rPr>
          <w:sz w:val="24"/>
          <w:szCs w:val="24"/>
        </w:rPr>
        <w:t>CZ65993390</w:t>
      </w:r>
    </w:p>
    <w:p w14:paraId="696270D3" w14:textId="377C799F" w:rsidR="00FD16D6" w:rsidRPr="00E800FB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E800FB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E800FB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6AC41FF6" w:rsidR="00FD16D6" w:rsidRPr="00E800FB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FA51432" w14:textId="2A5BF751" w:rsidR="00E800FB" w:rsidRPr="00E800FB" w:rsidRDefault="00E800FB" w:rsidP="00E800FB">
      <w:pPr>
        <w:tabs>
          <w:tab w:val="left" w:pos="2268"/>
        </w:tabs>
        <w:spacing w:after="0"/>
        <w:ind w:right="-780"/>
        <w:contextualSpacing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Dodavatel:</w:t>
      </w:r>
    </w:p>
    <w:p w14:paraId="7648917B" w14:textId="46FAD408" w:rsidR="00FD16D6" w:rsidRPr="00E800FB" w:rsidRDefault="00FD16D6" w:rsidP="00E800FB">
      <w:pPr>
        <w:tabs>
          <w:tab w:val="left" w:pos="2268"/>
        </w:tabs>
        <w:spacing w:after="0"/>
        <w:ind w:right="-780"/>
        <w:contextualSpacing/>
        <w:rPr>
          <w:sz w:val="24"/>
          <w:szCs w:val="24"/>
        </w:rPr>
      </w:pPr>
      <w:r w:rsidRPr="00E800FB">
        <w:rPr>
          <w:sz w:val="24"/>
          <w:szCs w:val="24"/>
        </w:rPr>
        <w:t xml:space="preserve">Obchodní jméno: </w:t>
      </w:r>
      <w:r w:rsidR="00E800FB">
        <w:rPr>
          <w:sz w:val="24"/>
          <w:szCs w:val="24"/>
        </w:rPr>
        <w:t>EKOLA group, spol. s r.o.</w:t>
      </w:r>
    </w:p>
    <w:p w14:paraId="5902184A" w14:textId="47B69D78" w:rsidR="00FD16D6" w:rsidRPr="00E800FB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E800FB">
        <w:rPr>
          <w:sz w:val="24"/>
          <w:szCs w:val="24"/>
        </w:rPr>
        <w:t xml:space="preserve">Adresa: </w:t>
      </w:r>
      <w:r w:rsidR="00E800FB">
        <w:rPr>
          <w:sz w:val="24"/>
          <w:szCs w:val="24"/>
        </w:rPr>
        <w:t>Mistrovská 558/4, 108 00 Praha 10</w:t>
      </w:r>
    </w:p>
    <w:p w14:paraId="406AAB6B" w14:textId="77777777" w:rsidR="00FD16D6" w:rsidRPr="00E800FB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Bankovní spojení: </w:t>
      </w:r>
      <w:r w:rsidRPr="00E800FB">
        <w:rPr>
          <w:sz w:val="24"/>
          <w:szCs w:val="24"/>
          <w:highlight w:val="black"/>
        </w:rPr>
        <w:t>[bude doplněno]</w:t>
      </w:r>
      <w:r w:rsidRPr="00E800FB">
        <w:rPr>
          <w:sz w:val="24"/>
          <w:szCs w:val="24"/>
        </w:rPr>
        <w:tab/>
      </w:r>
    </w:p>
    <w:p w14:paraId="573F0E39" w14:textId="77777777" w:rsidR="00FD16D6" w:rsidRPr="00E800FB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Číslo účtu: </w:t>
      </w:r>
      <w:r w:rsidRPr="00E800FB">
        <w:rPr>
          <w:sz w:val="24"/>
          <w:szCs w:val="24"/>
          <w:highlight w:val="black"/>
        </w:rPr>
        <w:t>[bude doplněno]</w:t>
      </w:r>
    </w:p>
    <w:p w14:paraId="29117F31" w14:textId="0F88F379" w:rsidR="00FD16D6" w:rsidRPr="00E800FB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IČO: </w:t>
      </w:r>
      <w:r w:rsidR="00E800FB">
        <w:rPr>
          <w:sz w:val="24"/>
          <w:szCs w:val="24"/>
        </w:rPr>
        <w:t>63981278</w:t>
      </w:r>
    </w:p>
    <w:p w14:paraId="1F495684" w14:textId="598159E1" w:rsidR="00FD16D6" w:rsidRPr="00E800FB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DIČ: </w:t>
      </w:r>
      <w:r w:rsidR="00E800FB">
        <w:rPr>
          <w:sz w:val="24"/>
          <w:szCs w:val="24"/>
        </w:rPr>
        <w:t>CZ63981278</w:t>
      </w:r>
    </w:p>
    <w:p w14:paraId="5B88C604" w14:textId="6299F210" w:rsidR="00FD16D6" w:rsidRPr="00E800FB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E800FB">
        <w:rPr>
          <w:sz w:val="24"/>
          <w:szCs w:val="24"/>
        </w:rPr>
        <w:t xml:space="preserve">Kontaktní osoba: </w:t>
      </w:r>
      <w:r w:rsidRPr="00E800FB">
        <w:rPr>
          <w:sz w:val="24"/>
          <w:szCs w:val="24"/>
          <w:highlight w:val="black"/>
        </w:rPr>
        <w:t>[bude doplněno]</w:t>
      </w:r>
      <w:proofErr w:type="spellStart"/>
      <w:r w:rsidR="00E800FB" w:rsidRPr="00E800FB">
        <w:rPr>
          <w:sz w:val="24"/>
          <w:szCs w:val="24"/>
          <w:highlight w:val="black"/>
        </w:rPr>
        <w:t>xxxxxxx</w:t>
      </w:r>
      <w:proofErr w:type="spellEnd"/>
      <w:r w:rsidRPr="00E800FB">
        <w:rPr>
          <w:sz w:val="24"/>
          <w:szCs w:val="24"/>
        </w:rPr>
        <w:tab/>
      </w:r>
    </w:p>
    <w:p w14:paraId="29216CE8" w14:textId="77777777" w:rsidR="00FD16D6" w:rsidRPr="00E800FB" w:rsidRDefault="00FD16D6" w:rsidP="00FD16D6">
      <w:pPr>
        <w:rPr>
          <w:sz w:val="24"/>
          <w:szCs w:val="24"/>
        </w:rPr>
      </w:pPr>
    </w:p>
    <w:p w14:paraId="10320009" w14:textId="77777777" w:rsidR="00EF028F" w:rsidRPr="00E800FB" w:rsidRDefault="00EF028F">
      <w:pPr>
        <w:rPr>
          <w:sz w:val="24"/>
          <w:szCs w:val="24"/>
        </w:rPr>
      </w:pPr>
    </w:p>
    <w:p w14:paraId="693818E2" w14:textId="77777777" w:rsidR="00EF028F" w:rsidRPr="00E800FB" w:rsidRDefault="00EF028F">
      <w:pPr>
        <w:rPr>
          <w:b/>
          <w:sz w:val="24"/>
          <w:szCs w:val="24"/>
        </w:rPr>
        <w:sectPr w:rsidR="00EF028F" w:rsidRPr="00E800FB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746A4B90" w:rsidR="00A87460" w:rsidRPr="00E800FB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 xml:space="preserve">Tato objednávka </w:t>
      </w:r>
      <w:r w:rsidR="00607143" w:rsidRPr="00E800FB">
        <w:rPr>
          <w:rFonts w:cs="Times New Roman"/>
          <w:sz w:val="24"/>
          <w:szCs w:val="24"/>
        </w:rPr>
        <w:t>O</w:t>
      </w:r>
      <w:r w:rsidRPr="00E800FB">
        <w:rPr>
          <w:rFonts w:cs="Times New Roman"/>
          <w:sz w:val="24"/>
          <w:szCs w:val="24"/>
        </w:rPr>
        <w:t xml:space="preserve">bjednatele zavazuje po jejím potvrzení </w:t>
      </w:r>
      <w:r w:rsidR="00607143" w:rsidRPr="00E800FB">
        <w:rPr>
          <w:rFonts w:cs="Times New Roman"/>
          <w:sz w:val="24"/>
          <w:szCs w:val="24"/>
        </w:rPr>
        <w:t>D</w:t>
      </w:r>
      <w:r w:rsidRPr="00E800FB">
        <w:rPr>
          <w:rFonts w:cs="Times New Roman"/>
          <w:sz w:val="24"/>
          <w:szCs w:val="24"/>
        </w:rPr>
        <w:t>odavatele</w:t>
      </w:r>
      <w:r w:rsidR="00DE7F99" w:rsidRPr="00E800FB">
        <w:rPr>
          <w:rFonts w:cs="Times New Roman"/>
          <w:sz w:val="24"/>
          <w:szCs w:val="24"/>
        </w:rPr>
        <w:t>m</w:t>
      </w:r>
      <w:r w:rsidRPr="00E800FB">
        <w:rPr>
          <w:rFonts w:cs="Times New Roman"/>
          <w:sz w:val="24"/>
          <w:szCs w:val="24"/>
        </w:rPr>
        <w:t xml:space="preserve"> obě </w:t>
      </w:r>
      <w:r w:rsidR="00542302" w:rsidRPr="00E800FB">
        <w:rPr>
          <w:rFonts w:cs="Times New Roman"/>
          <w:sz w:val="24"/>
          <w:szCs w:val="24"/>
        </w:rPr>
        <w:t>s</w:t>
      </w:r>
      <w:r w:rsidRPr="00E800FB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E800FB">
        <w:rPr>
          <w:rFonts w:cs="Times New Roman"/>
          <w:sz w:val="24"/>
          <w:szCs w:val="24"/>
        </w:rPr>
        <w:t xml:space="preserve">Dodavatel </w:t>
      </w:r>
      <w:r w:rsidRPr="00E800FB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E800FB">
        <w:rPr>
          <w:rFonts w:cs="Times New Roman"/>
          <w:sz w:val="24"/>
          <w:szCs w:val="24"/>
        </w:rPr>
        <w:t>O</w:t>
      </w:r>
      <w:r w:rsidRPr="00E800FB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E800FB">
        <w:rPr>
          <w:rFonts w:cs="Times New Roman"/>
          <w:sz w:val="24"/>
          <w:szCs w:val="24"/>
        </w:rPr>
        <w:t>objednávkou</w:t>
      </w:r>
      <w:r w:rsidRPr="00E800FB">
        <w:rPr>
          <w:rFonts w:cs="Times New Roman"/>
          <w:sz w:val="24"/>
          <w:szCs w:val="24"/>
        </w:rPr>
        <w:t xml:space="preserve"> cenu uvedenou níže.</w:t>
      </w:r>
    </w:p>
    <w:p w14:paraId="5A4F9420" w14:textId="1D96E675" w:rsidR="00604890" w:rsidRPr="00E800FB" w:rsidRDefault="00604890" w:rsidP="00A87460">
      <w:pPr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Místo dodání:</w:t>
      </w:r>
      <w:r w:rsidR="00453955" w:rsidRPr="00E800FB">
        <w:rPr>
          <w:b/>
          <w:sz w:val="24"/>
          <w:szCs w:val="24"/>
        </w:rPr>
        <w:t xml:space="preserve"> </w:t>
      </w:r>
      <w:r w:rsidR="00BE6C9D" w:rsidRPr="00E800FB">
        <w:rPr>
          <w:sz w:val="24"/>
          <w:szCs w:val="24"/>
        </w:rPr>
        <w:t>Ředitelství silnic a dálnic ČR, Správa Plzeň, Hřímalého 37, 301 00 Plzeň</w:t>
      </w:r>
    </w:p>
    <w:p w14:paraId="26946945" w14:textId="0EA9E760" w:rsidR="008E3E46" w:rsidRPr="00E800FB" w:rsidRDefault="00FD1FB4" w:rsidP="008E3E46">
      <w:pPr>
        <w:ind w:right="-426"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Kontaktní osoba O</w:t>
      </w:r>
      <w:r w:rsidR="00604890" w:rsidRPr="00E800FB">
        <w:rPr>
          <w:b/>
          <w:sz w:val="24"/>
          <w:szCs w:val="24"/>
        </w:rPr>
        <w:t>bjednatele:</w:t>
      </w:r>
      <w:r w:rsidR="00453955" w:rsidRPr="00E800FB">
        <w:rPr>
          <w:b/>
          <w:sz w:val="24"/>
          <w:szCs w:val="24"/>
        </w:rPr>
        <w:t xml:space="preserve"> </w:t>
      </w:r>
      <w:r w:rsidR="008E3E46" w:rsidRPr="00E800FB">
        <w:rPr>
          <w:sz w:val="24"/>
          <w:szCs w:val="24"/>
          <w:highlight w:val="black"/>
        </w:rPr>
        <w:t>Ladislava Martínková</w:t>
      </w:r>
      <w:r w:rsidR="008E3E46" w:rsidRPr="00E800FB">
        <w:rPr>
          <w:b/>
          <w:sz w:val="24"/>
          <w:szCs w:val="24"/>
          <w:highlight w:val="black"/>
        </w:rPr>
        <w:t xml:space="preserve">, </w:t>
      </w:r>
      <w:r w:rsidR="008E3E46" w:rsidRPr="00E800FB">
        <w:rPr>
          <w:sz w:val="24"/>
          <w:szCs w:val="24"/>
          <w:highlight w:val="black"/>
        </w:rPr>
        <w:t>te</w:t>
      </w:r>
      <w:r w:rsidR="00301DD9" w:rsidRPr="00E800FB">
        <w:rPr>
          <w:sz w:val="24"/>
          <w:szCs w:val="24"/>
          <w:highlight w:val="black"/>
        </w:rPr>
        <w:t>l. 954 915</w:t>
      </w:r>
      <w:r w:rsidR="008E3E46" w:rsidRPr="00E800FB">
        <w:rPr>
          <w:sz w:val="24"/>
          <w:szCs w:val="24"/>
          <w:highlight w:val="black"/>
        </w:rPr>
        <w:t> 761</w:t>
      </w:r>
      <w:r w:rsidR="008E3E46" w:rsidRPr="00E800FB">
        <w:rPr>
          <w:b/>
          <w:sz w:val="24"/>
          <w:szCs w:val="24"/>
          <w:highlight w:val="black"/>
        </w:rPr>
        <w:t xml:space="preserve">, </w:t>
      </w:r>
      <w:r w:rsidR="008E3E46" w:rsidRPr="00E800FB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E800FB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E800FB">
        <w:rPr>
          <w:sz w:val="24"/>
          <w:szCs w:val="24"/>
        </w:rPr>
        <w:t xml:space="preserve">  </w:t>
      </w:r>
    </w:p>
    <w:p w14:paraId="39F2742E" w14:textId="74239F8D" w:rsidR="00604890" w:rsidRPr="00E800FB" w:rsidRDefault="008E3E46">
      <w:pPr>
        <w:rPr>
          <w:b/>
          <w:sz w:val="24"/>
          <w:szCs w:val="24"/>
        </w:rPr>
      </w:pPr>
      <w:r w:rsidRPr="00E800FB">
        <w:rPr>
          <w:rFonts w:cs="Times New Roman"/>
          <w:b/>
          <w:sz w:val="24"/>
          <w:szCs w:val="24"/>
        </w:rPr>
        <w:t xml:space="preserve">Kontaktní osoba ve věcech technických: </w:t>
      </w:r>
      <w:r w:rsidR="00BE6C9D" w:rsidRPr="00E800FB">
        <w:rPr>
          <w:sz w:val="24"/>
          <w:szCs w:val="24"/>
          <w:highlight w:val="black"/>
        </w:rPr>
        <w:t xml:space="preserve">Michal Syřínek, tel. 954 915 740, e-mail: </w:t>
      </w:r>
      <w:hyperlink r:id="rId12" w:history="1">
        <w:r w:rsidR="00BE6C9D" w:rsidRPr="00E800FB">
          <w:rPr>
            <w:rStyle w:val="Hypertextovodkaz"/>
            <w:color w:val="auto"/>
            <w:sz w:val="24"/>
            <w:szCs w:val="24"/>
            <w:highlight w:val="black"/>
          </w:rPr>
          <w:t>michal.syrinek@rsd.cz</w:t>
        </w:r>
      </w:hyperlink>
      <w:r w:rsidR="00BE6C9D" w:rsidRPr="00E800FB">
        <w:rPr>
          <w:sz w:val="24"/>
          <w:szCs w:val="24"/>
        </w:rPr>
        <w:t xml:space="preserve"> </w:t>
      </w:r>
    </w:p>
    <w:p w14:paraId="255FD969" w14:textId="6E6F3EA0" w:rsidR="00604890" w:rsidRPr="00E800FB" w:rsidRDefault="00604890" w:rsidP="00153D94">
      <w:pPr>
        <w:jc w:val="both"/>
        <w:rPr>
          <w:sz w:val="24"/>
          <w:szCs w:val="24"/>
        </w:rPr>
      </w:pPr>
      <w:r w:rsidRPr="00E800FB">
        <w:rPr>
          <w:b/>
          <w:sz w:val="24"/>
          <w:szCs w:val="24"/>
        </w:rPr>
        <w:t xml:space="preserve">Fakturujte: </w:t>
      </w:r>
      <w:r w:rsidR="008E3E46" w:rsidRPr="00E800FB">
        <w:rPr>
          <w:sz w:val="24"/>
          <w:szCs w:val="24"/>
        </w:rPr>
        <w:t>Ředitelství silnic a dálnic ČR, Správa Plzeň, Hřímalého 37, 301 00 Plzeň</w:t>
      </w:r>
    </w:p>
    <w:p w14:paraId="42C0E761" w14:textId="09419A81" w:rsidR="004D5C72" w:rsidRPr="00E800FB" w:rsidRDefault="00604890" w:rsidP="00F42E23">
      <w:pPr>
        <w:jc w:val="both"/>
        <w:rPr>
          <w:sz w:val="24"/>
          <w:szCs w:val="24"/>
        </w:rPr>
      </w:pPr>
      <w:r w:rsidRPr="00E800FB">
        <w:rPr>
          <w:b/>
          <w:sz w:val="24"/>
          <w:szCs w:val="24"/>
        </w:rPr>
        <w:t>Obchodní a platební podmínky:</w:t>
      </w:r>
      <w:r w:rsidR="00153D94" w:rsidRPr="00E800FB">
        <w:rPr>
          <w:b/>
          <w:sz w:val="24"/>
          <w:szCs w:val="24"/>
        </w:rPr>
        <w:t xml:space="preserve"> </w:t>
      </w:r>
      <w:r w:rsidR="00153D94" w:rsidRPr="00E800FB">
        <w:rPr>
          <w:sz w:val="24"/>
          <w:szCs w:val="24"/>
        </w:rPr>
        <w:t xml:space="preserve">Objednatel uhradí cenu jednorázovým bankovním převodem na účet </w:t>
      </w:r>
      <w:r w:rsidR="00DB2E94" w:rsidRPr="00E800FB">
        <w:rPr>
          <w:sz w:val="24"/>
          <w:szCs w:val="24"/>
        </w:rPr>
        <w:t>D</w:t>
      </w:r>
      <w:r w:rsidR="00153D94" w:rsidRPr="00E800FB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E800FB">
        <w:rPr>
          <w:sz w:val="24"/>
          <w:szCs w:val="24"/>
        </w:rPr>
        <w:t>O</w:t>
      </w:r>
      <w:r w:rsidR="00153D94" w:rsidRPr="00E800FB">
        <w:rPr>
          <w:sz w:val="24"/>
          <w:szCs w:val="24"/>
        </w:rPr>
        <w:t xml:space="preserve">bjednateli. Fakturu lze předložit nejdříve po protokolárním převzetí </w:t>
      </w:r>
      <w:r w:rsidR="00BE6C9D" w:rsidRPr="00E800FB">
        <w:rPr>
          <w:sz w:val="24"/>
          <w:szCs w:val="24"/>
        </w:rPr>
        <w:t>služeb</w:t>
      </w:r>
      <w:r w:rsidR="00FD1FB4" w:rsidRPr="00E800FB">
        <w:rPr>
          <w:sz w:val="24"/>
          <w:szCs w:val="24"/>
        </w:rPr>
        <w:t xml:space="preserve"> O</w:t>
      </w:r>
      <w:r w:rsidR="00153D94" w:rsidRPr="00E800FB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E800FB">
        <w:rPr>
          <w:sz w:val="24"/>
          <w:szCs w:val="24"/>
        </w:rPr>
        <w:t xml:space="preserve"> </w:t>
      </w:r>
      <w:r w:rsidR="00C01C05" w:rsidRPr="00E800FB">
        <w:rPr>
          <w:sz w:val="24"/>
          <w:szCs w:val="24"/>
        </w:rPr>
        <w:t>Potvrzením přijetí (akceptací)</w:t>
      </w:r>
      <w:r w:rsidR="00D766F5" w:rsidRPr="00E800FB">
        <w:rPr>
          <w:sz w:val="24"/>
          <w:szCs w:val="24"/>
        </w:rPr>
        <w:t xml:space="preserve"> tét</w:t>
      </w:r>
      <w:r w:rsidR="00FD1FB4" w:rsidRPr="00E800FB">
        <w:rPr>
          <w:sz w:val="24"/>
          <w:szCs w:val="24"/>
        </w:rPr>
        <w:t>o objednávky se D</w:t>
      </w:r>
      <w:r w:rsidR="00D766F5" w:rsidRPr="00E800FB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E800FB">
        <w:rPr>
          <w:sz w:val="24"/>
          <w:szCs w:val="24"/>
        </w:rPr>
        <w:t>akceptaci</w:t>
      </w:r>
      <w:r w:rsidR="00FD1FB4" w:rsidRPr="00E800FB">
        <w:rPr>
          <w:sz w:val="24"/>
          <w:szCs w:val="24"/>
        </w:rPr>
        <w:t xml:space="preserve"> objednávky D</w:t>
      </w:r>
      <w:r w:rsidR="00D766F5" w:rsidRPr="00E800FB">
        <w:rPr>
          <w:sz w:val="24"/>
          <w:szCs w:val="24"/>
        </w:rPr>
        <w:t>odavatelem s jakýmikoliv změnami</w:t>
      </w:r>
      <w:r w:rsidR="0095425D" w:rsidRPr="00E800FB">
        <w:rPr>
          <w:sz w:val="24"/>
          <w:szCs w:val="24"/>
        </w:rPr>
        <w:t xml:space="preserve"> jejího obsahu, k takovému právnímu jednání </w:t>
      </w:r>
      <w:r w:rsidR="00B15555" w:rsidRPr="00E800FB">
        <w:rPr>
          <w:sz w:val="24"/>
          <w:szCs w:val="24"/>
        </w:rPr>
        <w:t xml:space="preserve">Dodavatele </w:t>
      </w:r>
      <w:r w:rsidR="0095425D" w:rsidRPr="00E800FB">
        <w:rPr>
          <w:sz w:val="24"/>
          <w:szCs w:val="24"/>
        </w:rPr>
        <w:t>se nepřihlíží</w:t>
      </w:r>
      <w:r w:rsidR="00C01C05" w:rsidRPr="00E800FB">
        <w:rPr>
          <w:sz w:val="24"/>
          <w:szCs w:val="24"/>
        </w:rPr>
        <w:t xml:space="preserve">. </w:t>
      </w:r>
      <w:r w:rsidR="00F42E23" w:rsidRPr="00E800FB">
        <w:rPr>
          <w:sz w:val="24"/>
          <w:szCs w:val="24"/>
        </w:rPr>
        <w:t>Dodavatel poskytuje souhlas s uveřejněním objednávky</w:t>
      </w:r>
      <w:r w:rsidR="00D03DA3" w:rsidRPr="00E800FB">
        <w:rPr>
          <w:sz w:val="24"/>
          <w:szCs w:val="24"/>
        </w:rPr>
        <w:t xml:space="preserve"> a</w:t>
      </w:r>
      <w:r w:rsidR="00F204DF" w:rsidRPr="00E800FB">
        <w:rPr>
          <w:sz w:val="24"/>
          <w:szCs w:val="24"/>
        </w:rPr>
        <w:t xml:space="preserve"> </w:t>
      </w:r>
      <w:r w:rsidR="00D03DA3" w:rsidRPr="00E800FB">
        <w:rPr>
          <w:sz w:val="24"/>
          <w:szCs w:val="24"/>
        </w:rPr>
        <w:t>jejího potvrzení</w:t>
      </w:r>
      <w:r w:rsidR="00F42E23" w:rsidRPr="00E800FB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E800FB">
        <w:rPr>
          <w:sz w:val="24"/>
          <w:szCs w:val="24"/>
        </w:rPr>
        <w:t>ako „zákon o registru smluv“), O</w:t>
      </w:r>
      <w:r w:rsidR="00F42E23" w:rsidRPr="00E800FB">
        <w:rPr>
          <w:sz w:val="24"/>
          <w:szCs w:val="24"/>
        </w:rPr>
        <w:t>bjednatelem.</w:t>
      </w:r>
      <w:r w:rsidR="000C7C8D" w:rsidRPr="00E800FB">
        <w:rPr>
          <w:sz w:val="24"/>
          <w:szCs w:val="24"/>
        </w:rPr>
        <w:t xml:space="preserve"> </w:t>
      </w:r>
      <w:r w:rsidR="00F31356" w:rsidRPr="00E800FB">
        <w:rPr>
          <w:sz w:val="24"/>
          <w:szCs w:val="24"/>
        </w:rPr>
        <w:lastRenderedPageBreak/>
        <w:t xml:space="preserve">Objednávka je účinná okamžikem zveřejnění v registru smluv. </w:t>
      </w:r>
      <w:r w:rsidR="00105E6A" w:rsidRPr="00E800FB">
        <w:rPr>
          <w:sz w:val="24"/>
          <w:szCs w:val="24"/>
        </w:rPr>
        <w:t>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56643789" w:rsidR="000F1A3C" w:rsidRPr="00E800FB" w:rsidRDefault="000F1A3C" w:rsidP="00F42E23">
      <w:pPr>
        <w:jc w:val="both"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 xml:space="preserve">Záruční lhůta: </w:t>
      </w:r>
      <w:r w:rsidR="00BE6C9D" w:rsidRPr="00E800FB">
        <w:rPr>
          <w:sz w:val="24"/>
          <w:szCs w:val="24"/>
        </w:rPr>
        <w:t>dle Občanského zákoníku</w:t>
      </w:r>
    </w:p>
    <w:p w14:paraId="3DE3979E" w14:textId="4BA34E4D" w:rsidR="00604890" w:rsidRPr="00E800FB" w:rsidRDefault="00604890" w:rsidP="00153D94">
      <w:pPr>
        <w:jc w:val="both"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Objednáváme u Vás:</w:t>
      </w:r>
      <w:r w:rsidR="00453955" w:rsidRPr="00E800FB">
        <w:rPr>
          <w:b/>
          <w:sz w:val="24"/>
          <w:szCs w:val="24"/>
        </w:rPr>
        <w:t xml:space="preserve"> </w:t>
      </w:r>
      <w:r w:rsidR="009B5592" w:rsidRPr="00E800FB">
        <w:rPr>
          <w:sz w:val="24"/>
          <w:szCs w:val="24"/>
        </w:rPr>
        <w:t>IV. etapu řešení staré hlukové zátěže</w:t>
      </w:r>
    </w:p>
    <w:p w14:paraId="4B6DBF34" w14:textId="54917E74" w:rsidR="000F1A3C" w:rsidRPr="00E800FB" w:rsidRDefault="00604890" w:rsidP="000F1A3C">
      <w:pPr>
        <w:jc w:val="both"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>Lhůta pro dodání či termín dodání:</w:t>
      </w:r>
      <w:r w:rsidR="00F73CB7" w:rsidRPr="00E800FB">
        <w:rPr>
          <w:b/>
          <w:sz w:val="24"/>
          <w:szCs w:val="24"/>
        </w:rPr>
        <w:t xml:space="preserve"> </w:t>
      </w:r>
      <w:r w:rsidR="009B5592" w:rsidRPr="00E800FB">
        <w:rPr>
          <w:b/>
          <w:sz w:val="24"/>
          <w:szCs w:val="24"/>
          <w:u w:val="single"/>
        </w:rPr>
        <w:t>do 31. 07. 2020</w:t>
      </w:r>
    </w:p>
    <w:p w14:paraId="21A0252C" w14:textId="2FDCDBE3" w:rsidR="00604890" w:rsidRPr="00E800FB" w:rsidRDefault="00604890" w:rsidP="00153D94">
      <w:pPr>
        <w:jc w:val="both"/>
        <w:rPr>
          <w:sz w:val="24"/>
          <w:szCs w:val="24"/>
        </w:rPr>
      </w:pPr>
      <w:r w:rsidRPr="00E800FB">
        <w:rPr>
          <w:b/>
          <w:sz w:val="24"/>
          <w:szCs w:val="24"/>
        </w:rPr>
        <w:t>Celkov</w:t>
      </w:r>
      <w:r w:rsidR="000F1A3C" w:rsidRPr="00E800FB">
        <w:rPr>
          <w:b/>
          <w:sz w:val="24"/>
          <w:szCs w:val="24"/>
        </w:rPr>
        <w:t>á hodnota objednávky v Kč:</w:t>
      </w:r>
    </w:p>
    <w:p w14:paraId="0F101587" w14:textId="6B4F12CD" w:rsidR="000F1A3C" w:rsidRPr="00E800F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 xml:space="preserve">Cena bez DPH:         </w:t>
      </w:r>
      <w:r w:rsidR="00E800FB">
        <w:rPr>
          <w:b/>
          <w:sz w:val="24"/>
          <w:szCs w:val="24"/>
        </w:rPr>
        <w:t xml:space="preserve">  </w:t>
      </w:r>
      <w:r w:rsidRPr="00E800FB">
        <w:rPr>
          <w:b/>
          <w:sz w:val="24"/>
          <w:szCs w:val="24"/>
        </w:rPr>
        <w:t xml:space="preserve"> </w:t>
      </w:r>
      <w:r w:rsidR="00E800FB">
        <w:rPr>
          <w:b/>
          <w:sz w:val="24"/>
          <w:szCs w:val="24"/>
        </w:rPr>
        <w:t>120 000,00</w:t>
      </w:r>
    </w:p>
    <w:p w14:paraId="77169A4E" w14:textId="77777777" w:rsidR="000F1A3C" w:rsidRPr="00E800FB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92AA05E" w14:textId="13022C8E" w:rsidR="000F1A3C" w:rsidRPr="00E800F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 xml:space="preserve">DPH 21%:                   </w:t>
      </w:r>
      <w:r w:rsidR="00E800FB">
        <w:rPr>
          <w:b/>
          <w:sz w:val="24"/>
          <w:szCs w:val="24"/>
        </w:rPr>
        <w:t xml:space="preserve">  25 200,00</w:t>
      </w:r>
    </w:p>
    <w:p w14:paraId="3356FDB5" w14:textId="77777777" w:rsidR="000F1A3C" w:rsidRPr="00E800FB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2B4FCE24" w14:textId="32727AE5" w:rsidR="000F1A3C" w:rsidRPr="00E800F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E800FB">
        <w:rPr>
          <w:b/>
          <w:sz w:val="24"/>
          <w:szCs w:val="24"/>
        </w:rPr>
        <w:t xml:space="preserve">Cena celkem s DPH:  </w:t>
      </w:r>
      <w:r w:rsidR="00E800FB">
        <w:rPr>
          <w:b/>
          <w:sz w:val="24"/>
          <w:szCs w:val="24"/>
        </w:rPr>
        <w:t xml:space="preserve"> </w:t>
      </w:r>
      <w:r w:rsidR="00E800FB" w:rsidRPr="00E800FB">
        <w:rPr>
          <w:b/>
          <w:sz w:val="24"/>
          <w:szCs w:val="24"/>
        </w:rPr>
        <w:t>145 200,00</w:t>
      </w:r>
    </w:p>
    <w:p w14:paraId="35931061" w14:textId="77777777" w:rsidR="000F1A3C" w:rsidRPr="00E800FB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E800FB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E800FB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E800FB">
        <w:rPr>
          <w:rFonts w:cs="Times New Roman"/>
          <w:sz w:val="24"/>
          <w:szCs w:val="24"/>
          <w:highlight w:val="black"/>
        </w:rPr>
        <w:t>.</w:t>
      </w:r>
      <w:r w:rsidR="000F1A3C" w:rsidRPr="00E800FB">
        <w:rPr>
          <w:rFonts w:cs="Times New Roman"/>
          <w:sz w:val="24"/>
          <w:szCs w:val="24"/>
        </w:rPr>
        <w:t xml:space="preserve"> </w:t>
      </w:r>
      <w:r w:rsidR="006024F2" w:rsidRPr="00E800FB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E800FB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E800FB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 xml:space="preserve">Nedílnou součástí této </w:t>
      </w:r>
      <w:r w:rsidR="00765848" w:rsidRPr="00E800FB">
        <w:rPr>
          <w:rFonts w:cs="Times New Roman"/>
          <w:sz w:val="24"/>
          <w:szCs w:val="24"/>
        </w:rPr>
        <w:t>objednávky</w:t>
      </w:r>
      <w:r w:rsidRPr="00E800FB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36EDF0D1" w:rsidR="00282421" w:rsidRPr="00E800FB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>Příloha č. 1 – Specifikace služeb</w:t>
      </w:r>
    </w:p>
    <w:p w14:paraId="7870F805" w14:textId="133DAC60" w:rsidR="00282421" w:rsidRPr="00E800FB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E800FB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72A0289A" w:rsidR="00EC18C0" w:rsidRPr="00E800FB" w:rsidRDefault="00EC18C0" w:rsidP="00EC18C0">
      <w:pPr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 xml:space="preserve">V </w:t>
      </w:r>
      <w:r w:rsidR="000C7C3B" w:rsidRPr="00E800FB">
        <w:rPr>
          <w:rFonts w:cs="Times New Roman"/>
          <w:sz w:val="24"/>
          <w:szCs w:val="24"/>
        </w:rPr>
        <w:t>Plzni</w:t>
      </w:r>
      <w:r w:rsidRPr="00E800FB">
        <w:rPr>
          <w:rFonts w:cs="Times New Roman"/>
          <w:sz w:val="24"/>
          <w:szCs w:val="24"/>
        </w:rPr>
        <w:t xml:space="preserve"> dne </w:t>
      </w:r>
      <w:r w:rsidR="009B5592" w:rsidRPr="00E800FB">
        <w:rPr>
          <w:rFonts w:cs="Times New Roman"/>
          <w:sz w:val="24"/>
          <w:szCs w:val="24"/>
        </w:rPr>
        <w:t xml:space="preserve">  </w:t>
      </w:r>
      <w:r w:rsidR="00E800FB">
        <w:rPr>
          <w:rFonts w:cs="Times New Roman"/>
          <w:sz w:val="24"/>
          <w:szCs w:val="24"/>
        </w:rPr>
        <w:t>13-05-2020</w:t>
      </w:r>
      <w:r w:rsidR="009B5592" w:rsidRPr="00E800FB">
        <w:rPr>
          <w:rFonts w:cs="Times New Roman"/>
          <w:sz w:val="24"/>
          <w:szCs w:val="24"/>
        </w:rPr>
        <w:t xml:space="preserve">                               </w:t>
      </w:r>
      <w:r w:rsidR="00E800FB">
        <w:rPr>
          <w:rFonts w:cs="Times New Roman"/>
          <w:sz w:val="24"/>
          <w:szCs w:val="24"/>
        </w:rPr>
        <w:t xml:space="preserve">              </w:t>
      </w:r>
      <w:r w:rsidR="000C7C3B" w:rsidRPr="00E800FB">
        <w:rPr>
          <w:rFonts w:cs="Times New Roman"/>
          <w:sz w:val="24"/>
          <w:szCs w:val="24"/>
        </w:rPr>
        <w:t>V</w:t>
      </w:r>
      <w:r w:rsidR="00E800FB">
        <w:rPr>
          <w:rFonts w:cs="Times New Roman"/>
          <w:sz w:val="24"/>
          <w:szCs w:val="24"/>
        </w:rPr>
        <w:t xml:space="preserve"> Praze dne </w:t>
      </w:r>
      <w:proofErr w:type="gramStart"/>
      <w:r w:rsidR="00E800FB">
        <w:rPr>
          <w:rFonts w:cs="Times New Roman"/>
          <w:sz w:val="24"/>
          <w:szCs w:val="24"/>
        </w:rPr>
        <w:t>12.05.2020</w:t>
      </w:r>
      <w:proofErr w:type="gramEnd"/>
      <w:r w:rsidR="000C7C3B" w:rsidRPr="00E800FB">
        <w:rPr>
          <w:rFonts w:cs="Times New Roman"/>
          <w:sz w:val="24"/>
          <w:szCs w:val="24"/>
        </w:rPr>
        <w:t xml:space="preserve"> </w:t>
      </w:r>
    </w:p>
    <w:p w14:paraId="0B953F3C" w14:textId="4E886A69" w:rsidR="000C7C3B" w:rsidRPr="00E800FB" w:rsidRDefault="00EC18C0" w:rsidP="00EC18C0">
      <w:pPr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>Za Objednatele:</w:t>
      </w:r>
      <w:r w:rsidR="000C7C3B" w:rsidRPr="00E800FB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E800FB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E800FB" w:rsidRDefault="00EC18C0" w:rsidP="00EC18C0">
      <w:pPr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E800FB" w:rsidRDefault="000C7C3B" w:rsidP="00EC18C0">
      <w:pPr>
        <w:jc w:val="both"/>
        <w:rPr>
          <w:rFonts w:cs="Times New Roman"/>
          <w:sz w:val="24"/>
          <w:szCs w:val="24"/>
        </w:rPr>
      </w:pPr>
      <w:r w:rsidRPr="00E800FB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1C502E54" w14:textId="20474FAF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6AC8B614" w14:textId="35C5171C" w:rsidR="00E800FB" w:rsidRDefault="00E800FB" w:rsidP="00EC18C0">
      <w:pPr>
        <w:jc w:val="both"/>
        <w:rPr>
          <w:rFonts w:cs="Times New Roman"/>
          <w:sz w:val="24"/>
          <w:szCs w:val="24"/>
        </w:rPr>
      </w:pPr>
    </w:p>
    <w:p w14:paraId="6514685C" w14:textId="3DA01146" w:rsidR="00E800FB" w:rsidRDefault="00E800FB" w:rsidP="00EC18C0">
      <w:pPr>
        <w:jc w:val="both"/>
        <w:rPr>
          <w:rFonts w:cs="Times New Roman"/>
          <w:sz w:val="24"/>
          <w:szCs w:val="24"/>
        </w:rPr>
      </w:pPr>
    </w:p>
    <w:p w14:paraId="40C3846B" w14:textId="77777777" w:rsidR="00E800FB" w:rsidRPr="00E800FB" w:rsidRDefault="00E800FB" w:rsidP="00EC18C0">
      <w:pPr>
        <w:jc w:val="both"/>
        <w:rPr>
          <w:rFonts w:cs="Times New Roman"/>
          <w:sz w:val="24"/>
          <w:szCs w:val="24"/>
        </w:rPr>
      </w:pPr>
    </w:p>
    <w:p w14:paraId="6EDC6762" w14:textId="1BAD278A" w:rsidR="000C7C3B" w:rsidRPr="00E800FB" w:rsidRDefault="000C7C3B" w:rsidP="00EC18C0">
      <w:pPr>
        <w:jc w:val="both"/>
        <w:rPr>
          <w:rFonts w:cs="Times New Roman"/>
          <w:sz w:val="24"/>
          <w:szCs w:val="24"/>
        </w:rPr>
      </w:pPr>
    </w:p>
    <w:p w14:paraId="6D8EA93F" w14:textId="3BC5ADB0" w:rsidR="000C7C3B" w:rsidRPr="00E800FB" w:rsidRDefault="000C7C3B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E800FB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E800FB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679EBD01" w14:textId="2BAEB125" w:rsidR="009B5592" w:rsidRPr="00E800FB" w:rsidRDefault="009B5592" w:rsidP="009B5592">
      <w:pPr>
        <w:spacing w:before="120"/>
        <w:rPr>
          <w:sz w:val="24"/>
          <w:szCs w:val="24"/>
        </w:rPr>
      </w:pPr>
      <w:r w:rsidRPr="00E800FB">
        <w:rPr>
          <w:sz w:val="24"/>
          <w:szCs w:val="24"/>
        </w:rPr>
        <w:t>Předmětem zakázky je:  IV. etapa řešení staré hlukové zátěže v úseku Silnice I/19 Spálené Poříčí – aktualizace vlastníků a podkladů pro realizace v památkové zóně v rozsahu dle Příkazu ředitele provozního úseku č. 2/2013</w:t>
      </w:r>
    </w:p>
    <w:p w14:paraId="6D7A5BBE" w14:textId="18238809" w:rsidR="009B5592" w:rsidRPr="00E800FB" w:rsidRDefault="009B5592" w:rsidP="009B5592">
      <w:pPr>
        <w:spacing w:after="0"/>
        <w:jc w:val="both"/>
        <w:rPr>
          <w:sz w:val="24"/>
          <w:szCs w:val="24"/>
        </w:rPr>
      </w:pPr>
      <w:r w:rsidRPr="00E800FB">
        <w:rPr>
          <w:sz w:val="24"/>
          <w:szCs w:val="24"/>
        </w:rPr>
        <w:t>Zdůvodnění předmětu</w:t>
      </w:r>
    </w:p>
    <w:p w14:paraId="0A1E67C9" w14:textId="2DCB287E" w:rsidR="009B5592" w:rsidRPr="00E800FB" w:rsidRDefault="009B5592" w:rsidP="009B5592">
      <w:pPr>
        <w:spacing w:after="0"/>
        <w:jc w:val="both"/>
        <w:rPr>
          <w:sz w:val="24"/>
          <w:szCs w:val="24"/>
        </w:rPr>
      </w:pPr>
      <w:r w:rsidRPr="00E800FB">
        <w:rPr>
          <w:sz w:val="24"/>
          <w:szCs w:val="24"/>
        </w:rPr>
        <w:t>Postupné odstraňování Staré hlukové zátěže</w:t>
      </w:r>
    </w:p>
    <w:p w14:paraId="65DD2DBB" w14:textId="4AD6B449" w:rsidR="00F661F1" w:rsidRPr="00E800FB" w:rsidRDefault="00F661F1" w:rsidP="009B5592">
      <w:pPr>
        <w:spacing w:after="0"/>
        <w:jc w:val="both"/>
        <w:rPr>
          <w:sz w:val="24"/>
          <w:szCs w:val="24"/>
        </w:rPr>
      </w:pPr>
    </w:p>
    <w:p w14:paraId="3C904285" w14:textId="77777777" w:rsidR="00F661F1" w:rsidRPr="00E800FB" w:rsidRDefault="00F661F1" w:rsidP="00F661F1">
      <w:pPr>
        <w:outlineLvl w:val="0"/>
        <w:rPr>
          <w:sz w:val="24"/>
          <w:szCs w:val="24"/>
        </w:rPr>
      </w:pPr>
      <w:r w:rsidRPr="00E800FB">
        <w:rPr>
          <w:b/>
          <w:sz w:val="24"/>
          <w:szCs w:val="24"/>
        </w:rPr>
        <w:t>Počet vyhotovení:</w:t>
      </w:r>
      <w:r w:rsidRPr="00E800FB">
        <w:rPr>
          <w:sz w:val="24"/>
          <w:szCs w:val="24"/>
        </w:rPr>
        <w:t xml:space="preserve"> 2 výtisky a v digitální podobě 1x CD, 1xUSB</w:t>
      </w:r>
    </w:p>
    <w:p w14:paraId="45849570" w14:textId="51FDB61B" w:rsidR="009B5592" w:rsidRPr="00E800FB" w:rsidRDefault="009B5592" w:rsidP="009B5592">
      <w:pPr>
        <w:spacing w:after="0"/>
        <w:jc w:val="both"/>
        <w:rPr>
          <w:sz w:val="24"/>
          <w:szCs w:val="24"/>
        </w:rPr>
      </w:pPr>
    </w:p>
    <w:p w14:paraId="235B2CA5" w14:textId="0AC62878" w:rsidR="009B5592" w:rsidRPr="00E800FB" w:rsidRDefault="009B5592" w:rsidP="009B5592">
      <w:pPr>
        <w:outlineLvl w:val="0"/>
        <w:rPr>
          <w:rFonts w:asciiTheme="minorHAnsi" w:hAnsiTheme="minorHAnsi"/>
          <w:b/>
          <w:sz w:val="22"/>
        </w:rPr>
      </w:pPr>
      <w:r w:rsidRPr="00E800FB">
        <w:rPr>
          <w:b/>
          <w:sz w:val="24"/>
          <w:szCs w:val="24"/>
        </w:rPr>
        <w:t>Soupis prací:</w:t>
      </w:r>
      <w:r w:rsidRPr="00E800FB">
        <w:rPr>
          <w:b/>
          <w:sz w:val="24"/>
          <w:szCs w:val="24"/>
        </w:rPr>
        <w:fldChar w:fldCharType="begin"/>
      </w:r>
      <w:r w:rsidRPr="00E800FB">
        <w:rPr>
          <w:b/>
          <w:sz w:val="24"/>
          <w:szCs w:val="24"/>
        </w:rPr>
        <w:instrText xml:space="preserve"> LINK </w:instrText>
      </w:r>
      <w:r w:rsidR="00F661F1" w:rsidRPr="00E800FB">
        <w:rPr>
          <w:b/>
          <w:sz w:val="24"/>
          <w:szCs w:val="24"/>
        </w:rPr>
        <w:instrText xml:space="preserve">Excel.Sheet.12 "\\\\PLZV-F01\\Work_PLZ\\33000g\\33300g\\Objednávky 2020\\Objednávka krátká nad 50.000,-Kč bez DPH\\I-19 Spálené Poříčí - panátková zóna - IV.et. řešení SHZ - EKOLA group\\19_SpálenéPoříčí_IVetapa_aktualizace_soupis.xlsx" List1!R4C1:R16C7 </w:instrText>
      </w:r>
      <w:r w:rsidRPr="00E800FB">
        <w:rPr>
          <w:b/>
          <w:sz w:val="24"/>
          <w:szCs w:val="24"/>
        </w:rPr>
        <w:instrText xml:space="preserve">\a \f 5 \h  \* MERGEFORMAT </w:instrText>
      </w:r>
      <w:r w:rsidRPr="00E800FB">
        <w:rPr>
          <w:b/>
          <w:sz w:val="24"/>
          <w:szCs w:val="24"/>
        </w:rPr>
        <w:fldChar w:fldCharType="separate"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71"/>
        <w:gridCol w:w="788"/>
        <w:gridCol w:w="31"/>
        <w:gridCol w:w="3434"/>
        <w:gridCol w:w="14"/>
        <w:gridCol w:w="982"/>
        <w:gridCol w:w="851"/>
        <w:gridCol w:w="960"/>
        <w:gridCol w:w="963"/>
      </w:tblGrid>
      <w:tr w:rsidR="009B5592" w:rsidRPr="00E800FB" w14:paraId="0BC25C5A" w14:textId="77777777" w:rsidTr="009B5592">
        <w:trPr>
          <w:trHeight w:val="525"/>
        </w:trPr>
        <w:tc>
          <w:tcPr>
            <w:tcW w:w="5538" w:type="dxa"/>
            <w:gridSpan w:val="5"/>
            <w:noWrap/>
            <w:hideMark/>
          </w:tcPr>
          <w:p w14:paraId="152EDE79" w14:textId="60DD42DE" w:rsidR="009B5592" w:rsidRPr="00E800FB" w:rsidRDefault="009B5592" w:rsidP="009B5592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Popis činnosti - nákladů</w:t>
            </w:r>
          </w:p>
        </w:tc>
        <w:tc>
          <w:tcPr>
            <w:tcW w:w="982" w:type="dxa"/>
            <w:noWrap/>
            <w:hideMark/>
          </w:tcPr>
          <w:p w14:paraId="421985FF" w14:textId="77777777" w:rsidR="009B5592" w:rsidRPr="00E800FB" w:rsidRDefault="009B5592" w:rsidP="009B5592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83670C2" w14:textId="77777777" w:rsidR="009B5592" w:rsidRPr="00E800FB" w:rsidRDefault="009B5592" w:rsidP="009B5592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90BC9D" w14:textId="77777777" w:rsidR="009B5592" w:rsidRPr="00E800FB" w:rsidRDefault="009B5592" w:rsidP="009B5592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14:paraId="4AA0895C" w14:textId="77777777" w:rsidR="009B5592" w:rsidRPr="00E800FB" w:rsidRDefault="009B5592" w:rsidP="009B5592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Celkem Kč bez DPH</w:t>
            </w:r>
          </w:p>
        </w:tc>
      </w:tr>
      <w:tr w:rsidR="009B5592" w:rsidRPr="00E800FB" w14:paraId="33B31BDD" w14:textId="77777777" w:rsidTr="009B5592">
        <w:trPr>
          <w:trHeight w:val="315"/>
        </w:trPr>
        <w:tc>
          <w:tcPr>
            <w:tcW w:w="9209" w:type="dxa"/>
            <w:gridSpan w:val="9"/>
            <w:noWrap/>
            <w:hideMark/>
          </w:tcPr>
          <w:p w14:paraId="3A5D9893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92" w:rsidRPr="00E800FB" w14:paraId="091CD996" w14:textId="77777777" w:rsidTr="009B5592">
        <w:trPr>
          <w:trHeight w:val="1770"/>
        </w:trPr>
        <w:tc>
          <w:tcPr>
            <w:tcW w:w="1271" w:type="dxa"/>
            <w:hideMark/>
          </w:tcPr>
          <w:p w14:paraId="7940CCAA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45F89EBA" w14:textId="4840E73D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0"/>
                <w:szCs w:val="20"/>
              </w:rPr>
              <w:t>Terénní průzkum - aktualizace stávají</w:t>
            </w:r>
            <w:r w:rsidR="00E800FB">
              <w:rPr>
                <w:sz w:val="20"/>
                <w:szCs w:val="20"/>
              </w:rPr>
              <w:t>cí</w:t>
            </w:r>
            <w:r w:rsidRPr="00E800FB">
              <w:rPr>
                <w:sz w:val="20"/>
                <w:szCs w:val="20"/>
              </w:rPr>
              <w:t>ho stavu okenních výplní, aktualizace majetkových vazeb u objektů navržených na výměnu v rámci realizace PHO, stanovení podmínek realizace IPHO v závislosti na požadavcích místně příslušného odboru památkové péče - aktualizace podkladů pro realizaci  IPHO v úseku městské památkové zóny, projednání specifických požadavků s místně příslušným odborem památkové péče   (cena včetně dopravních nákladů, vybavení dokumentace)</w:t>
            </w:r>
          </w:p>
        </w:tc>
        <w:tc>
          <w:tcPr>
            <w:tcW w:w="996" w:type="dxa"/>
            <w:gridSpan w:val="2"/>
            <w:noWrap/>
            <w:hideMark/>
          </w:tcPr>
          <w:p w14:paraId="6DEE20E8" w14:textId="5F9CA233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63714E3A" w14:textId="2EDB0442" w:rsidR="009B5592" w:rsidRPr="00E800FB" w:rsidRDefault="009B5592" w:rsidP="00E800FB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D30148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5E4E473" w14:textId="1775677F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</w:p>
        </w:tc>
      </w:tr>
      <w:tr w:rsidR="009B5592" w:rsidRPr="00E800FB" w14:paraId="634C8BD2" w14:textId="77777777" w:rsidTr="009B5592">
        <w:trPr>
          <w:trHeight w:val="315"/>
        </w:trPr>
        <w:tc>
          <w:tcPr>
            <w:tcW w:w="1271" w:type="dxa"/>
            <w:noWrap/>
            <w:hideMark/>
          </w:tcPr>
          <w:p w14:paraId="32D3FFBF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0A071B55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4DB0304B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3991B9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98564C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133979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</w:tr>
      <w:tr w:rsidR="009B5592" w:rsidRPr="00E800FB" w14:paraId="262D53EA" w14:textId="77777777" w:rsidTr="009B5592">
        <w:trPr>
          <w:trHeight w:val="300"/>
        </w:trPr>
        <w:tc>
          <w:tcPr>
            <w:tcW w:w="1271" w:type="dxa"/>
            <w:noWrap/>
            <w:hideMark/>
          </w:tcPr>
          <w:p w14:paraId="0A9CE836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408508D4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4AB0831C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0A297B2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A26F4B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A944BD0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</w:tr>
      <w:tr w:rsidR="009B5592" w:rsidRPr="00E800FB" w14:paraId="51653673" w14:textId="77777777" w:rsidTr="009B5592">
        <w:trPr>
          <w:trHeight w:val="300"/>
        </w:trPr>
        <w:tc>
          <w:tcPr>
            <w:tcW w:w="1271" w:type="dxa"/>
            <w:noWrap/>
            <w:hideMark/>
          </w:tcPr>
          <w:p w14:paraId="33F8FA78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71ADABDA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2EA6B75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CD55DA6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76949A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02FB5FB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</w:tr>
      <w:tr w:rsidR="009B5592" w:rsidRPr="00E800FB" w14:paraId="143E7084" w14:textId="77777777" w:rsidTr="009B5592">
        <w:trPr>
          <w:trHeight w:val="300"/>
        </w:trPr>
        <w:tc>
          <w:tcPr>
            <w:tcW w:w="1271" w:type="dxa"/>
            <w:noWrap/>
            <w:hideMark/>
          </w:tcPr>
          <w:p w14:paraId="32E6B292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575D47E1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309B6F76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60FCAD9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E5BD86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6A49D97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</w:tr>
      <w:tr w:rsidR="009B5592" w:rsidRPr="00E800FB" w14:paraId="1907FCB2" w14:textId="77777777" w:rsidTr="009B5592">
        <w:trPr>
          <w:trHeight w:val="315"/>
        </w:trPr>
        <w:tc>
          <w:tcPr>
            <w:tcW w:w="1271" w:type="dxa"/>
            <w:noWrap/>
            <w:hideMark/>
          </w:tcPr>
          <w:p w14:paraId="3A6F3672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14:paraId="5788799F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29AEAA2C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CC3128F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ABB0B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FA85D17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</w:tr>
      <w:tr w:rsidR="009B5592" w:rsidRPr="00E800FB" w14:paraId="4BBAC0FB" w14:textId="77777777" w:rsidTr="009B5592">
        <w:trPr>
          <w:trHeight w:val="330"/>
        </w:trPr>
        <w:tc>
          <w:tcPr>
            <w:tcW w:w="1271" w:type="dxa"/>
            <w:noWrap/>
            <w:hideMark/>
          </w:tcPr>
          <w:p w14:paraId="6275FB20" w14:textId="77777777" w:rsidR="009B5592" w:rsidRPr="00E800FB" w:rsidRDefault="009B5592" w:rsidP="009B55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800FB">
              <w:rPr>
                <w:b/>
                <w:bCs/>
                <w:sz w:val="18"/>
                <w:szCs w:val="18"/>
              </w:rPr>
              <w:t xml:space="preserve">C E L K E M Kč bez DPH </w:t>
            </w:r>
          </w:p>
        </w:tc>
        <w:tc>
          <w:tcPr>
            <w:tcW w:w="788" w:type="dxa"/>
            <w:noWrap/>
            <w:hideMark/>
          </w:tcPr>
          <w:p w14:paraId="632FD8E2" w14:textId="77777777" w:rsidR="009B5592" w:rsidRPr="00E800FB" w:rsidRDefault="009B5592" w:rsidP="009B55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800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2"/>
            <w:noWrap/>
            <w:hideMark/>
          </w:tcPr>
          <w:p w14:paraId="3DA04346" w14:textId="77777777" w:rsidR="009B5592" w:rsidRPr="00E800FB" w:rsidRDefault="009B5592" w:rsidP="009B55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800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noWrap/>
            <w:hideMark/>
          </w:tcPr>
          <w:p w14:paraId="4841A0DB" w14:textId="77777777" w:rsidR="009B5592" w:rsidRPr="00E800FB" w:rsidRDefault="009B5592" w:rsidP="009B559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800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8C4D5E4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4E479F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01E76A8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0 Kč</w:t>
            </w:r>
          </w:p>
        </w:tc>
      </w:tr>
      <w:tr w:rsidR="009B5592" w:rsidRPr="00E800FB" w14:paraId="3C6BA341" w14:textId="77777777" w:rsidTr="009B5592">
        <w:trPr>
          <w:trHeight w:val="315"/>
        </w:trPr>
        <w:tc>
          <w:tcPr>
            <w:tcW w:w="1271" w:type="dxa"/>
            <w:noWrap/>
            <w:hideMark/>
          </w:tcPr>
          <w:p w14:paraId="568A2EA1" w14:textId="77777777" w:rsidR="009B5592" w:rsidRPr="00E800FB" w:rsidRDefault="009B5592" w:rsidP="009B5592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noWrap/>
            <w:hideMark/>
          </w:tcPr>
          <w:p w14:paraId="0E2BC157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noWrap/>
            <w:hideMark/>
          </w:tcPr>
          <w:p w14:paraId="3FA4DAD5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noWrap/>
            <w:hideMark/>
          </w:tcPr>
          <w:p w14:paraId="326BE802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0B06B44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10080A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14:paraId="711136A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</w:p>
        </w:tc>
      </w:tr>
      <w:tr w:rsidR="009B5592" w:rsidRPr="00E800FB" w14:paraId="690A2437" w14:textId="77777777" w:rsidTr="009B5592">
        <w:trPr>
          <w:trHeight w:val="315"/>
        </w:trPr>
        <w:tc>
          <w:tcPr>
            <w:tcW w:w="5538" w:type="dxa"/>
            <w:gridSpan w:val="5"/>
            <w:noWrap/>
            <w:hideMark/>
          </w:tcPr>
          <w:p w14:paraId="0862B9C7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  <w:r w:rsidRPr="00E800FB">
              <w:rPr>
                <w:sz w:val="18"/>
                <w:szCs w:val="18"/>
              </w:rPr>
              <w:t>C E L K E M Kč bez DPH</w:t>
            </w:r>
          </w:p>
        </w:tc>
        <w:tc>
          <w:tcPr>
            <w:tcW w:w="982" w:type="dxa"/>
            <w:noWrap/>
            <w:hideMark/>
          </w:tcPr>
          <w:p w14:paraId="4E7DAD81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6762021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BB6BE7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D27558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0 Kč</w:t>
            </w:r>
          </w:p>
        </w:tc>
      </w:tr>
      <w:tr w:rsidR="009B5592" w:rsidRPr="00E800FB" w14:paraId="6CC927F9" w14:textId="77777777" w:rsidTr="009B5592">
        <w:trPr>
          <w:trHeight w:val="330"/>
        </w:trPr>
        <w:tc>
          <w:tcPr>
            <w:tcW w:w="2090" w:type="dxa"/>
            <w:gridSpan w:val="3"/>
            <w:noWrap/>
            <w:hideMark/>
          </w:tcPr>
          <w:p w14:paraId="451C4718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  <w:r w:rsidRPr="00E800FB">
              <w:rPr>
                <w:sz w:val="18"/>
                <w:szCs w:val="18"/>
              </w:rPr>
              <w:t>DPH 21 %</w:t>
            </w:r>
          </w:p>
        </w:tc>
        <w:tc>
          <w:tcPr>
            <w:tcW w:w="3448" w:type="dxa"/>
            <w:gridSpan w:val="2"/>
            <w:noWrap/>
            <w:hideMark/>
          </w:tcPr>
          <w:p w14:paraId="68E039E2" w14:textId="77777777" w:rsidR="009B5592" w:rsidRPr="00E800FB" w:rsidRDefault="009B5592" w:rsidP="009B5592">
            <w:pPr>
              <w:outlineLvl w:val="0"/>
              <w:rPr>
                <w:sz w:val="18"/>
                <w:szCs w:val="18"/>
              </w:rPr>
            </w:pPr>
            <w:r w:rsidRPr="00E800FB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D198EF4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8E3082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E7CD75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4C1E05E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0 Kč</w:t>
            </w:r>
          </w:p>
        </w:tc>
      </w:tr>
      <w:tr w:rsidR="009B5592" w:rsidRPr="00E800FB" w14:paraId="3B344F91" w14:textId="77777777" w:rsidTr="009B5592">
        <w:trPr>
          <w:trHeight w:val="330"/>
        </w:trPr>
        <w:tc>
          <w:tcPr>
            <w:tcW w:w="5538" w:type="dxa"/>
            <w:gridSpan w:val="5"/>
            <w:noWrap/>
            <w:hideMark/>
          </w:tcPr>
          <w:p w14:paraId="7C0F73A3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C E L K E M Kč s DPH</w:t>
            </w:r>
          </w:p>
        </w:tc>
        <w:tc>
          <w:tcPr>
            <w:tcW w:w="982" w:type="dxa"/>
            <w:noWrap/>
            <w:hideMark/>
          </w:tcPr>
          <w:p w14:paraId="77D441E7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4F12757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7F0826" w14:textId="77777777" w:rsidR="009B5592" w:rsidRPr="00E800FB" w:rsidRDefault="009B5592" w:rsidP="009B5592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6E6887F2" w14:textId="77777777" w:rsidR="009B5592" w:rsidRPr="00E800FB" w:rsidRDefault="009B5592" w:rsidP="009B5592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0 Kč</w:t>
            </w:r>
          </w:p>
        </w:tc>
      </w:tr>
    </w:tbl>
    <w:p w14:paraId="4B8042E4" w14:textId="55D45EE3" w:rsidR="009B5592" w:rsidRPr="00E800FB" w:rsidRDefault="009B5592" w:rsidP="009B5592">
      <w:pPr>
        <w:outlineLvl w:val="0"/>
        <w:rPr>
          <w:sz w:val="24"/>
          <w:szCs w:val="24"/>
        </w:rPr>
      </w:pPr>
      <w:r w:rsidRPr="00E800FB">
        <w:rPr>
          <w:sz w:val="24"/>
          <w:szCs w:val="24"/>
        </w:rPr>
        <w:fldChar w:fldCharType="end"/>
      </w:r>
    </w:p>
    <w:p w14:paraId="5F4DA74F" w14:textId="71AD6DFE" w:rsidR="000C7C3B" w:rsidRPr="00E800FB" w:rsidRDefault="000C7C3B" w:rsidP="00EC18C0">
      <w:pPr>
        <w:jc w:val="both"/>
        <w:rPr>
          <w:sz w:val="24"/>
          <w:szCs w:val="24"/>
        </w:rPr>
      </w:pPr>
    </w:p>
    <w:p w14:paraId="2561AAE7" w14:textId="2991B474" w:rsidR="000C7C3B" w:rsidRPr="00E800FB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E800FB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7DBD2ACA" w:rsidR="000C7C3B" w:rsidRPr="00E800FB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D1F8F4D" w14:textId="4E83AA10" w:rsidR="009B5592" w:rsidRPr="00E800FB" w:rsidRDefault="009B5592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1FF6DD" w14:textId="77777777" w:rsidR="009B5592" w:rsidRPr="00E800FB" w:rsidRDefault="009B5592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07ADB83" w14:textId="116C0340" w:rsidR="000C7C3B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E800FB">
        <w:rPr>
          <w:rFonts w:cs="Times New Roman"/>
          <w:b/>
          <w:sz w:val="36"/>
          <w:szCs w:val="36"/>
          <w:u w:val="single"/>
        </w:rPr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p w14:paraId="63C68407" w14:textId="77777777" w:rsidR="00E800FB" w:rsidRPr="00E800FB" w:rsidRDefault="00E800FB" w:rsidP="00E800FB">
      <w:pPr>
        <w:outlineLvl w:val="0"/>
        <w:rPr>
          <w:rFonts w:asciiTheme="minorHAnsi" w:hAnsiTheme="minorHAnsi"/>
          <w:b/>
          <w:sz w:val="22"/>
        </w:rPr>
      </w:pPr>
      <w:r w:rsidRPr="00E800FB">
        <w:rPr>
          <w:b/>
          <w:sz w:val="24"/>
          <w:szCs w:val="24"/>
        </w:rPr>
        <w:fldChar w:fldCharType="begin"/>
      </w:r>
      <w:r w:rsidRPr="00E800FB">
        <w:rPr>
          <w:b/>
          <w:sz w:val="24"/>
          <w:szCs w:val="24"/>
        </w:rPr>
        <w:instrText xml:space="preserve"> LINK Excel.Sheet.12 "\\\\PLZV-F01\\Work_PLZ\\33000g\\33300g\\Objednávky 2020\\Objednávka krátká nad 50.000,-Kč bez DPH\\I-19 Spálené Poříčí - panátková zóna - IV.et. řešení SHZ - EKOLA group\\19_SpálenéPoříčí_IVetapa_aktualizace_soupis.xlsx" List1!R4C1:R16C7 \a \f 5 \h  \* MERGEFORMAT </w:instrText>
      </w:r>
      <w:r w:rsidRPr="00E800FB">
        <w:rPr>
          <w:b/>
          <w:sz w:val="24"/>
          <w:szCs w:val="24"/>
        </w:rPr>
        <w:fldChar w:fldCharType="separate"/>
      </w:r>
    </w:p>
    <w:tbl>
      <w:tblPr>
        <w:tblStyle w:val="Mkatabulky"/>
        <w:tblW w:w="9968" w:type="dxa"/>
        <w:tblLook w:val="04A0" w:firstRow="1" w:lastRow="0" w:firstColumn="1" w:lastColumn="0" w:noHBand="0" w:noVBand="1"/>
      </w:tblPr>
      <w:tblGrid>
        <w:gridCol w:w="279"/>
        <w:gridCol w:w="6520"/>
        <w:gridCol w:w="567"/>
        <w:gridCol w:w="567"/>
        <w:gridCol w:w="567"/>
        <w:gridCol w:w="1468"/>
      </w:tblGrid>
      <w:tr w:rsidR="00D213FA" w:rsidRPr="00E800FB" w14:paraId="21C7306B" w14:textId="77777777" w:rsidTr="00D213FA">
        <w:trPr>
          <w:trHeight w:val="525"/>
        </w:trPr>
        <w:tc>
          <w:tcPr>
            <w:tcW w:w="6799" w:type="dxa"/>
            <w:gridSpan w:val="2"/>
            <w:noWrap/>
            <w:hideMark/>
          </w:tcPr>
          <w:p w14:paraId="51C3E758" w14:textId="77777777" w:rsidR="00E800FB" w:rsidRPr="00E800FB" w:rsidRDefault="00E800FB" w:rsidP="00AA6A9C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Popis činnosti - nákladů</w:t>
            </w:r>
          </w:p>
        </w:tc>
        <w:tc>
          <w:tcPr>
            <w:tcW w:w="567" w:type="dxa"/>
            <w:noWrap/>
            <w:hideMark/>
          </w:tcPr>
          <w:p w14:paraId="638EFCE6" w14:textId="77777777" w:rsidR="00E800FB" w:rsidRPr="00E800FB" w:rsidRDefault="00E800FB" w:rsidP="00AA6A9C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88ECE6" w14:textId="77777777" w:rsidR="00E800FB" w:rsidRPr="00E800FB" w:rsidRDefault="00E800FB" w:rsidP="00AA6A9C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F54298" w14:textId="77777777" w:rsidR="00E800FB" w:rsidRPr="00E800FB" w:rsidRDefault="00E800FB" w:rsidP="00AA6A9C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8" w:type="dxa"/>
            <w:hideMark/>
          </w:tcPr>
          <w:p w14:paraId="5608919E" w14:textId="77777777" w:rsidR="00E800FB" w:rsidRPr="00E800FB" w:rsidRDefault="00E800FB" w:rsidP="00AA6A9C">
            <w:pPr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E800FB">
              <w:rPr>
                <w:b/>
                <w:bCs/>
                <w:i/>
                <w:iCs/>
                <w:sz w:val="24"/>
                <w:szCs w:val="24"/>
              </w:rPr>
              <w:t>Celkem Kč bez DPH</w:t>
            </w:r>
          </w:p>
        </w:tc>
      </w:tr>
      <w:tr w:rsidR="00E800FB" w:rsidRPr="00E800FB" w14:paraId="1F498159" w14:textId="77777777" w:rsidTr="00E800FB">
        <w:trPr>
          <w:trHeight w:val="315"/>
        </w:trPr>
        <w:tc>
          <w:tcPr>
            <w:tcW w:w="9968" w:type="dxa"/>
            <w:gridSpan w:val="6"/>
            <w:noWrap/>
            <w:hideMark/>
          </w:tcPr>
          <w:p w14:paraId="7199406D" w14:textId="77777777" w:rsidR="00E800FB" w:rsidRPr="00E800FB" w:rsidRDefault="00E800FB" w:rsidP="00AA6A9C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800FB" w:rsidRPr="00E800FB" w14:paraId="4625D286" w14:textId="77777777" w:rsidTr="00D213FA">
        <w:trPr>
          <w:trHeight w:val="1770"/>
        </w:trPr>
        <w:tc>
          <w:tcPr>
            <w:tcW w:w="279" w:type="dxa"/>
            <w:hideMark/>
          </w:tcPr>
          <w:p w14:paraId="61F3EE99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6520" w:type="dxa"/>
            <w:hideMark/>
          </w:tcPr>
          <w:p w14:paraId="6615576B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0"/>
                <w:szCs w:val="20"/>
              </w:rPr>
              <w:t>Terénní průzkum - aktualizace stávají</w:t>
            </w:r>
            <w:r>
              <w:rPr>
                <w:sz w:val="20"/>
                <w:szCs w:val="20"/>
              </w:rPr>
              <w:t>cí</w:t>
            </w:r>
            <w:r w:rsidRPr="00E800FB">
              <w:rPr>
                <w:sz w:val="20"/>
                <w:szCs w:val="20"/>
              </w:rPr>
              <w:t xml:space="preserve">ho stavu okenních výplní, aktualizace majetkových vazeb u objektů navržených na výměnu v rámci realizace PHO, stanovení podmínek realizace IPHO v závislosti na požadavcích místně příslušného odboru památkové péče - aktualizace podkladů pro realizaci  IPHO v úseku městské památkové zóny, projednání specifických požadavků s místně příslušným odborem </w:t>
            </w:r>
            <w:r w:rsidRPr="00E800FB">
              <w:rPr>
                <w:sz w:val="24"/>
                <w:szCs w:val="24"/>
              </w:rPr>
              <w:t>památkové</w:t>
            </w:r>
            <w:r w:rsidRPr="00E800FB">
              <w:rPr>
                <w:sz w:val="20"/>
                <w:szCs w:val="20"/>
              </w:rPr>
              <w:t xml:space="preserve"> péče   (cena včetně dopravních nákladů, vybavení dokumentace)</w:t>
            </w:r>
          </w:p>
        </w:tc>
        <w:tc>
          <w:tcPr>
            <w:tcW w:w="567" w:type="dxa"/>
            <w:noWrap/>
            <w:hideMark/>
          </w:tcPr>
          <w:p w14:paraId="5BC79D07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13E00ABC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15088513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  <w:r w:rsidRPr="00E800FB">
              <w:rPr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hideMark/>
          </w:tcPr>
          <w:p w14:paraId="02E5D4EA" w14:textId="77777777" w:rsidR="00E800FB" w:rsidRPr="00E800FB" w:rsidRDefault="00E800FB" w:rsidP="00AA6A9C">
            <w:pPr>
              <w:outlineLvl w:val="0"/>
              <w:rPr>
                <w:sz w:val="24"/>
                <w:szCs w:val="24"/>
              </w:rPr>
            </w:pPr>
          </w:p>
        </w:tc>
      </w:tr>
      <w:tr w:rsidR="00E800FB" w:rsidRPr="00E800FB" w14:paraId="6EF8FDC1" w14:textId="77777777" w:rsidTr="00E800FB">
        <w:trPr>
          <w:trHeight w:val="490"/>
        </w:trPr>
        <w:tc>
          <w:tcPr>
            <w:tcW w:w="8500" w:type="dxa"/>
            <w:gridSpan w:val="5"/>
            <w:noWrap/>
            <w:vAlign w:val="center"/>
            <w:hideMark/>
          </w:tcPr>
          <w:p w14:paraId="0F007351" w14:textId="3D3CDF40" w:rsidR="00E800FB" w:rsidRPr="00E800FB" w:rsidRDefault="00E800FB" w:rsidP="00AA6A9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E800FB">
              <w:rPr>
                <w:b/>
                <w:bCs/>
                <w:sz w:val="18"/>
                <w:szCs w:val="18"/>
              </w:rPr>
              <w:t xml:space="preserve">C E L K E M Kč bez DPH </w:t>
            </w:r>
          </w:p>
          <w:p w14:paraId="5BA17707" w14:textId="7F703725" w:rsidR="00E800FB" w:rsidRPr="00E800FB" w:rsidRDefault="00E800FB" w:rsidP="00AA6A9C">
            <w:pPr>
              <w:outlineLvl w:val="0"/>
              <w:rPr>
                <w:b/>
                <w:bCs/>
                <w:sz w:val="24"/>
                <w:szCs w:val="24"/>
              </w:rPr>
            </w:pPr>
            <w:r w:rsidRPr="00E80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8" w:type="dxa"/>
            <w:noWrap/>
            <w:vAlign w:val="center"/>
            <w:hideMark/>
          </w:tcPr>
          <w:p w14:paraId="5C6021AE" w14:textId="6C93C644" w:rsidR="00E800FB" w:rsidRPr="00E800FB" w:rsidRDefault="00E800FB" w:rsidP="00AA6A9C">
            <w:pPr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120 00</w:t>
            </w:r>
            <w:r w:rsidRPr="00E800FB">
              <w:rPr>
                <w:b/>
                <w:bCs/>
                <w:sz w:val="24"/>
                <w:szCs w:val="24"/>
              </w:rPr>
              <w:t>0 Kč</w:t>
            </w:r>
          </w:p>
        </w:tc>
      </w:tr>
    </w:tbl>
    <w:p w14:paraId="56113DF8" w14:textId="416E6E61" w:rsidR="00E800FB" w:rsidRDefault="00E800FB" w:rsidP="00E800FB">
      <w:pPr>
        <w:outlineLvl w:val="0"/>
        <w:rPr>
          <w:sz w:val="24"/>
          <w:szCs w:val="24"/>
        </w:rPr>
      </w:pPr>
      <w:r w:rsidRPr="00E800FB">
        <w:rPr>
          <w:sz w:val="24"/>
          <w:szCs w:val="24"/>
        </w:rPr>
        <w:fldChar w:fldCharType="end"/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800FB" w14:paraId="1BAA664C" w14:textId="77777777" w:rsidTr="00E800FB">
        <w:tc>
          <w:tcPr>
            <w:tcW w:w="8500" w:type="dxa"/>
          </w:tcPr>
          <w:p w14:paraId="6F21E8C6" w14:textId="438B7067" w:rsidR="00E800FB" w:rsidRDefault="00E800FB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L K E M  bez DPH</w:t>
            </w:r>
          </w:p>
          <w:p w14:paraId="5763EF4A" w14:textId="77777777" w:rsidR="00E800FB" w:rsidRDefault="00E800FB" w:rsidP="00E800FB">
            <w:pPr>
              <w:outlineLvl w:val="0"/>
              <w:rPr>
                <w:sz w:val="24"/>
                <w:szCs w:val="24"/>
              </w:rPr>
            </w:pPr>
          </w:p>
          <w:p w14:paraId="02C3356E" w14:textId="2135814E" w:rsidR="00E800FB" w:rsidRDefault="00E800FB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21 %</w:t>
            </w:r>
          </w:p>
        </w:tc>
        <w:tc>
          <w:tcPr>
            <w:tcW w:w="1418" w:type="dxa"/>
          </w:tcPr>
          <w:p w14:paraId="41891F60" w14:textId="60093871" w:rsidR="00E800FB" w:rsidRDefault="00E800FB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 Kč</w:t>
            </w:r>
          </w:p>
          <w:p w14:paraId="5CC73F62" w14:textId="77777777" w:rsidR="00E800FB" w:rsidRDefault="00E800FB" w:rsidP="00E800FB">
            <w:pPr>
              <w:outlineLvl w:val="0"/>
              <w:rPr>
                <w:sz w:val="24"/>
                <w:szCs w:val="24"/>
              </w:rPr>
            </w:pPr>
          </w:p>
          <w:p w14:paraId="15E56041" w14:textId="5C0CA5E8" w:rsidR="00E800FB" w:rsidRDefault="00E800FB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25 200 Kč</w:t>
            </w:r>
          </w:p>
        </w:tc>
      </w:tr>
      <w:tr w:rsidR="00E800FB" w14:paraId="3D9D6EF1" w14:textId="77777777" w:rsidTr="00395175">
        <w:tc>
          <w:tcPr>
            <w:tcW w:w="8500" w:type="dxa"/>
            <w:vAlign w:val="center"/>
          </w:tcPr>
          <w:p w14:paraId="0988BC29" w14:textId="77777777" w:rsidR="00E800FB" w:rsidRDefault="00E800FB" w:rsidP="00E800FB">
            <w:pPr>
              <w:outlineLvl w:val="0"/>
              <w:rPr>
                <w:sz w:val="24"/>
                <w:szCs w:val="24"/>
              </w:rPr>
            </w:pPr>
          </w:p>
          <w:p w14:paraId="7323436E" w14:textId="376CAAE5" w:rsidR="00E800FB" w:rsidRDefault="00395175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L K E M   Kč s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DEBA4A" w14:textId="3259EC0C" w:rsidR="00E800FB" w:rsidRDefault="00395175" w:rsidP="00E800F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145 200 Kč</w:t>
            </w:r>
          </w:p>
        </w:tc>
        <w:bookmarkStart w:id="0" w:name="_GoBack"/>
        <w:bookmarkEnd w:id="0"/>
      </w:tr>
    </w:tbl>
    <w:p w14:paraId="448D5136" w14:textId="77777777" w:rsidR="00E800FB" w:rsidRPr="00E800FB" w:rsidRDefault="00E800FB" w:rsidP="00E800FB">
      <w:pPr>
        <w:outlineLvl w:val="0"/>
        <w:rPr>
          <w:sz w:val="24"/>
          <w:szCs w:val="24"/>
        </w:rPr>
      </w:pPr>
    </w:p>
    <w:p w14:paraId="77C565D8" w14:textId="1AAC2857" w:rsidR="00E800FB" w:rsidRDefault="00E800F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9945364" w14:textId="35A2440D" w:rsidR="00E800FB" w:rsidRDefault="00E800F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D1981B0" w14:textId="083FA5EB" w:rsidR="00E800FB" w:rsidRPr="00E800FB" w:rsidRDefault="00E800FB" w:rsidP="00E800FB">
      <w:pPr>
        <w:tabs>
          <w:tab w:val="left" w:pos="4065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ab/>
      </w:r>
    </w:p>
    <w:sectPr w:rsidR="00E800FB" w:rsidRPr="00E800FB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3D9F848B" w:rsidR="008E3E46" w:rsidRDefault="008E3E46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D213FA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D213F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04C35C12" w:rsidR="00604890" w:rsidRDefault="00604890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D213F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D213FA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6516C096" w:rsidR="00EC18C0" w:rsidRPr="00E800FB" w:rsidRDefault="00EC18C0" w:rsidP="00E800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D46DB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01DD9"/>
    <w:rsid w:val="0033757F"/>
    <w:rsid w:val="00365E25"/>
    <w:rsid w:val="003854F7"/>
    <w:rsid w:val="00395175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B5592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E6C9D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13FA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71FCA"/>
    <w:rsid w:val="00E800FB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661F1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syrinek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FF5A-4046-4AB4-AEB2-A049E159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4</cp:revision>
  <cp:lastPrinted>2017-02-21T10:07:00Z</cp:lastPrinted>
  <dcterms:created xsi:type="dcterms:W3CDTF">2020-05-14T06:28:00Z</dcterms:created>
  <dcterms:modified xsi:type="dcterms:W3CDTF">2020-05-14T06:43:00Z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