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0B75" w14:textId="77777777" w:rsidR="00CB5320" w:rsidRPr="003F65F3" w:rsidRDefault="003F65F3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3F65F3">
        <w:rPr>
          <w:rFonts w:ascii="UnitPro" w:hAnsi="UnitPro" w:cs="UnitPro"/>
          <w:sz w:val="22"/>
          <w:szCs w:val="22"/>
        </w:rPr>
        <w:t>Martina Požárová</w:t>
      </w:r>
    </w:p>
    <w:p w14:paraId="54245F8B" w14:textId="77777777" w:rsidR="00CB5320" w:rsidRPr="003F65F3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3F65F3">
        <w:rPr>
          <w:rFonts w:ascii="UnitPro" w:hAnsi="UnitPro" w:cs="UnitPro"/>
          <w:sz w:val="22"/>
          <w:szCs w:val="22"/>
        </w:rPr>
        <w:t xml:space="preserve">IČO: </w:t>
      </w:r>
      <w:r w:rsidR="003F65F3" w:rsidRPr="003F65F3">
        <w:rPr>
          <w:rFonts w:ascii="UnitPro" w:hAnsi="UnitPro" w:cs="UnitPro"/>
          <w:sz w:val="22"/>
          <w:szCs w:val="22"/>
        </w:rPr>
        <w:t>06967531</w:t>
      </w:r>
    </w:p>
    <w:p w14:paraId="127241BF" w14:textId="77777777" w:rsidR="00CB5320" w:rsidRPr="003F65F3" w:rsidRDefault="003F65F3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3F65F3">
        <w:rPr>
          <w:rFonts w:ascii="UnitPro" w:hAnsi="UnitPro" w:cs="UnitPro"/>
          <w:sz w:val="22"/>
          <w:szCs w:val="22"/>
        </w:rPr>
        <w:t>Markova 1961/4</w:t>
      </w:r>
    </w:p>
    <w:p w14:paraId="44510597" w14:textId="77777777" w:rsidR="00293BD2" w:rsidRDefault="003F65F3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 w:rsidRPr="003F65F3">
        <w:rPr>
          <w:rFonts w:ascii="UnitPro" w:hAnsi="UnitPro" w:cs="UnitPro"/>
          <w:sz w:val="22"/>
          <w:szCs w:val="22"/>
        </w:rPr>
        <w:t>594 01  Velké</w:t>
      </w:r>
      <w:proofErr w:type="gramEnd"/>
      <w:r w:rsidRPr="003F65F3">
        <w:rPr>
          <w:rFonts w:ascii="UnitPro" w:hAnsi="UnitPro" w:cs="UnitPro"/>
          <w:sz w:val="22"/>
          <w:szCs w:val="22"/>
        </w:rPr>
        <w:t xml:space="preserve"> Meziříčí</w:t>
      </w:r>
    </w:p>
    <w:p w14:paraId="73505D73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6D1DFEAF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32C06DCB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1B40E615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</w:t>
      </w:r>
      <w:r w:rsidR="003F65F3">
        <w:rPr>
          <w:rFonts w:ascii="UnitPro" w:hAnsi="UnitPro" w:cs="UnitPro"/>
          <w:sz w:val="22"/>
          <w:szCs w:val="22"/>
        </w:rPr>
        <w:t>návka č.</w:t>
      </w:r>
      <w:r w:rsidR="003F65F3">
        <w:rPr>
          <w:rFonts w:ascii="UnitPro" w:hAnsi="UnitPro" w:cs="UnitPro"/>
          <w:sz w:val="22"/>
          <w:szCs w:val="22"/>
        </w:rPr>
        <w:tab/>
        <w:t>Vyřizuje/kancelář</w:t>
      </w:r>
      <w:r w:rsidRPr="00533529">
        <w:rPr>
          <w:rFonts w:ascii="UnitPro" w:hAnsi="UnitPro" w:cs="UnitPro"/>
          <w:sz w:val="22"/>
          <w:szCs w:val="22"/>
        </w:rPr>
        <w:tab/>
        <w:t>Datum</w:t>
      </w:r>
    </w:p>
    <w:p w14:paraId="23C7653C" w14:textId="5F0A749D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3F65F3">
        <w:rPr>
          <w:rFonts w:ascii="UnitPro" w:hAnsi="UnitPro" w:cs="UnitPro"/>
          <w:b/>
          <w:bCs/>
          <w:sz w:val="22"/>
          <w:szCs w:val="22"/>
        </w:rPr>
        <w:t>20-0159</w:t>
      </w:r>
      <w:r w:rsidRPr="00264085">
        <w:rPr>
          <w:rFonts w:ascii="UnitPro" w:hAnsi="UnitPro" w:cs="UnitPro"/>
          <w:b/>
          <w:bCs/>
          <w:sz w:val="22"/>
          <w:szCs w:val="22"/>
        </w:rPr>
        <w:t>/o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893E88">
        <w:rPr>
          <w:rFonts w:ascii="UnitPro" w:hAnsi="UnitPro" w:cs="UnitPro"/>
          <w:b/>
          <w:bCs/>
          <w:sz w:val="22"/>
          <w:szCs w:val="22"/>
        </w:rPr>
        <w:t>xxxxxxxxxxxx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53C818CE" w14:textId="77777777" w:rsidR="008B0C89" w:rsidRPr="00533529" w:rsidRDefault="00293BD2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69C1F375" w14:textId="1C8D51E3" w:rsidR="00B445A1" w:rsidRPr="00533529" w:rsidRDefault="00B542AD" w:rsidP="00532C82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532C82">
        <w:rPr>
          <w:rFonts w:ascii="UnitPro" w:hAnsi="UnitPro" w:cs="UnitPro"/>
          <w:sz w:val="22"/>
          <w:szCs w:val="22"/>
        </w:rPr>
        <w:t xml:space="preserve">návrh řešení interiéru zázemí konferenčního sálu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50A5BCF9" w14:textId="77777777" w:rsidR="00E608C3" w:rsidRPr="00533529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014F84C3" w14:textId="77777777"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62A4DA52" w14:textId="77777777" w:rsidR="00E57184" w:rsidRPr="00533529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69585F71" w14:textId="526CC6D2" w:rsidR="00E57184" w:rsidRDefault="00E57184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 w:rsidR="00532C82">
        <w:rPr>
          <w:rFonts w:ascii="UnitPro" w:hAnsi="UnitPro" w:cs="UnitPro"/>
          <w:sz w:val="22"/>
          <w:szCs w:val="22"/>
        </w:rPr>
        <w:t>návrh řešení interiéru zázemí konferenčního sálu dle cenové nabídky:</w:t>
      </w:r>
    </w:p>
    <w:p w14:paraId="628821FD" w14:textId="77777777" w:rsidR="00532C82" w:rsidRDefault="00532C82" w:rsidP="00532C82"/>
    <w:tbl>
      <w:tblPr>
        <w:tblW w:w="5000" w:type="pct"/>
        <w:tblCellSpacing w:w="15" w:type="dxa"/>
        <w:tblBorders>
          <w:top w:val="single" w:sz="6" w:space="0" w:color="C1C7CD"/>
          <w:left w:val="single" w:sz="6" w:space="0" w:color="C1C7CD"/>
          <w:bottom w:val="single" w:sz="6" w:space="0" w:color="C1C7CD"/>
          <w:right w:val="single" w:sz="6" w:space="0" w:color="C1C7CD"/>
        </w:tblBorders>
        <w:tblLook w:val="04A0" w:firstRow="1" w:lastRow="0" w:firstColumn="1" w:lastColumn="0" w:noHBand="0" w:noVBand="1"/>
      </w:tblPr>
      <w:tblGrid>
        <w:gridCol w:w="2710"/>
        <w:gridCol w:w="4210"/>
        <w:gridCol w:w="1951"/>
      </w:tblGrid>
      <w:tr w:rsidR="00532C82" w:rsidRPr="00532C82" w14:paraId="139CA4AA" w14:textId="77777777" w:rsidTr="00532C82">
        <w:trPr>
          <w:tblCellSpacing w:w="15" w:type="dxa"/>
        </w:trPr>
        <w:tc>
          <w:tcPr>
            <w:tcW w:w="4350" w:type="dxa"/>
            <w:tcBorders>
              <w:top w:val="single" w:sz="2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8CCE8A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Předmět</w:t>
            </w:r>
          </w:p>
        </w:tc>
        <w:tc>
          <w:tcPr>
            <w:tcW w:w="9270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DC3FA1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Popis</w:t>
            </w:r>
          </w:p>
        </w:tc>
        <w:tc>
          <w:tcPr>
            <w:tcW w:w="4740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81BF82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cena </w:t>
            </w:r>
          </w:p>
        </w:tc>
      </w:tr>
      <w:tr w:rsidR="00532C82" w:rsidRPr="00532C82" w14:paraId="76A1E74A" w14:textId="77777777" w:rsidTr="00532C82">
        <w:trPr>
          <w:tblCellSpacing w:w="15" w:type="dxa"/>
        </w:trPr>
        <w:tc>
          <w:tcPr>
            <w:tcW w:w="4350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65B757" w14:textId="77777777" w:rsidR="00532C82" w:rsidRPr="00532C82" w:rsidRDefault="00532C82" w:rsidP="00532C8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Návrh atypického vybavení zázemí kavárny a denní místnosti (podklady pro výběr zhotovitele, dozor)</w:t>
            </w:r>
          </w:p>
        </w:tc>
        <w:tc>
          <w:tcPr>
            <w:tcW w:w="927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377D8B" w14:textId="77777777" w:rsidR="00532C82" w:rsidRPr="00532C82" w:rsidRDefault="00532C82" w:rsidP="00532C8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atypický nábytek, zařizovací předměty, závěsy, osvětlení</w:t>
            </w:r>
          </w:p>
          <w:p w14:paraId="53D7F791" w14:textId="77777777" w:rsidR="00532C82" w:rsidRPr="00532C82" w:rsidRDefault="00532C82" w:rsidP="00532C8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spolupráce při výběru zhotovitele</w:t>
            </w:r>
          </w:p>
          <w:p w14:paraId="1F4146C0" w14:textId="77777777" w:rsidR="00532C82" w:rsidRPr="00532C82" w:rsidRDefault="00532C82" w:rsidP="00532C8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dozor při realizaci</w:t>
            </w:r>
          </w:p>
        </w:tc>
        <w:tc>
          <w:tcPr>
            <w:tcW w:w="474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43FBC2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42 000,—</w:t>
            </w:r>
            <w:proofErr w:type="gramEnd"/>
          </w:p>
          <w:p w14:paraId="191E0A4F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7 000,—</w:t>
            </w:r>
            <w:proofErr w:type="gramEnd"/>
          </w:p>
          <w:p w14:paraId="307E4175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22 000,—</w:t>
            </w:r>
            <w:proofErr w:type="gramEnd"/>
          </w:p>
        </w:tc>
      </w:tr>
      <w:tr w:rsidR="00532C82" w:rsidRPr="00532C82" w14:paraId="1DEA89FD" w14:textId="77777777" w:rsidTr="00532C82">
        <w:trPr>
          <w:tblCellSpacing w:w="15" w:type="dxa"/>
        </w:trPr>
        <w:tc>
          <w:tcPr>
            <w:tcW w:w="4350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32EE28" w14:textId="77777777" w:rsidR="00532C82" w:rsidRPr="00532C82" w:rsidRDefault="00532C82" w:rsidP="00532C8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Podlaha v předsálí a chodbě</w:t>
            </w:r>
          </w:p>
        </w:tc>
        <w:tc>
          <w:tcPr>
            <w:tcW w:w="927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E73A25" w14:textId="77777777" w:rsidR="00532C82" w:rsidRPr="00532C82" w:rsidRDefault="00532C82" w:rsidP="00532C8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návrh řešení čisticích zón a specifikace úprav podlahy</w:t>
            </w:r>
          </w:p>
        </w:tc>
        <w:tc>
          <w:tcPr>
            <w:tcW w:w="474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AE471A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6 000,—</w:t>
            </w:r>
            <w:proofErr w:type="gramEnd"/>
          </w:p>
        </w:tc>
      </w:tr>
      <w:tr w:rsidR="00532C82" w:rsidRPr="00532C82" w14:paraId="32108AF7" w14:textId="77777777" w:rsidTr="00532C82">
        <w:trPr>
          <w:tblCellSpacing w:w="15" w:type="dxa"/>
        </w:trPr>
        <w:tc>
          <w:tcPr>
            <w:tcW w:w="4350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BC64B5" w14:textId="77777777" w:rsidR="00532C82" w:rsidRPr="00532C82" w:rsidRDefault="00532C82" w:rsidP="00532C8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Systém prostorového členění a zastínění pro bílý sál</w:t>
            </w:r>
          </w:p>
        </w:tc>
        <w:tc>
          <w:tcPr>
            <w:tcW w:w="927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705DA0" w14:textId="77777777" w:rsidR="00532C82" w:rsidRPr="00532C82" w:rsidRDefault="00532C82" w:rsidP="00532C8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 xml:space="preserve">studie nového řešení závěsů, provozní </w:t>
            </w:r>
            <w:proofErr w:type="spell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schemata</w:t>
            </w:r>
            <w:proofErr w:type="spellEnd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, požadavky na materiály a ovládání</w:t>
            </w:r>
          </w:p>
          <w:p w14:paraId="00C4B638" w14:textId="77777777" w:rsidR="00532C82" w:rsidRPr="00532C82" w:rsidRDefault="00532C82" w:rsidP="00532C8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podklad pro získání předběžné cenové nabídky (průzkum trhu)</w:t>
            </w:r>
          </w:p>
        </w:tc>
        <w:tc>
          <w:tcPr>
            <w:tcW w:w="474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8F35D3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16 000,—</w:t>
            </w:r>
            <w:proofErr w:type="gramEnd"/>
          </w:p>
        </w:tc>
      </w:tr>
      <w:tr w:rsidR="00532C82" w:rsidRPr="00532C82" w14:paraId="1F73A79C" w14:textId="77777777" w:rsidTr="00532C82">
        <w:trPr>
          <w:tblCellSpacing w:w="15" w:type="dxa"/>
        </w:trPr>
        <w:tc>
          <w:tcPr>
            <w:tcW w:w="4350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AFE442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927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D494D9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</w:p>
        </w:tc>
        <w:tc>
          <w:tcPr>
            <w:tcW w:w="4740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F3B52" w14:textId="77777777" w:rsidR="00532C82" w:rsidRPr="00532C82" w:rsidRDefault="00532C82">
            <w:pPr>
              <w:rPr>
                <w:rFonts w:ascii="UnitPro-Light" w:hAnsi="UnitPro-Light" w:cs="UnitPro-Light"/>
                <w:sz w:val="22"/>
                <w:szCs w:val="22"/>
                <w:lang w:eastAsia="en-US"/>
              </w:rPr>
            </w:pPr>
            <w:proofErr w:type="gramStart"/>
            <w:r w:rsidRPr="00532C82">
              <w:rPr>
                <w:rFonts w:ascii="UnitPro-Light" w:hAnsi="UnitPro-Light" w:cs="UnitPro-Light"/>
                <w:sz w:val="22"/>
                <w:szCs w:val="22"/>
                <w:lang w:eastAsia="en-US"/>
              </w:rPr>
              <w:t>93 000,—</w:t>
            </w:r>
            <w:proofErr w:type="gramEnd"/>
          </w:p>
        </w:tc>
      </w:tr>
    </w:tbl>
    <w:p w14:paraId="50651F40" w14:textId="77777777" w:rsidR="00532C82" w:rsidRPr="00532C82" w:rsidRDefault="00532C82" w:rsidP="00FE2742">
      <w:pPr>
        <w:spacing w:before="240"/>
        <w:jc w:val="both"/>
        <w:rPr>
          <w:rFonts w:ascii="UnitPro-Light" w:hAnsi="UnitPro-Light" w:cs="UnitPro-Light"/>
          <w:sz w:val="22"/>
          <w:szCs w:val="22"/>
        </w:rPr>
      </w:pPr>
    </w:p>
    <w:p w14:paraId="1FA203A8" w14:textId="77777777" w:rsidR="00FE2742" w:rsidRPr="00FE2742" w:rsidRDefault="00FE2742" w:rsidP="00FE2742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25730260" w14:textId="74AEC302" w:rsidR="00D33596" w:rsidRPr="00533529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893E88">
        <w:rPr>
          <w:rFonts w:ascii="UnitPro" w:hAnsi="UnitPro" w:cs="UnitPro"/>
          <w:sz w:val="22"/>
          <w:szCs w:val="22"/>
        </w:rPr>
        <w:t>xxxxxxxxxxxxxxxxxx</w:t>
      </w:r>
      <w:proofErr w:type="spellEnd"/>
      <w:r w:rsidR="005C3DB3">
        <w:rPr>
          <w:rFonts w:ascii="UnitPro" w:hAnsi="UnitPro" w:cs="UnitPro"/>
          <w:sz w:val="22"/>
          <w:szCs w:val="22"/>
        </w:rPr>
        <w:t>.</w:t>
      </w:r>
    </w:p>
    <w:p w14:paraId="482ED525" w14:textId="77777777"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14:paraId="47B3D617" w14:textId="645A8F01" w:rsidR="00D33596" w:rsidRPr="00533529" w:rsidRDefault="00D33596" w:rsidP="00D33596">
      <w:pPr>
        <w:jc w:val="both"/>
        <w:rPr>
          <w:rFonts w:ascii="UnitPro" w:hAnsi="UnitPro" w:cs="UnitPro"/>
          <w:i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Kontaktní osobou dodavatele je</w:t>
      </w:r>
      <w:r w:rsidR="005C3DB3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893E88">
        <w:rPr>
          <w:rFonts w:ascii="UnitPro" w:hAnsi="UnitPro" w:cs="UnitPro"/>
          <w:sz w:val="22"/>
          <w:szCs w:val="22"/>
        </w:rPr>
        <w:t>xxxxxxxxxxxxxxxxxxx</w:t>
      </w:r>
      <w:proofErr w:type="spellEnd"/>
      <w:r w:rsidR="00893E88">
        <w:rPr>
          <w:rFonts w:ascii="UnitPro" w:hAnsi="UnitPro" w:cs="UnitPro"/>
          <w:sz w:val="22"/>
          <w:szCs w:val="22"/>
        </w:rPr>
        <w:t>.</w:t>
      </w:r>
    </w:p>
    <w:p w14:paraId="59290E8A" w14:textId="77777777" w:rsidR="00D33596" w:rsidRDefault="00D33596" w:rsidP="00E608C3">
      <w:pPr>
        <w:jc w:val="both"/>
        <w:rPr>
          <w:rFonts w:ascii="UnitPro" w:hAnsi="UnitPro" w:cs="UnitPro"/>
          <w:sz w:val="22"/>
          <w:szCs w:val="22"/>
        </w:rPr>
      </w:pPr>
    </w:p>
    <w:p w14:paraId="171FAA56" w14:textId="77777777" w:rsidR="00187086" w:rsidRPr="00533529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14:paraId="34D675CB" w14:textId="77777777"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2998DE37" w14:textId="77777777" w:rsidR="007F793D" w:rsidRDefault="007F793D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7DA08AEB" w14:textId="6AD20987" w:rsidR="00B445A1" w:rsidRPr="00533529" w:rsidRDefault="00706A8C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D</w:t>
      </w:r>
      <w:r w:rsidR="002F0445" w:rsidRPr="00533529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7F793D">
        <w:rPr>
          <w:rFonts w:ascii="UnitPro" w:hAnsi="UnitPro" w:cs="UnitPro"/>
          <w:sz w:val="22"/>
          <w:szCs w:val="22"/>
        </w:rPr>
        <w:t>do 31. 5. 2020.</w:t>
      </w:r>
    </w:p>
    <w:p w14:paraId="71009F0B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3FE26E25" w14:textId="436ED6A6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Místo plnění předmětu objednávky: </w:t>
      </w:r>
      <w:r w:rsidRPr="007F793D">
        <w:rPr>
          <w:rFonts w:ascii="UnitPro" w:hAnsi="UnitPro" w:cs="UnitPro"/>
        </w:rPr>
        <w:t>Vyšehradská 57, 128 00 Praha 2 – Nové Město</w:t>
      </w:r>
      <w:r w:rsidR="007F793D" w:rsidRPr="007F793D">
        <w:rPr>
          <w:rFonts w:ascii="UnitPro" w:hAnsi="UnitPro" w:cs="UnitPro"/>
        </w:rPr>
        <w:t>.</w:t>
      </w:r>
    </w:p>
    <w:p w14:paraId="6CA852BC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58C538DE" w14:textId="77777777" w:rsidR="00D50A6F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="008548A7" w:rsidRPr="0048597C">
        <w:rPr>
          <w:rFonts w:ascii="UnitPro" w:hAnsi="UnitPro" w:cs="UnitPro"/>
        </w:rPr>
        <w:t xml:space="preserve">o kontrole </w:t>
      </w:r>
      <w:r w:rsidR="00A63E19" w:rsidRPr="0048597C">
        <w:rPr>
          <w:rFonts w:ascii="UnitPro" w:hAnsi="UnitPro" w:cs="UnitPro"/>
        </w:rPr>
        <w:t>předmětu objednávky bude p</w:t>
      </w:r>
      <w:r w:rsidR="00D50A6F" w:rsidRPr="0048597C">
        <w:rPr>
          <w:rFonts w:ascii="UnitPro" w:hAnsi="UnitPro" w:cs="UnitPro"/>
        </w:rPr>
        <w:t xml:space="preserve">řevzetí předmětu objednávky </w:t>
      </w:r>
      <w:r w:rsidR="0048597C" w:rsidRPr="0048597C">
        <w:rPr>
          <w:rFonts w:ascii="UnitPro" w:hAnsi="UnitPro" w:cs="UnitPro"/>
        </w:rPr>
        <w:t>p</w:t>
      </w:r>
      <w:r w:rsidR="00D50A6F" w:rsidRPr="0048597C">
        <w:rPr>
          <w:rFonts w:ascii="UnitPro" w:hAnsi="UnitPro" w:cs="UnitPro"/>
        </w:rPr>
        <w:t xml:space="preserve">otvrzeno na základě </w:t>
      </w:r>
      <w:r w:rsidR="00D50A6F" w:rsidRPr="005802CE">
        <w:rPr>
          <w:rFonts w:ascii="UnitPro" w:hAnsi="UnitPro" w:cs="UnitPro"/>
          <w:b/>
        </w:rPr>
        <w:t xml:space="preserve">akceptačního </w:t>
      </w:r>
      <w:r w:rsidR="00264D08" w:rsidRPr="005802CE">
        <w:rPr>
          <w:rFonts w:ascii="UnitPro" w:hAnsi="UnitPro" w:cs="UnitPro"/>
          <w:b/>
        </w:rPr>
        <w:t>protokolu</w:t>
      </w:r>
      <w:r w:rsidR="00264D08" w:rsidRPr="0048597C">
        <w:rPr>
          <w:rFonts w:ascii="UnitPro" w:hAnsi="UnitPro" w:cs="UnitPro"/>
        </w:rPr>
        <w:t xml:space="preserve"> </w:t>
      </w:r>
      <w:r w:rsidR="00D50A6F" w:rsidRPr="0048597C">
        <w:rPr>
          <w:rFonts w:ascii="UnitPro" w:hAnsi="UnitPro" w:cs="UnitPro"/>
        </w:rPr>
        <w:t xml:space="preserve">podepsaného </w:t>
      </w:r>
      <w:r w:rsidR="0048597C" w:rsidRPr="0048597C">
        <w:rPr>
          <w:rFonts w:ascii="UnitPro" w:hAnsi="UnitPro" w:cs="UnitPro"/>
        </w:rPr>
        <w:t>zástupci obou smluvních stran</w:t>
      </w:r>
      <w:r w:rsidR="00D50A6F" w:rsidRPr="0048597C">
        <w:rPr>
          <w:rFonts w:ascii="UnitPro" w:hAnsi="UnitPro" w:cs="UnitPro"/>
        </w:rPr>
        <w:t>. Vzor akceptačního protokolu</w:t>
      </w:r>
      <w:r w:rsidR="00D50A6F">
        <w:rPr>
          <w:rFonts w:ascii="UnitPro" w:hAnsi="UnitPro" w:cs="UnitPro"/>
        </w:rPr>
        <w:t xml:space="preserve"> </w:t>
      </w:r>
      <w:r w:rsidR="005802CE">
        <w:rPr>
          <w:rFonts w:ascii="UnitPro" w:hAnsi="UnitPro" w:cs="UnitPro"/>
        </w:rPr>
        <w:t xml:space="preserve">je </w:t>
      </w:r>
      <w:r w:rsidR="00CC0F8F">
        <w:rPr>
          <w:rFonts w:ascii="UnitPro" w:hAnsi="UnitPro" w:cs="UnitPro"/>
        </w:rPr>
        <w:t xml:space="preserve">ke stažení na </w:t>
      </w:r>
      <w:r w:rsidR="00D50A6F">
        <w:rPr>
          <w:rFonts w:ascii="UnitPro" w:hAnsi="UnitPro" w:cs="UnitPro"/>
        </w:rPr>
        <w:t xml:space="preserve">webových stránkách objednatele na adrese: </w:t>
      </w:r>
      <w:hyperlink r:id="rId11" w:history="1">
        <w:r w:rsidR="0031591A" w:rsidRPr="00E261B9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 w:rsidR="0031591A">
        <w:rPr>
          <w:rFonts w:ascii="UnitPro" w:hAnsi="UnitPro" w:cs="UnitPro"/>
        </w:rPr>
        <w:t xml:space="preserve"> v</w:t>
      </w:r>
      <w:r w:rsidR="00E261B9"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>záložce „</w:t>
      </w:r>
      <w:r w:rsidR="00E261B9">
        <w:rPr>
          <w:rFonts w:ascii="UnitPro" w:hAnsi="UnitPro" w:cs="UnitPro"/>
        </w:rPr>
        <w:t>Vzory dokumentů, na </w:t>
      </w:r>
      <w:r w:rsidR="0031591A" w:rsidRPr="0031591A">
        <w:rPr>
          <w:rFonts w:ascii="UnitPro" w:hAnsi="UnitPro" w:cs="UnitPro"/>
        </w:rPr>
        <w:t>které odkazují smlouvy</w:t>
      </w:r>
      <w:r w:rsidR="0031591A">
        <w:rPr>
          <w:rFonts w:ascii="UnitPro" w:hAnsi="UnitPro" w:cs="UnitPro"/>
        </w:rPr>
        <w:t>“.</w:t>
      </w:r>
    </w:p>
    <w:p w14:paraId="723B509C" w14:textId="77777777" w:rsidR="00793148" w:rsidRDefault="0079314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68907059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5B6D2009" w14:textId="7614B1ED" w:rsidR="00CE3216" w:rsidRPr="00533529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533529">
        <w:rPr>
          <w:rFonts w:ascii="UnitPro" w:hAnsi="UnitPro" w:cs="UnitPro"/>
          <w:sz w:val="22"/>
          <w:szCs w:val="22"/>
        </w:rPr>
        <w:t>plnění před</w:t>
      </w:r>
      <w:r w:rsidR="004D60BB" w:rsidRPr="00533529">
        <w:rPr>
          <w:rFonts w:ascii="UnitPro" w:hAnsi="UnitPro" w:cs="UnitPro"/>
          <w:sz w:val="22"/>
          <w:szCs w:val="22"/>
        </w:rPr>
        <w:t>m</w:t>
      </w:r>
      <w:r w:rsidR="00205904" w:rsidRPr="00533529">
        <w:rPr>
          <w:rFonts w:ascii="UnitPro" w:hAnsi="UnitPro" w:cs="UnitPro"/>
          <w:sz w:val="22"/>
          <w:szCs w:val="22"/>
        </w:rPr>
        <w:t>ětu objednávky</w:t>
      </w:r>
      <w:r w:rsidR="00466AD0" w:rsidRPr="00533529">
        <w:rPr>
          <w:rFonts w:ascii="UnitPro" w:hAnsi="UnitPro" w:cs="UnitPro"/>
          <w:sz w:val="22"/>
          <w:szCs w:val="22"/>
        </w:rPr>
        <w:t xml:space="preserve"> </w:t>
      </w:r>
      <w:r w:rsidR="00EA6F93" w:rsidRPr="00533529">
        <w:rPr>
          <w:rFonts w:ascii="UnitPro" w:hAnsi="UnitPro" w:cs="UnitPro"/>
          <w:sz w:val="22"/>
          <w:szCs w:val="22"/>
        </w:rPr>
        <w:t>bud</w:t>
      </w:r>
      <w:r w:rsidR="00896BAA" w:rsidRPr="00533529">
        <w:rPr>
          <w:rFonts w:ascii="UnitPro" w:hAnsi="UnitPro" w:cs="UnitPro"/>
          <w:sz w:val="22"/>
          <w:szCs w:val="22"/>
        </w:rPr>
        <w:t>e čini</w:t>
      </w:r>
      <w:r w:rsidR="00B445A1" w:rsidRPr="00533529">
        <w:rPr>
          <w:rFonts w:ascii="UnitPro" w:hAnsi="UnitPro" w:cs="UnitPro"/>
          <w:sz w:val="22"/>
          <w:szCs w:val="22"/>
        </w:rPr>
        <w:t xml:space="preserve">t </w:t>
      </w:r>
      <w:r w:rsidR="007F793D" w:rsidRPr="007F793D">
        <w:rPr>
          <w:rFonts w:ascii="UnitPro" w:hAnsi="UnitPro" w:cs="UnitPro"/>
          <w:b/>
          <w:sz w:val="22"/>
          <w:szCs w:val="22"/>
        </w:rPr>
        <w:t>93.000,-</w:t>
      </w:r>
      <w:r w:rsidR="00B445A1" w:rsidRPr="007F793D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7F793D">
        <w:rPr>
          <w:rFonts w:ascii="UnitPro" w:hAnsi="UnitPro" w:cs="UnitPro"/>
          <w:b/>
          <w:sz w:val="22"/>
          <w:szCs w:val="22"/>
        </w:rPr>
        <w:t>Kč</w:t>
      </w:r>
      <w:r w:rsidR="00DE7124" w:rsidRPr="00533529">
        <w:rPr>
          <w:rFonts w:ascii="UnitPro" w:hAnsi="UnitPro" w:cs="UnitPro"/>
          <w:sz w:val="22"/>
          <w:szCs w:val="22"/>
        </w:rPr>
        <w:t xml:space="preserve"> (slovy: </w:t>
      </w:r>
      <w:r w:rsidR="007F793D">
        <w:rPr>
          <w:rFonts w:ascii="UnitPro" w:hAnsi="UnitPro" w:cs="UnitPro"/>
          <w:sz w:val="22"/>
          <w:szCs w:val="22"/>
        </w:rPr>
        <w:t xml:space="preserve">devadesát tři tisíc </w:t>
      </w:r>
      <w:r w:rsidR="00DE7124" w:rsidRPr="00533529">
        <w:rPr>
          <w:rFonts w:ascii="UnitPro" w:hAnsi="UnitPro" w:cs="UnitPro"/>
          <w:sz w:val="22"/>
          <w:szCs w:val="22"/>
        </w:rPr>
        <w:t xml:space="preserve">korun českých) </w:t>
      </w:r>
      <w:r w:rsidR="00DE7124" w:rsidRPr="00533529">
        <w:rPr>
          <w:rFonts w:ascii="UnitPro" w:hAnsi="UnitPro" w:cs="UnitPro"/>
          <w:b/>
          <w:sz w:val="22"/>
          <w:szCs w:val="22"/>
        </w:rPr>
        <w:t>bez DPH</w:t>
      </w:r>
      <w:r w:rsidR="00CE3216" w:rsidRPr="00533529">
        <w:rPr>
          <w:rFonts w:ascii="UnitPro" w:hAnsi="UnitPro" w:cs="UnitPro"/>
          <w:sz w:val="22"/>
          <w:szCs w:val="22"/>
        </w:rPr>
        <w:t>.</w:t>
      </w:r>
    </w:p>
    <w:p w14:paraId="0472CD1E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4333B531" w14:textId="12FAD02E"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b/>
          <w:sz w:val="22"/>
          <w:szCs w:val="22"/>
        </w:rPr>
        <w:t>Dodavatel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</w:t>
      </w:r>
      <w:r w:rsidR="00B445A1" w:rsidRPr="007F793D">
        <w:rPr>
          <w:rFonts w:ascii="UnitPro" w:hAnsi="UnitPro" w:cs="UnitPro"/>
          <w:b/>
          <w:sz w:val="22"/>
          <w:szCs w:val="22"/>
        </w:rPr>
        <w:t>není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264085">
        <w:rPr>
          <w:rFonts w:ascii="UnitPro" w:hAnsi="UnitPro" w:cs="UnitPro"/>
          <w:sz w:val="22"/>
          <w:szCs w:val="22"/>
        </w:rPr>
        <w:t xml:space="preserve">. </w:t>
      </w:r>
    </w:p>
    <w:p w14:paraId="31BAE29B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69942AEC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743F9F09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47C50D69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6DA059C5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3BA0D899" w14:textId="77777777"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14:paraId="24A22D24" w14:textId="3329C673" w:rsidR="0035580A" w:rsidRPr="00533529" w:rsidRDefault="00B542AD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7F793D">
        <w:rPr>
          <w:rFonts w:ascii="UnitPro" w:hAnsi="UnitPro" w:cs="UnitPro"/>
          <w:b/>
          <w:bCs/>
          <w:sz w:val="22"/>
          <w:szCs w:val="22"/>
        </w:rPr>
        <w:t>20-0159.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7CAA8375" w14:textId="77777777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3482275A" w14:textId="77777777"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002C6750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428423B5" w14:textId="77777777" w:rsidR="00800BC0" w:rsidRPr="00C90AE2" w:rsidRDefault="00800BC0" w:rsidP="00800BC0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C90AE2">
        <w:rPr>
          <w:rFonts w:ascii="UnitPro" w:hAnsi="UnitPro" w:cs="UnitPro"/>
          <w:b/>
          <w:bCs/>
          <w:u w:val="single"/>
        </w:rPr>
        <w:t>Sankční podmínky:</w:t>
      </w:r>
    </w:p>
    <w:p w14:paraId="625AA0B5" w14:textId="4EC6877E" w:rsidR="00800BC0" w:rsidRPr="00800BC0" w:rsidRDefault="00800BC0" w:rsidP="00800BC0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C90AE2">
        <w:rPr>
          <w:rFonts w:ascii="UnitPro" w:hAnsi="UnitPro" w:cs="UnitPro"/>
          <w:sz w:val="22"/>
          <w:szCs w:val="22"/>
        </w:rPr>
        <w:t xml:space="preserve">V případě, že dodavatel nedodrží rozsah, respektive termín dodání dle objednávky, je objednatel oprávněn účtovat smluvní pokutu ve výši </w:t>
      </w:r>
      <w:r w:rsidR="00301517" w:rsidRPr="00C90AE2">
        <w:rPr>
          <w:rFonts w:ascii="UnitPro" w:hAnsi="UnitPro" w:cs="UnitPro"/>
          <w:sz w:val="22"/>
          <w:szCs w:val="22"/>
        </w:rPr>
        <w:t>0,5</w:t>
      </w:r>
      <w:r w:rsidR="00C90AE2" w:rsidRPr="00C90AE2">
        <w:rPr>
          <w:rFonts w:ascii="UnitPro" w:hAnsi="UnitPro" w:cs="UnitPro"/>
          <w:sz w:val="22"/>
          <w:szCs w:val="22"/>
        </w:rPr>
        <w:t xml:space="preserve"> </w:t>
      </w:r>
      <w:r w:rsidRPr="00C90AE2">
        <w:rPr>
          <w:rFonts w:ascii="UnitPro" w:hAnsi="UnitPro" w:cs="UnitPro"/>
          <w:sz w:val="22"/>
          <w:szCs w:val="22"/>
        </w:rPr>
        <w:t xml:space="preserve">% </w:t>
      </w:r>
      <w:r w:rsidR="00F811C5" w:rsidRPr="00C90AE2">
        <w:rPr>
          <w:rFonts w:ascii="UnitPro" w:hAnsi="UnitPro" w:cs="UnitPro"/>
          <w:sz w:val="22"/>
          <w:szCs w:val="22"/>
        </w:rPr>
        <w:t>z celkové ceny předmětu objednávky včetně DPH, a to za každý den prodlení.</w:t>
      </w:r>
    </w:p>
    <w:p w14:paraId="49D432B2" w14:textId="77777777"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6CA9A290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42CE6E97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4756F80" w14:textId="77777777" w:rsidR="00B542AD" w:rsidRPr="007F793D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F793D">
        <w:rPr>
          <w:rFonts w:ascii="UnitPro" w:hAnsi="UnitPro" w:cs="UnitPro"/>
        </w:rPr>
        <w:t xml:space="preserve">Objednatel </w:t>
      </w:r>
      <w:r w:rsidR="00B542AD" w:rsidRPr="007F793D">
        <w:rPr>
          <w:rFonts w:ascii="UnitPro" w:hAnsi="UnitPro" w:cs="UnitPro"/>
        </w:rPr>
        <w:t xml:space="preserve">a dodavatel </w:t>
      </w:r>
      <w:r w:rsidR="00E608C3" w:rsidRPr="007F793D">
        <w:rPr>
          <w:rFonts w:ascii="UnitPro" w:hAnsi="UnitPro" w:cs="UnitPro"/>
        </w:rPr>
        <w:t xml:space="preserve">výslovně souhlasí s uveřejněním této </w:t>
      </w:r>
      <w:r w:rsidR="00B542AD" w:rsidRPr="007F793D">
        <w:rPr>
          <w:rFonts w:ascii="UnitPro" w:hAnsi="UnitPro" w:cs="UnitPro"/>
        </w:rPr>
        <w:t>potvrzené objednávky</w:t>
      </w:r>
      <w:r w:rsidR="00E608C3" w:rsidRPr="007F793D">
        <w:rPr>
          <w:rFonts w:ascii="UnitPro" w:hAnsi="UnitPro" w:cs="UnitPro"/>
        </w:rPr>
        <w:t xml:space="preserve"> </w:t>
      </w:r>
      <w:r w:rsidR="00EA3530" w:rsidRPr="007F793D">
        <w:rPr>
          <w:rFonts w:ascii="UnitPro" w:hAnsi="UnitPro" w:cs="UnitPro"/>
        </w:rPr>
        <w:br/>
      </w:r>
      <w:r w:rsidR="00E608C3" w:rsidRPr="007F793D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28433068" w14:textId="77777777" w:rsidR="00B542AD" w:rsidRPr="007F793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34A4D462" w14:textId="77777777" w:rsidR="005219DC" w:rsidRPr="007F793D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F793D">
        <w:rPr>
          <w:rFonts w:ascii="UnitPro" w:hAnsi="UnitPro" w:cs="UnitPro"/>
        </w:rPr>
        <w:t xml:space="preserve">Objednatel </w:t>
      </w:r>
      <w:r w:rsidR="00E608C3" w:rsidRPr="007F793D">
        <w:rPr>
          <w:rFonts w:ascii="UnitPro" w:hAnsi="UnitPro" w:cs="UnitPro"/>
        </w:rPr>
        <w:t xml:space="preserve">zajistí zveřejnění </w:t>
      </w:r>
      <w:r w:rsidR="00B542AD" w:rsidRPr="007F793D">
        <w:rPr>
          <w:rFonts w:ascii="UnitPro" w:hAnsi="UnitPro" w:cs="UnitPro"/>
        </w:rPr>
        <w:t xml:space="preserve">potvrzené </w:t>
      </w:r>
      <w:r w:rsidRPr="007F793D">
        <w:rPr>
          <w:rFonts w:ascii="UnitPro" w:hAnsi="UnitPro" w:cs="UnitPro"/>
        </w:rPr>
        <w:t>objednávky</w:t>
      </w:r>
      <w:r w:rsidR="00E608C3" w:rsidRPr="007F793D">
        <w:rPr>
          <w:rFonts w:ascii="UnitPro" w:hAnsi="UnitPro" w:cs="UnitPro"/>
        </w:rPr>
        <w:t xml:space="preserve"> zasláním správci registru smluv nejpozděj</w:t>
      </w:r>
      <w:r w:rsidR="00B542AD" w:rsidRPr="007F793D">
        <w:rPr>
          <w:rFonts w:ascii="UnitPro" w:hAnsi="UnitPro" w:cs="UnitPro"/>
        </w:rPr>
        <w:t>i ve lhůtě do 30 dnů od potvrzení objednávky</w:t>
      </w:r>
      <w:r w:rsidR="005219DC" w:rsidRPr="007F793D">
        <w:rPr>
          <w:rFonts w:ascii="UnitPro" w:hAnsi="UnitPro" w:cs="UnitPro"/>
        </w:rPr>
        <w:t xml:space="preserve">. </w:t>
      </w:r>
    </w:p>
    <w:p w14:paraId="32747BD5" w14:textId="77777777" w:rsidR="00B4235F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  <w:highlight w:val="cyan"/>
        </w:rPr>
      </w:pPr>
    </w:p>
    <w:p w14:paraId="016FD34B" w14:textId="77777777" w:rsidR="00B542AD" w:rsidRPr="007F793D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F793D">
        <w:rPr>
          <w:rFonts w:ascii="UnitPro" w:hAnsi="UnitPro" w:cs="UnitPro"/>
        </w:rPr>
        <w:t>Dodavatel obdrží potvrzení o uveřejnění v registru smluv automaticky vygenerované správcem registru smluv do své datové schránky.</w:t>
      </w:r>
      <w:r w:rsidR="00E608C3" w:rsidRPr="007F793D">
        <w:rPr>
          <w:rFonts w:ascii="UnitPro" w:hAnsi="UnitPro" w:cs="UnitPro"/>
        </w:rPr>
        <w:t xml:space="preserve"> </w:t>
      </w:r>
    </w:p>
    <w:p w14:paraId="09108312" w14:textId="77777777" w:rsidR="0000044F" w:rsidRP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highlight w:val="lightGray"/>
        </w:rPr>
      </w:pPr>
    </w:p>
    <w:p w14:paraId="59811032" w14:textId="77777777" w:rsidR="005219DC" w:rsidRPr="00C90AE2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C90AE2">
        <w:rPr>
          <w:rFonts w:ascii="UnitPro" w:hAnsi="UnitPro" w:cs="UnitPro"/>
        </w:rPr>
        <w:t>Objednávka nabývá účinnosti dnem uveřejnění v registru smluv.</w:t>
      </w:r>
    </w:p>
    <w:p w14:paraId="47573304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74D0D05" w14:textId="77777777"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61F98096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3BC6D96D" w14:textId="7777777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569009C1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6ED3252D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C90AE2">
        <w:rPr>
          <w:rFonts w:ascii="UnitPro" w:hAnsi="UnitPro" w:cs="UnitPro"/>
        </w:rPr>
        <w:t>V so</w:t>
      </w:r>
      <w:r w:rsidR="00DE5CA2" w:rsidRPr="00C90AE2">
        <w:rPr>
          <w:rFonts w:ascii="UnitPro" w:hAnsi="UnitPro" w:cs="UnitPro"/>
        </w:rPr>
        <w:t>uladu s ustanovením § 27 odst. 6</w:t>
      </w:r>
      <w:r w:rsidRPr="00C90AE2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C90AE2">
        <w:rPr>
          <w:rFonts w:ascii="UnitPro" w:hAnsi="UnitPro" w:cs="UnitPro"/>
        </w:rPr>
        <w:br/>
      </w:r>
      <w:r w:rsidRPr="00C90AE2">
        <w:rPr>
          <w:rFonts w:ascii="UnitPro" w:hAnsi="UnitPro" w:cs="UnitPro"/>
        </w:rPr>
        <w:t>této objednávky pro zřizovatele, kterým je hlavní město Praha.</w:t>
      </w:r>
    </w:p>
    <w:p w14:paraId="3546170D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5CEF102F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5A4CB955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3F0FCA82" w14:textId="77777777" w:rsidR="00F811C5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2E6D197D" w14:textId="77777777" w:rsidR="00C90AE2" w:rsidRDefault="00C90AE2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2A778B4E" w14:textId="77777777" w:rsidR="00C90AE2" w:rsidRDefault="00C90AE2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47280055" w14:textId="77777777" w:rsidR="00C90AE2" w:rsidRDefault="00C90AE2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64A1A447" w14:textId="77777777" w:rsidR="00C90AE2" w:rsidRPr="00533529" w:rsidRDefault="00C90AE2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BD8B51E" w14:textId="77777777" w:rsidR="005802CE" w:rsidRPr="00C90AE2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 w:rsidRPr="00C90AE2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23A91C36" w14:textId="77777777" w:rsidR="00264085" w:rsidRPr="00C90AE2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C90AE2">
        <w:rPr>
          <w:rFonts w:ascii="UnitPro" w:hAnsi="UnitPro" w:cs="UnitPro"/>
          <w:b/>
          <w:sz w:val="22"/>
          <w:szCs w:val="22"/>
        </w:rPr>
        <w:t xml:space="preserve">Mgr. </w:t>
      </w:r>
      <w:r w:rsidR="00DE100E" w:rsidRPr="00C90AE2">
        <w:rPr>
          <w:rFonts w:ascii="UnitPro" w:hAnsi="UnitPro" w:cs="UnitPro"/>
          <w:b/>
          <w:sz w:val="22"/>
          <w:szCs w:val="22"/>
        </w:rPr>
        <w:t>Martin Červený</w:t>
      </w:r>
      <w:r w:rsidR="005802CE" w:rsidRPr="00C90AE2">
        <w:rPr>
          <w:rFonts w:ascii="UnitPro" w:hAnsi="UnitPro" w:cs="UnitPro"/>
          <w:b/>
          <w:sz w:val="22"/>
          <w:szCs w:val="22"/>
        </w:rPr>
        <w:t>, zástupce ředitele</w:t>
      </w:r>
    </w:p>
    <w:p w14:paraId="29AC1511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49B0F1A9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2433BAFC" w14:textId="77777777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objednávky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6F99202C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607434E3" w14:textId="35456A79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hyperlink r:id="rId12" w:history="1">
        <w:proofErr w:type="spellStart"/>
        <w:r w:rsidR="00893E88" w:rsidRPr="00893E88">
          <w:rPr>
            <w:rStyle w:val="Hypertextovodkaz"/>
            <w:rFonts w:ascii="UnitPro" w:hAnsi="UnitPro" w:cs="UnitPro"/>
            <w:b/>
            <w:color w:val="000000" w:themeColor="text1"/>
            <w:sz w:val="22"/>
            <w:szCs w:val="22"/>
            <w:u w:val="none"/>
          </w:rPr>
          <w:t>xxxxxxxxxxxxxxxx</w:t>
        </w:r>
        <w:proofErr w:type="spellEnd"/>
      </w:hyperlink>
      <w:r w:rsidR="00C90AE2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651DE0DF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4648C73E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71107581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  <w:bookmarkStart w:id="0" w:name="_GoBack"/>
      <w:bookmarkEnd w:id="0"/>
    </w:p>
    <w:p w14:paraId="1F78C9DB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77E490ED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93C63DB" w14:textId="1FF3713B" w:rsidR="00F811C5" w:rsidRDefault="00C90AE2" w:rsidP="00F811C5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>Martina Požárová</w:t>
      </w:r>
      <w:r w:rsidR="005F51F1">
        <w:rPr>
          <w:rFonts w:ascii="UnitPro" w:hAnsi="UnitPro" w:cs="UnitPro"/>
        </w:rPr>
        <w:t xml:space="preserve">: </w:t>
      </w:r>
    </w:p>
    <w:p w14:paraId="3CCF924A" w14:textId="77777777"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14:paraId="022BF089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6AB76E77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1A15BC01" w14:textId="23271C15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>objednávku č. ZAK</w:t>
      </w:r>
      <w:r w:rsidR="00C90AE2">
        <w:rPr>
          <w:rFonts w:ascii="UnitPro" w:hAnsi="UnitPro" w:cs="UnitPro"/>
          <w:b/>
          <w:sz w:val="22"/>
          <w:szCs w:val="22"/>
        </w:rPr>
        <w:t xml:space="preserve"> 20-0159.</w:t>
      </w:r>
      <w:r w:rsidRPr="00D04A66">
        <w:rPr>
          <w:rFonts w:ascii="UnitPro" w:hAnsi="UnitPro" w:cs="UnitPro"/>
          <w:b/>
          <w:sz w:val="22"/>
          <w:szCs w:val="22"/>
        </w:rPr>
        <w:t xml:space="preserve"> 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952A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1FFA" w14:textId="77777777" w:rsidR="003F65F3" w:rsidRDefault="003F65F3">
      <w:r>
        <w:separator/>
      </w:r>
    </w:p>
  </w:endnote>
  <w:endnote w:type="continuationSeparator" w:id="0">
    <w:p w14:paraId="5D8BA1D9" w14:textId="77777777" w:rsidR="003F65F3" w:rsidRDefault="003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9502" w14:textId="77777777" w:rsidR="009026B4" w:rsidRPr="00952A7B" w:rsidRDefault="00893E88" w:rsidP="00952A7B">
    <w:pPr>
      <w:pStyle w:val="Zpat"/>
      <w:jc w:val="right"/>
    </w:pPr>
    <w:r>
      <w:rPr>
        <w:noProof/>
        <w:lang w:val="cs-CZ" w:eastAsia="cs-CZ"/>
      </w:rPr>
      <w:pict w14:anchorId="0C74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7E64F97A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14:paraId="4CEB53C1" w14:textId="77777777"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B730" w14:textId="77777777" w:rsidR="009026B4" w:rsidRDefault="00893E88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3E5E90F1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14:paraId="04AFACD9" w14:textId="77777777"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54545BDE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43552CAA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359F478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3A870039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682054CF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3B627BB1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3B75" w14:textId="77777777" w:rsidR="003F65F3" w:rsidRDefault="003F65F3">
      <w:r>
        <w:separator/>
      </w:r>
    </w:p>
  </w:footnote>
  <w:footnote w:type="continuationSeparator" w:id="0">
    <w:p w14:paraId="2E37CD5D" w14:textId="77777777" w:rsidR="003F65F3" w:rsidRDefault="003F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6E5EB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7ADF50D1" w14:textId="77777777" w:rsidR="00533529" w:rsidRDefault="00893E88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32CA0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14:paraId="642C6A12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16EE1008" w14:textId="77777777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3F65F3">
      <w:rPr>
        <w:rFonts w:ascii="UnitPro" w:hAnsi="UnitPro" w:cs="UnitPro"/>
        <w:sz w:val="28"/>
      </w:rPr>
      <w:t>20-0159</w:t>
    </w:r>
  </w:p>
  <w:p w14:paraId="45E9AE11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30C78DA1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A2FD" w14:textId="77777777" w:rsidR="009026B4" w:rsidRDefault="00893E88">
    <w:pPr>
      <w:pStyle w:val="Zhlav"/>
      <w:ind w:left="1440" w:firstLine="1620"/>
    </w:pPr>
    <w:r>
      <w:rPr>
        <w:noProof/>
        <w:sz w:val="20"/>
      </w:rPr>
      <w:pict w14:anchorId="02C3C70B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14:paraId="3942AE5A" w14:textId="77777777"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14:paraId="4E277229" w14:textId="77777777"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14:paraId="5A5362F6" w14:textId="77777777"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2BB79F14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14:paraId="7ABABAE6" w14:textId="77777777" w:rsidR="009026B4" w:rsidRDefault="00893E88">
                <w:pPr>
                  <w:spacing w:before="45"/>
                </w:pPr>
                <w:r>
                  <w:rPr>
                    <w:noProof/>
                  </w:rPr>
                  <w:pict w14:anchorId="69AF15F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68D"/>
    <w:multiLevelType w:val="multilevel"/>
    <w:tmpl w:val="10E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843A7A"/>
    <w:multiLevelType w:val="multilevel"/>
    <w:tmpl w:val="225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C1B8A"/>
    <w:multiLevelType w:val="multilevel"/>
    <w:tmpl w:val="8A5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6BBC"/>
    <w:multiLevelType w:val="multilevel"/>
    <w:tmpl w:val="A6A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17557"/>
    <w:multiLevelType w:val="multilevel"/>
    <w:tmpl w:val="C712B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762E2"/>
    <w:multiLevelType w:val="multilevel"/>
    <w:tmpl w:val="9BDE3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35518"/>
    <w:multiLevelType w:val="multilevel"/>
    <w:tmpl w:val="758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6BCF"/>
    <w:multiLevelType w:val="multilevel"/>
    <w:tmpl w:val="7A0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E51B5"/>
    <w:multiLevelType w:val="multilevel"/>
    <w:tmpl w:val="8C08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19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1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F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65F3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2C82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7F793D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3E88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0AE2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2ECD7D2"/>
  <w15:chartTrackingRefBased/>
  <w15:docId w15:val="{59AB94CD-2A24-4AF3-BC29-B864EF1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stna@ipr.prah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EECA6-5C4C-47F7-AF73-5EC2C16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5203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3</cp:revision>
  <cp:lastPrinted>2019-09-20T12:33:00Z</cp:lastPrinted>
  <dcterms:created xsi:type="dcterms:W3CDTF">2020-05-06T13:02:00Z</dcterms:created>
  <dcterms:modified xsi:type="dcterms:W3CDTF">2020-05-13T09:45:00Z</dcterms:modified>
</cp:coreProperties>
</file>