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4E" w:rsidRDefault="00A9627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1047115</wp:posOffset>
                </wp:positionH>
                <wp:positionV relativeFrom="page">
                  <wp:posOffset>9392920</wp:posOffset>
                </wp:positionV>
                <wp:extent cx="1749425" cy="0"/>
                <wp:effectExtent l="8890" t="10795" r="1333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B2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2.45pt;margin-top:739.6pt;width:137.7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F7A4E" w:rsidRDefault="00F60378">
      <w:pPr>
        <w:pStyle w:val="Tablecaption10"/>
        <w:framePr w:wrap="none" w:vAnchor="page" w:hAnchor="page" w:x="7218" w:y="1036"/>
        <w:shd w:val="clear" w:color="auto" w:fill="auto"/>
      </w:pPr>
      <w:r>
        <w:t>Příloha č. 5 zadávací dokumentace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5438"/>
      </w:tblGrid>
      <w:tr w:rsidR="003F7A4E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374" w:lineRule="exact"/>
              <w:ind w:left="20"/>
              <w:jc w:val="center"/>
            </w:pPr>
            <w:r>
              <w:rPr>
                <w:rStyle w:val="Bodytext213ptBold"/>
              </w:rPr>
              <w:t xml:space="preserve">Seznam případných poddodavatelů, s jejichž pomocí bude uchazeč plnit předmět zakázky </w:t>
            </w:r>
            <w:r>
              <w:rPr>
                <w:rStyle w:val="Bodytext285pt"/>
              </w:rPr>
              <w:t xml:space="preserve">- </w:t>
            </w:r>
            <w:r>
              <w:rPr>
                <w:rStyle w:val="Bodytext213ptBold"/>
              </w:rPr>
              <w:t xml:space="preserve">PROHLÁŠENÍ </w:t>
            </w:r>
            <w:r>
              <w:rPr>
                <w:rStyle w:val="Bodytext213pt"/>
                <w:vertAlign w:val="superscript"/>
              </w:rPr>
              <w:t>1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Bold"/>
              </w:rPr>
              <w:t>Název veřejné zakázky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Bold"/>
              </w:rPr>
              <w:t>Oprava vzduchotechniky Stravovací část Karlovarská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A4E" w:rsidRDefault="003F7A4E">
            <w:pPr>
              <w:framePr w:w="8722" w:h="6658" w:wrap="none" w:vAnchor="page" w:hAnchor="page" w:x="1559" w:y="1281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85pt"/>
              </w:rPr>
              <w:t xml:space="preserve">Podlimitní veřejná zakázka na stavební </w:t>
            </w:r>
            <w:r>
              <w:rPr>
                <w:rStyle w:val="Bodytext285pt"/>
              </w:rPr>
              <w:t>práce zadávaná v souladu se zákonem 134/2016 Sb. v otevřeném řízení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Bold"/>
              </w:rPr>
              <w:t>Identifikační údaje zadavatele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Bodytext285ptBold"/>
              </w:rPr>
              <w:t>Střední průmyslová škola dopravní, Plzeň, Karlovarská 99, Karlovarská 99, 323 00, Plzeň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Bold"/>
              </w:rPr>
              <w:t>IČO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69457930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Bold"/>
              </w:rPr>
              <w:t>DIČ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CZ69457930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Bold"/>
              </w:rPr>
              <w:t>Statutární zástupce zadavatele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 xml:space="preserve">Ing. </w:t>
            </w:r>
            <w:r>
              <w:rPr>
                <w:rStyle w:val="Bodytext285pt"/>
              </w:rPr>
              <w:t>Irena Nováková, ředitelka školy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ind w:right="20"/>
              <w:jc w:val="center"/>
            </w:pPr>
            <w:r>
              <w:rPr>
                <w:rStyle w:val="Bodytext285ptBold"/>
              </w:rPr>
              <w:t>IDENTIFIKAČNÍ ÚDAJE DODAVATELE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Bodytext285ptBold"/>
              </w:rPr>
              <w:t>Obchodní firma/název/jméno, příjmení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Italic"/>
              </w:rPr>
              <w:t xml:space="preserve">PROFI KLIMA </w:t>
            </w:r>
            <w:r w:rsidRPr="00A96278">
              <w:rPr>
                <w:rStyle w:val="Bodytext285ptItalic"/>
                <w:lang w:val="de-DE" w:eastAsia="en-US" w:bidi="en-US"/>
              </w:rPr>
              <w:t xml:space="preserve">solution </w:t>
            </w:r>
            <w:r>
              <w:rPr>
                <w:rStyle w:val="Bodytext285ptItalic"/>
              </w:rPr>
              <w:t>s.r.o.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Bodytext285ptBold"/>
              </w:rPr>
              <w:t>Zapsaný ve veřejném rejstříku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Spisová značka: C 276484 vedená u Městského soudu v Praze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Bodytext285ptBold"/>
              </w:rPr>
              <w:t>IČO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Italic"/>
              </w:rPr>
              <w:t>06120059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Bodytext285ptBold"/>
              </w:rPr>
              <w:t>DIČ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Italic"/>
              </w:rPr>
              <w:t>CZ06120059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Bodytext285ptBold"/>
              </w:rPr>
              <w:t>Sídlo/místo podnikání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Italic"/>
              </w:rPr>
              <w:t>Nademlejnská 1069/24, Praha. 198 00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235" w:lineRule="exact"/>
              <w:ind w:left="160"/>
              <w:jc w:val="left"/>
            </w:pPr>
            <w:r>
              <w:rPr>
                <w:rStyle w:val="Bodytext285ptBold"/>
              </w:rPr>
              <w:t>Oprávněná osoba jednat jménem či za dodavatele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85pt"/>
              </w:rPr>
              <w:t>Jméno a příjmení: Ing. Martin Bátrla, MBA</w:t>
            </w:r>
          </w:p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85pt"/>
              </w:rPr>
              <w:t>Funkce: jednatel</w:t>
            </w:r>
          </w:p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85pt"/>
              </w:rPr>
              <w:t xml:space="preserve">Kontakt </w:t>
            </w:r>
            <w:r w:rsidRPr="00A96278">
              <w:rPr>
                <w:rStyle w:val="Bodytext285pt"/>
                <w:lang w:eastAsia="en-US" w:bidi="en-US"/>
              </w:rPr>
              <w:t xml:space="preserve">(e-mail, </w:t>
            </w:r>
            <w:r>
              <w:rPr>
                <w:rStyle w:val="Bodytext285pt"/>
              </w:rPr>
              <w:t xml:space="preserve">tel.): </w:t>
            </w:r>
            <w:r w:rsidRPr="00A96278">
              <w:rPr>
                <w:rStyle w:val="Bodytext285pt0"/>
                <w:lang w:eastAsia="en-US" w:bidi="en-US"/>
              </w:rPr>
              <w:t>martin.</w:t>
            </w:r>
            <w:r>
              <w:rPr>
                <w:rStyle w:val="Bodytext285pt0"/>
              </w:rPr>
              <w:t xml:space="preserve">batrlaODrofiklima.cz, </w:t>
            </w:r>
            <w:r>
              <w:rPr>
                <w:rStyle w:val="Bodytext285pt"/>
              </w:rPr>
              <w:t xml:space="preserve">606 598 888 Oprávnění zastupovat (dle </w:t>
            </w:r>
            <w:r w:rsidRPr="00A96278">
              <w:rPr>
                <w:rStyle w:val="Bodytext285pt"/>
                <w:lang w:eastAsia="en-US" w:bidi="en-US"/>
              </w:rPr>
              <w:t xml:space="preserve">OR, </w:t>
            </w:r>
            <w:r>
              <w:rPr>
                <w:rStyle w:val="Bodytext285pt"/>
              </w:rPr>
              <w:t xml:space="preserve">popř. plná moc): dle </w:t>
            </w:r>
            <w:r w:rsidRPr="00A96278">
              <w:rPr>
                <w:rStyle w:val="Bodytext285pt"/>
                <w:lang w:eastAsia="en-US" w:bidi="en-US"/>
              </w:rPr>
              <w:t>OR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Bodytext285ptBold"/>
              </w:rPr>
              <w:t>Kontaktní osoba</w:t>
            </w:r>
          </w:p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Bodytext285pt"/>
              </w:rPr>
              <w:t>(je-li odlišná od oprávněné osoby)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85pt"/>
              </w:rPr>
              <w:t>Jméno a příjmení: Ing. Martin Bátrla, MBA</w:t>
            </w:r>
          </w:p>
          <w:p w:rsidR="003F7A4E" w:rsidRDefault="00F60378">
            <w:pPr>
              <w:pStyle w:val="Bodytext20"/>
              <w:framePr w:w="8722" w:h="6658" w:wrap="none" w:vAnchor="page" w:hAnchor="page" w:x="1559" w:y="128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85pt"/>
              </w:rPr>
              <w:t xml:space="preserve">Kontakt </w:t>
            </w:r>
            <w:r w:rsidRPr="00A96278">
              <w:rPr>
                <w:rStyle w:val="Bodytext285pt"/>
                <w:lang w:eastAsia="en-US" w:bidi="en-US"/>
              </w:rPr>
              <w:t xml:space="preserve">(e-mail, </w:t>
            </w:r>
            <w:r>
              <w:rPr>
                <w:rStyle w:val="Bodytext285pt"/>
              </w:rPr>
              <w:t xml:space="preserve">tel.): </w:t>
            </w:r>
            <w:r w:rsidRPr="00A96278">
              <w:rPr>
                <w:rStyle w:val="Bodytext285pt0"/>
                <w:lang w:eastAsia="en-US" w:bidi="en-US"/>
              </w:rPr>
              <w:t>martin.</w:t>
            </w:r>
            <w:r>
              <w:rPr>
                <w:rStyle w:val="Bodytext285pt0"/>
              </w:rPr>
              <w:t xml:space="preserve">batrla(®Drofiklima.cz, </w:t>
            </w:r>
            <w:r>
              <w:rPr>
                <w:rStyle w:val="Bodytext285pt"/>
              </w:rPr>
              <w:t>606 598 888 Adresa pro doručování (je-li odlišná od sídla/místa podnikání): --</w:t>
            </w:r>
          </w:p>
        </w:tc>
      </w:tr>
    </w:tbl>
    <w:p w:rsidR="003F7A4E" w:rsidRDefault="00F60378">
      <w:pPr>
        <w:pStyle w:val="Bodytext30"/>
        <w:framePr w:w="8746" w:h="841" w:hRule="exact" w:wrap="none" w:vAnchor="page" w:hAnchor="page" w:x="1559" w:y="8000"/>
        <w:shd w:val="clear" w:color="auto" w:fill="auto"/>
        <w:spacing w:before="0"/>
        <w:ind w:right="140"/>
      </w:pPr>
      <w:r>
        <w:t xml:space="preserve">V souladu s požadavkem zadavatele, uvedeném v článku 4.4 zadávací dokumentace uvádím seznam poddodavatelů, s jejichž pomocí budu plnit předmět zakázky, </w:t>
      </w:r>
      <w:r>
        <w:rPr>
          <w:rStyle w:val="Bodytext395ptNotBold"/>
        </w:rPr>
        <w:t>u kterých je předpoklad, že se budou na zakázce podílet min. z 10% nabídkové ceny dodavatele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902"/>
        <w:gridCol w:w="1430"/>
        <w:gridCol w:w="1349"/>
        <w:gridCol w:w="2472"/>
        <w:gridCol w:w="1090"/>
      </w:tblGrid>
      <w:tr w:rsidR="003F7A4E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Bold"/>
              </w:rPr>
              <w:t>Dodavatel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Bold"/>
              </w:rPr>
              <w:t>I</w:t>
            </w:r>
            <w:r>
              <w:rPr>
                <w:rStyle w:val="Bodytext285ptBold"/>
              </w:rPr>
              <w:t>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Bold"/>
              </w:rPr>
              <w:t>se sídlem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190" w:lineRule="exact"/>
            </w:pPr>
            <w:r>
              <w:rPr>
                <w:rStyle w:val="Bodytext285ptBold"/>
              </w:rPr>
              <w:t>zastoupený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85ptBold"/>
              </w:rPr>
              <w:t>Druh a rozsah prací, které bude poddodavatel poskytovat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85ptBold"/>
              </w:rPr>
              <w:t xml:space="preserve">Odhad </w:t>
            </w:r>
            <w:r>
              <w:rPr>
                <w:rStyle w:val="Bodytext28ptBoldItalic"/>
              </w:rPr>
              <w:t xml:space="preserve">% </w:t>
            </w:r>
            <w:r>
              <w:rPr>
                <w:rStyle w:val="Bodytext285ptBold"/>
              </w:rPr>
              <w:t>celk. nákladů plnění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PROFI KLIMA</w:t>
            </w:r>
          </w:p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a.s.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25379</w:t>
            </w:r>
          </w:p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721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85pt"/>
              </w:rPr>
              <w:t>Nademlejnsk á 1069/24,</w:t>
            </w:r>
          </w:p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85pt"/>
              </w:rPr>
              <w:t>Praha. 198 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230" w:lineRule="exact"/>
            </w:pPr>
            <w:r>
              <w:rPr>
                <w:rStyle w:val="Bodytext285pt"/>
              </w:rPr>
              <w:t>Martin</w:t>
            </w:r>
          </w:p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230" w:lineRule="exact"/>
              <w:ind w:right="300"/>
            </w:pPr>
            <w:r>
              <w:rPr>
                <w:rStyle w:val="Bodytext285pt"/>
              </w:rPr>
              <w:t>Bátrla-člen představens tva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85pt"/>
              </w:rPr>
              <w:t>Výroba, dodávka a montáž</w:t>
            </w:r>
          </w:p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85pt"/>
              </w:rPr>
              <w:t>VZT jednotek vč. měření</w:t>
            </w:r>
            <w:r>
              <w:rPr>
                <w:rStyle w:val="Bodytext285pt"/>
              </w:rPr>
              <w:t xml:space="preserve"> a regulace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4E" w:rsidRDefault="00F60378">
            <w:pPr>
              <w:pStyle w:val="Bodytext20"/>
              <w:framePr w:w="8698" w:h="2894" w:wrap="none" w:vAnchor="page" w:hAnchor="page" w:x="1607" w:y="8908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37%</w:t>
            </w: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</w:tr>
      <w:tr w:rsidR="003F7A4E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4E" w:rsidRDefault="003F7A4E">
            <w:pPr>
              <w:framePr w:w="8698" w:h="2894" w:wrap="none" w:vAnchor="page" w:hAnchor="page" w:x="1607" w:y="8908"/>
              <w:rPr>
                <w:sz w:val="10"/>
                <w:szCs w:val="10"/>
              </w:rPr>
            </w:pPr>
          </w:p>
        </w:tc>
      </w:tr>
    </w:tbl>
    <w:p w:rsidR="003F7A4E" w:rsidRDefault="00F60378">
      <w:pPr>
        <w:pStyle w:val="Bodytext40"/>
        <w:framePr w:w="8746" w:h="2183" w:hRule="exact" w:wrap="none" w:vAnchor="page" w:hAnchor="page" w:x="1559" w:y="11995"/>
        <w:shd w:val="clear" w:color="auto" w:fill="auto"/>
        <w:spacing w:before="0" w:after="124"/>
        <w:ind w:right="140"/>
      </w:pPr>
      <w:r>
        <w:t>Dodavatel uvede potřebný počet řádků (tabulku lze přizpůsobit, musí však obsahovat požadované údaje o poddodavatelích).</w:t>
      </w:r>
    </w:p>
    <w:p w:rsidR="003F7A4E" w:rsidRDefault="00F60378">
      <w:pPr>
        <w:pStyle w:val="Bodytext40"/>
        <w:framePr w:w="8746" w:h="2183" w:hRule="exact" w:wrap="none" w:vAnchor="page" w:hAnchor="page" w:x="1559" w:y="11995"/>
        <w:shd w:val="clear" w:color="auto" w:fill="auto"/>
        <w:spacing w:before="0" w:after="162" w:line="264" w:lineRule="exact"/>
        <w:ind w:right="140"/>
      </w:pPr>
      <w:r>
        <w:t xml:space="preserve">Současně účastník zadávacího řízení ve své nabídce doloží závazek budoucího možného poddodavatele k </w:t>
      </w:r>
      <w:r>
        <w:t>plnění tohoto poddodavatelského systému.</w:t>
      </w:r>
    </w:p>
    <w:p w:rsidR="003F7A4E" w:rsidRDefault="00F60378">
      <w:pPr>
        <w:pStyle w:val="Bodytext20"/>
        <w:framePr w:w="8746" w:h="2183" w:hRule="exact" w:wrap="none" w:vAnchor="page" w:hAnchor="page" w:x="1559" w:y="11995"/>
        <w:shd w:val="clear" w:color="auto" w:fill="auto"/>
        <w:spacing w:before="0"/>
      </w:pPr>
      <w:r>
        <w:t>V Praze</w:t>
      </w:r>
    </w:p>
    <w:p w:rsidR="003F7A4E" w:rsidRDefault="00F60378">
      <w:pPr>
        <w:pStyle w:val="Bodytext20"/>
        <w:framePr w:w="8746" w:h="2183" w:hRule="exact" w:wrap="none" w:vAnchor="page" w:hAnchor="page" w:x="1559" w:y="11995"/>
        <w:shd w:val="clear" w:color="auto" w:fill="auto"/>
        <w:tabs>
          <w:tab w:val="left" w:pos="4733"/>
          <w:tab w:val="left" w:leader="dot" w:pos="7042"/>
        </w:tabs>
        <w:spacing w:before="0" w:after="0"/>
      </w:pPr>
      <w:r>
        <w:t>Dne: 10.2.2020</w:t>
      </w:r>
      <w:r>
        <w:tab/>
      </w:r>
      <w:r>
        <w:tab/>
      </w:r>
    </w:p>
    <w:p w:rsidR="003F7A4E" w:rsidRDefault="00F60378">
      <w:pPr>
        <w:pStyle w:val="Bodytext50"/>
        <w:framePr w:w="8746" w:h="2183" w:hRule="exact" w:wrap="none" w:vAnchor="page" w:hAnchor="page" w:x="1559" w:y="11995"/>
        <w:shd w:val="clear" w:color="auto" w:fill="auto"/>
      </w:pPr>
      <w:r>
        <w:t xml:space="preserve">osoba oprávněná jednat jménem či za uchazeče: Ing. Martin Bátrla, MBA-jednatel PROFI KLIMA </w:t>
      </w:r>
      <w:r w:rsidRPr="00A96278">
        <w:rPr>
          <w:lang w:val="de-DE" w:eastAsia="en-US" w:bidi="en-US"/>
        </w:rPr>
        <w:t xml:space="preserve">solution </w:t>
      </w:r>
      <w:r>
        <w:t>s.r.o.</w:t>
      </w:r>
    </w:p>
    <w:p w:rsidR="003F7A4E" w:rsidRDefault="00F60378">
      <w:pPr>
        <w:pStyle w:val="Footnote10"/>
        <w:framePr w:wrap="none" w:vAnchor="page" w:hAnchor="page" w:x="1641" w:y="14889"/>
        <w:shd w:val="clear" w:color="auto" w:fill="auto"/>
      </w:pPr>
      <w:r>
        <w:rPr>
          <w:vertAlign w:val="superscript"/>
        </w:rPr>
        <w:t>1</w:t>
      </w:r>
      <w:r>
        <w:t xml:space="preserve"> Dodavatel vybere relevantní variantu Přílohy č. 5</w:t>
      </w:r>
    </w:p>
    <w:p w:rsidR="003F7A4E" w:rsidRDefault="003F7A4E">
      <w:pPr>
        <w:rPr>
          <w:sz w:val="2"/>
          <w:szCs w:val="2"/>
        </w:rPr>
        <w:sectPr w:rsidR="003F7A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F7A4E" w:rsidRDefault="00F60378">
      <w:pPr>
        <w:pStyle w:val="Bodytext20"/>
        <w:framePr w:wrap="none" w:vAnchor="page" w:hAnchor="page" w:x="1554" w:y="1562"/>
        <w:shd w:val="clear" w:color="auto" w:fill="auto"/>
        <w:spacing w:before="0" w:after="0"/>
      </w:pPr>
      <w:r>
        <w:lastRenderedPageBreak/>
        <w:t>Příloha</w:t>
      </w:r>
      <w:r>
        <w:t xml:space="preserve"> č. 2 Smlouvy</w:t>
      </w:r>
    </w:p>
    <w:p w:rsidR="003F7A4E" w:rsidRDefault="00F60378">
      <w:pPr>
        <w:pStyle w:val="Heading110"/>
        <w:framePr w:w="8755" w:h="9535" w:hRule="exact" w:wrap="none" w:vAnchor="page" w:hAnchor="page" w:x="1554" w:y="2034"/>
        <w:shd w:val="clear" w:color="auto" w:fill="auto"/>
        <w:spacing w:before="0" w:after="179"/>
        <w:ind w:left="40"/>
      </w:pPr>
      <w:bookmarkStart w:id="1" w:name="bookmark0"/>
      <w:r>
        <w:t>Harmonogram prací</w:t>
      </w:r>
      <w:bookmarkEnd w:id="1"/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152" w:line="288" w:lineRule="exact"/>
      </w:pPr>
      <w:r>
        <w:t>Dle bodu 5. Smlouvy (Termíny plnění - předání staveniště, dokončení a předání díla) je akce dělena na 3 části:</w:t>
      </w:r>
    </w:p>
    <w:p w:rsidR="003F7A4E" w:rsidRDefault="00F60378">
      <w:pPr>
        <w:pStyle w:val="Heading310"/>
        <w:framePr w:w="8755" w:h="9535" w:hRule="exact" w:wrap="none" w:vAnchor="page" w:hAnchor="page" w:x="1554" w:y="2034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bookmarkStart w:id="2" w:name="bookmark1"/>
      <w:r>
        <w:t>část: I etapa - (kuchyně), jen odsávání u myčky nádobí - dokončení do 5. 3. 2020</w:t>
      </w:r>
      <w:bookmarkEnd w:id="2"/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304" w:line="298" w:lineRule="exact"/>
        <w:ind w:left="740"/>
      </w:pPr>
      <w:r>
        <w:t xml:space="preserve">Při této části platí zahájení </w:t>
      </w:r>
      <w:r>
        <w:t>stavebních (prašných) prací nejdříve 28. 2. 2020 (pátek) v 13:00 hod. a dokončení 5. 3. 2020 (čtvrtek) do 13:00hod. a to z důvodu zajištění následného úklidu. Odsávání u myčky nádobí musí být v době předání plně funkční, drobné nedostatky (zejména formální</w:t>
      </w:r>
      <w:r>
        <w:t>) jsou připuštěny.</w:t>
      </w:r>
    </w:p>
    <w:p w:rsidR="003F7A4E" w:rsidRDefault="00F60378">
      <w:pPr>
        <w:pStyle w:val="Heading310"/>
        <w:framePr w:w="8755" w:h="9535" w:hRule="exact" w:wrap="none" w:vAnchor="page" w:hAnchor="page" w:x="1554" w:y="2034"/>
        <w:numPr>
          <w:ilvl w:val="0"/>
          <w:numId w:val="1"/>
        </w:numPr>
        <w:shd w:val="clear" w:color="auto" w:fill="auto"/>
        <w:tabs>
          <w:tab w:val="left" w:pos="315"/>
        </w:tabs>
        <w:spacing w:before="0" w:line="293" w:lineRule="exact"/>
      </w:pPr>
      <w:bookmarkStart w:id="3" w:name="bookmark2"/>
      <w:r>
        <w:t>část: II. etapa - (přednáškový sál) včetně případné dodávky klimatizační jednotky do 1. 6. 2020</w:t>
      </w:r>
      <w:bookmarkEnd w:id="3"/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0" w:line="293" w:lineRule="exact"/>
        <w:ind w:left="740"/>
      </w:pPr>
      <w:r>
        <w:t>Při této části platí, že veškeré práce je možné začít dle bodu 5. Smlouvy.</w:t>
      </w:r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0" w:line="293" w:lineRule="exact"/>
        <w:ind w:left="740"/>
        <w:jc w:val="left"/>
      </w:pPr>
      <w:r>
        <w:t>Napojení nové VZT na okruh topení je možné realizovat po předchozí</w:t>
      </w:r>
      <w:r>
        <w:t xml:space="preserve"> domluvě s investorem. Během prací musí zůstat plně funkční odsávání pro kuchyni. Případné stavební (prašné) práce, které omezí chod školy, musí být předem konzultovány se zástupcem investora.</w:t>
      </w:r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296" w:line="293" w:lineRule="exact"/>
        <w:ind w:left="740"/>
      </w:pPr>
      <w:r>
        <w:t>Dílo musí být při předání plně funkční, bez vad a nedostatků.</w:t>
      </w:r>
    </w:p>
    <w:p w:rsidR="003F7A4E" w:rsidRDefault="00F60378">
      <w:pPr>
        <w:pStyle w:val="Heading310"/>
        <w:framePr w:w="8755" w:h="9535" w:hRule="exact" w:wrap="none" w:vAnchor="page" w:hAnchor="page" w:x="1554" w:y="2034"/>
        <w:numPr>
          <w:ilvl w:val="0"/>
          <w:numId w:val="1"/>
        </w:numPr>
        <w:shd w:val="clear" w:color="auto" w:fill="auto"/>
        <w:tabs>
          <w:tab w:val="left" w:pos="315"/>
          <w:tab w:val="left" w:pos="7435"/>
        </w:tabs>
        <w:spacing w:before="0"/>
      </w:pPr>
      <w:bookmarkStart w:id="4" w:name="bookmark3"/>
      <w:r>
        <w:t>č</w:t>
      </w:r>
      <w:r>
        <w:t xml:space="preserve">ást: </w:t>
      </w:r>
      <w:r w:rsidRPr="00A96278">
        <w:rPr>
          <w:lang w:eastAsia="en-US" w:bidi="en-US"/>
        </w:rPr>
        <w:t xml:space="preserve">III. </w:t>
      </w:r>
      <w:r>
        <w:t>etapa - (kuchyně) včetně případné dodávky klimatizační jednotky</w:t>
      </w:r>
      <w:r>
        <w:tab/>
        <w:t>do 15. 8. 2020</w:t>
      </w:r>
      <w:bookmarkEnd w:id="4"/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0" w:line="298" w:lineRule="exact"/>
        <w:ind w:left="740"/>
      </w:pPr>
      <w:r>
        <w:t>Při této části platí, že práce je možné začít dle bodu 5. Smlouvy s výjimkou samotné kuchyně, přilehlých prostor, skladů apod. kde bude provoz až do 30. 6. 2020.</w:t>
      </w:r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0" w:line="298" w:lineRule="exact"/>
        <w:ind w:left="740"/>
        <w:jc w:val="left"/>
      </w:pPr>
      <w:r>
        <w:t>Napojení nové VZT na okruh topení je možné realizovat po předchozí domluvě s investorem. Do ukončení topné sezóny (ukončení bude písemně oznámeno investorem zhotoviteli) musí zůstat vzduchotechnika pro kuchyni plně funkční. Je možné provádět veškeré přípra</w:t>
      </w:r>
      <w:r>
        <w:t>vné práce, které ale nesmí ohrozit, ani omezit provoz školní kuchyně. Typicky se jedná o práce na střeše objektu a další přípravné práce.</w:t>
      </w:r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0" w:line="298" w:lineRule="exact"/>
        <w:ind w:left="740"/>
      </w:pPr>
      <w:r>
        <w:t>Po ukončení topné sezóny je možné začít s demontáží stávající VZT a se stavebními pracemi v suterénu budovy. Opět plat</w:t>
      </w:r>
      <w:r>
        <w:t>í, že veškeré práce nesmí ohrozit, ani omezit provoz školní kuchyně v 1. patře objektu. Stavební (prašné) práce, které omezí chod školní kuchyně, musí být předem konzultovány se zástupcem investora.</w:t>
      </w:r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0" w:line="298" w:lineRule="exact"/>
        <w:ind w:left="740"/>
      </w:pPr>
      <w:r>
        <w:t>Po ukončení provozu školní kuchyně (30. 6. 2020) je možné</w:t>
      </w:r>
      <w:r>
        <w:t xml:space="preserve"> zahájit veškeré práce v prostoru kuchyně a v přilehlých prostorech.</w:t>
      </w:r>
    </w:p>
    <w:p w:rsidR="003F7A4E" w:rsidRDefault="00F60378">
      <w:pPr>
        <w:pStyle w:val="Bodytext20"/>
        <w:framePr w:w="8755" w:h="9535" w:hRule="exact" w:wrap="none" w:vAnchor="page" w:hAnchor="page" w:x="1554" w:y="2034"/>
        <w:shd w:val="clear" w:color="auto" w:fill="auto"/>
        <w:spacing w:before="0" w:after="0" w:line="298" w:lineRule="exact"/>
        <w:ind w:left="740"/>
      </w:pPr>
      <w:r>
        <w:t>Dílo musí být při předání plně funkční, bez vad a nedostatků.</w:t>
      </w:r>
    </w:p>
    <w:p w:rsidR="003F7A4E" w:rsidRDefault="00F60378">
      <w:pPr>
        <w:pStyle w:val="Bodytext50"/>
        <w:framePr w:w="8755" w:h="2229" w:hRule="exact" w:wrap="none" w:vAnchor="page" w:hAnchor="page" w:x="1554" w:y="12491"/>
        <w:shd w:val="clear" w:color="auto" w:fill="auto"/>
        <w:spacing w:after="160"/>
        <w:ind w:left="220" w:right="5309"/>
      </w:pPr>
      <w:r>
        <w:t>V Plzni dne</w:t>
      </w:r>
    </w:p>
    <w:p w:rsidR="003F7A4E" w:rsidRDefault="00F60378">
      <w:pPr>
        <w:pStyle w:val="Bodytext60"/>
        <w:framePr w:w="8755" w:h="2229" w:hRule="exact" w:wrap="none" w:vAnchor="page" w:hAnchor="page" w:x="1554" w:y="12491"/>
        <w:shd w:val="clear" w:color="auto" w:fill="auto"/>
        <w:tabs>
          <w:tab w:val="left" w:pos="1593"/>
        </w:tabs>
        <w:spacing w:before="0"/>
        <w:ind w:left="220" w:right="5309"/>
      </w:pPr>
      <w:r>
        <w:rPr>
          <w:rStyle w:val="Bodytext685pt"/>
        </w:rPr>
        <w:t>Inn Iron;}</w:t>
      </w:r>
      <w:r>
        <w:rPr>
          <w:rStyle w:val="Bodytext685pt"/>
        </w:rPr>
        <w:tab/>
      </w:r>
      <w:r>
        <w:t>Digitálně podepsal Ing.</w:t>
      </w:r>
    </w:p>
    <w:p w:rsidR="003F7A4E" w:rsidRDefault="00F60378">
      <w:pPr>
        <w:pStyle w:val="Bodytext70"/>
        <w:framePr w:w="8755" w:h="2229" w:hRule="exact" w:wrap="none" w:vAnchor="page" w:hAnchor="page" w:x="1554" w:y="12491"/>
        <w:shd w:val="clear" w:color="auto" w:fill="auto"/>
        <w:tabs>
          <w:tab w:val="left" w:pos="1593"/>
        </w:tabs>
        <w:spacing w:after="53"/>
        <w:ind w:left="220" w:right="5309"/>
      </w:pPr>
      <w:r>
        <w:tab/>
      </w:r>
      <w:r>
        <w:rPr>
          <w:rStyle w:val="Bodytext7NotBoldSpacing0ptScaling100"/>
        </w:rPr>
        <w:t>Irena Nováková</w:t>
      </w:r>
    </w:p>
    <w:p w:rsidR="003F7A4E" w:rsidRDefault="00F60378">
      <w:pPr>
        <w:pStyle w:val="Heading210"/>
        <w:framePr w:w="8755" w:h="2229" w:hRule="exact" w:wrap="none" w:vAnchor="page" w:hAnchor="page" w:x="1554" w:y="12491"/>
        <w:shd w:val="clear" w:color="auto" w:fill="auto"/>
        <w:tabs>
          <w:tab w:val="left" w:pos="1593"/>
        </w:tabs>
        <w:spacing w:before="0"/>
        <w:ind w:left="220" w:right="5309"/>
      </w:pPr>
      <w:bookmarkStart w:id="5" w:name="bookmark4"/>
      <w:r>
        <w:rPr>
          <w:rStyle w:val="Heading2111pt"/>
        </w:rPr>
        <w:t>Nováková</w:t>
      </w:r>
      <w:r>
        <w:rPr>
          <w:rStyle w:val="Heading2111pt"/>
        </w:rPr>
        <w:tab/>
      </w:r>
      <w:r>
        <w:t>“</w:t>
      </w:r>
      <w:r>
        <w:rPr>
          <w:vertAlign w:val="superscript"/>
        </w:rPr>
        <w:t>omo3</w:t>
      </w:r>
      <w:r>
        <w:t>'</w:t>
      </w:r>
      <w:r>
        <w:rPr>
          <w:vertAlign w:val="superscript"/>
        </w:rPr>
        <w:t>2416:04:43</w:t>
      </w:r>
      <w:bookmarkEnd w:id="5"/>
    </w:p>
    <w:p w:rsidR="003F7A4E" w:rsidRDefault="00F60378">
      <w:pPr>
        <w:pStyle w:val="Bodytext50"/>
        <w:framePr w:w="8755" w:h="2229" w:hRule="exact" w:wrap="none" w:vAnchor="page" w:hAnchor="page" w:x="1554" w:y="12491"/>
        <w:shd w:val="clear" w:color="auto" w:fill="auto"/>
        <w:spacing w:line="350" w:lineRule="exact"/>
        <w:ind w:left="220" w:right="1680"/>
        <w:jc w:val="left"/>
      </w:pPr>
      <w:r>
        <w:t>Ing. Irena Nováková</w:t>
      </w:r>
      <w:r>
        <w:br/>
      </w:r>
      <w:r>
        <w:t>ředitelka školy</w:t>
      </w:r>
    </w:p>
    <w:p w:rsidR="003F7A4E" w:rsidRDefault="00F60378">
      <w:pPr>
        <w:pStyle w:val="Bodytext50"/>
        <w:framePr w:w="8755" w:h="2229" w:hRule="exact" w:wrap="none" w:vAnchor="page" w:hAnchor="page" w:x="1554" w:y="12491"/>
        <w:shd w:val="clear" w:color="auto" w:fill="auto"/>
        <w:spacing w:line="235" w:lineRule="exact"/>
        <w:ind w:left="220" w:right="5309"/>
      </w:pPr>
      <w:r>
        <w:t>Střední průmyslová škola dopravní, Plzeň,</w:t>
      </w:r>
      <w:r>
        <w:br/>
        <w:t>Karlovarská 99</w:t>
      </w:r>
    </w:p>
    <w:p w:rsidR="003F7A4E" w:rsidRDefault="00F60378">
      <w:pPr>
        <w:pStyle w:val="Bodytext50"/>
        <w:framePr w:wrap="none" w:vAnchor="page" w:hAnchor="page" w:x="5961" w:y="12477"/>
        <w:shd w:val="clear" w:color="auto" w:fill="auto"/>
        <w:jc w:val="left"/>
      </w:pPr>
      <w:r>
        <w:t>V Praze dne 10.2.2020</w:t>
      </w:r>
    </w:p>
    <w:p w:rsidR="003F7A4E" w:rsidRDefault="00F60378">
      <w:pPr>
        <w:pStyle w:val="Bodytext50"/>
        <w:framePr w:w="2160" w:h="1094" w:hRule="exact" w:wrap="none" w:vAnchor="page" w:hAnchor="page" w:x="5965" w:y="13749"/>
        <w:shd w:val="clear" w:color="auto" w:fill="auto"/>
        <w:spacing w:line="346" w:lineRule="exact"/>
        <w:jc w:val="left"/>
      </w:pPr>
      <w:r>
        <w:t>Ing. Martin Bátrla, MBA jednatel</w:t>
      </w:r>
    </w:p>
    <w:p w:rsidR="003F7A4E" w:rsidRDefault="00F60378">
      <w:pPr>
        <w:pStyle w:val="Bodytext50"/>
        <w:framePr w:w="2160" w:h="1094" w:hRule="exact" w:wrap="none" w:vAnchor="page" w:hAnchor="page" w:x="5965" w:y="13749"/>
        <w:shd w:val="clear" w:color="auto" w:fill="auto"/>
        <w:spacing w:line="346" w:lineRule="exact"/>
        <w:jc w:val="left"/>
      </w:pPr>
      <w:r>
        <w:t xml:space="preserve">PROFI KLIMA </w:t>
      </w:r>
      <w:r w:rsidRPr="00A96278">
        <w:rPr>
          <w:lang w:val="de-DE" w:eastAsia="en-US" w:bidi="en-US"/>
        </w:rPr>
        <w:t xml:space="preserve">solution </w:t>
      </w:r>
      <w:r>
        <w:t>s.r.o.</w:t>
      </w:r>
    </w:p>
    <w:p w:rsidR="003F7A4E" w:rsidRDefault="00F60378">
      <w:pPr>
        <w:pStyle w:val="Bodytext30"/>
        <w:framePr w:wrap="none" w:vAnchor="page" w:hAnchor="page" w:x="1732" w:y="14805"/>
        <w:shd w:val="clear" w:color="auto" w:fill="auto"/>
        <w:spacing w:before="0" w:line="190" w:lineRule="exact"/>
        <w:jc w:val="left"/>
      </w:pPr>
      <w:r>
        <w:t>za zadavatele</w:t>
      </w:r>
    </w:p>
    <w:p w:rsidR="003F7A4E" w:rsidRDefault="00F60378">
      <w:pPr>
        <w:pStyle w:val="Bodytext30"/>
        <w:framePr w:wrap="none" w:vAnchor="page" w:hAnchor="page" w:x="1554" w:y="14910"/>
        <w:shd w:val="clear" w:color="auto" w:fill="auto"/>
        <w:spacing w:before="0" w:line="190" w:lineRule="exact"/>
        <w:ind w:left="4426" w:right="3178"/>
      </w:pPr>
      <w:r>
        <w:t>za zhotovitele</w:t>
      </w:r>
    </w:p>
    <w:p w:rsidR="003F7A4E" w:rsidRDefault="003F7A4E">
      <w:pPr>
        <w:rPr>
          <w:sz w:val="2"/>
          <w:szCs w:val="2"/>
        </w:rPr>
      </w:pPr>
    </w:p>
    <w:sectPr w:rsidR="003F7A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78" w:rsidRDefault="00F60378">
      <w:r>
        <w:separator/>
      </w:r>
    </w:p>
  </w:endnote>
  <w:endnote w:type="continuationSeparator" w:id="0">
    <w:p w:rsidR="00F60378" w:rsidRDefault="00F6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78" w:rsidRDefault="00F60378">
      <w:r>
        <w:separator/>
      </w:r>
    </w:p>
  </w:footnote>
  <w:footnote w:type="continuationSeparator" w:id="0">
    <w:p w:rsidR="00F60378" w:rsidRDefault="00F6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74D5E"/>
    <w:multiLevelType w:val="multilevel"/>
    <w:tmpl w:val="B35A0E3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4E"/>
    <w:rsid w:val="003F7A4E"/>
    <w:rsid w:val="00A96278"/>
    <w:rsid w:val="00F6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79DB7-E4A8-4C9B-9014-7E1E3A08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3ptBold">
    <w:name w:val="Body text|2 + 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3pt">
    <w:name w:val="Body text|2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Italic">
    <w:name w:val="Body text|2 + 8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B69A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95ptNotBold">
    <w:name w:val="Body text|3 + 9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BoldItalic">
    <w:name w:val="Body text|2 + 8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1">
    <w:name w:val="Footnote|1_"/>
    <w:basedOn w:val="Standardnpsmoodstavce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85pt">
    <w:name w:val="Body text|6 + 8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pacing w:val="10"/>
      <w:w w:val="150"/>
      <w:sz w:val="10"/>
      <w:szCs w:val="10"/>
      <w:u w:val="none"/>
    </w:rPr>
  </w:style>
  <w:style w:type="character" w:customStyle="1" w:styleId="Bodytext7NotBoldSpacing0ptScaling100">
    <w:name w:val="Body text|7 + Not Bold;Spacing 0 pt;Scaling 100%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2111pt">
    <w:name w:val="Heading #2|1 + 11 pt"/>
    <w:basedOn w:val="Heading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20" w:after="1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20" w:line="259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after="120" w:line="269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Footnote10">
    <w:name w:val="Footnote|1"/>
    <w:basedOn w:val="Normln"/>
    <w:link w:val="Footnote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300" w:after="16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160" w:line="298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0" w:line="190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160" w:line="112" w:lineRule="exact"/>
      <w:jc w:val="both"/>
    </w:pPr>
    <w:rPr>
      <w:rFonts w:ascii="Arial" w:eastAsia="Arial" w:hAnsi="Arial" w:cs="Arial"/>
      <w:b/>
      <w:bCs/>
      <w:spacing w:val="10"/>
      <w:w w:val="150"/>
      <w:sz w:val="10"/>
      <w:szCs w:val="1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160" w:line="246" w:lineRule="exact"/>
      <w:jc w:val="both"/>
      <w:outlineLvl w:val="1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Slámová</dc:creator>
  <cp:lastModifiedBy>Jana Slámová</cp:lastModifiedBy>
  <cp:revision>2</cp:revision>
  <dcterms:created xsi:type="dcterms:W3CDTF">2020-05-13T06:55:00Z</dcterms:created>
  <dcterms:modified xsi:type="dcterms:W3CDTF">2020-05-13T06:55:00Z</dcterms:modified>
</cp:coreProperties>
</file>