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37E4" w14:textId="77777777" w:rsidR="005C121A" w:rsidRPr="00C4653A" w:rsidRDefault="005C121A">
      <w:pPr>
        <w:jc w:val="center"/>
      </w:pPr>
    </w:p>
    <w:p w14:paraId="20D5F062" w14:textId="77777777" w:rsidR="00F47F67" w:rsidRPr="00C4653A" w:rsidRDefault="00F47F67">
      <w:pPr>
        <w:jc w:val="center"/>
      </w:pPr>
    </w:p>
    <w:p w14:paraId="4A73AF2D" w14:textId="77777777" w:rsidR="0036133B" w:rsidRDefault="0036133B" w:rsidP="0036133B">
      <w:pPr>
        <w:jc w:val="center"/>
        <w:rPr>
          <w:b/>
          <w:sz w:val="32"/>
        </w:rPr>
      </w:pPr>
      <w:r w:rsidRPr="00C4653A">
        <w:rPr>
          <w:b/>
          <w:sz w:val="32"/>
        </w:rPr>
        <w:t xml:space="preserve">SMLOUVA O </w:t>
      </w:r>
      <w:r w:rsidR="00401343">
        <w:rPr>
          <w:b/>
          <w:sz w:val="32"/>
        </w:rPr>
        <w:t xml:space="preserve">ZAJIŠTĚNÍ </w:t>
      </w:r>
      <w:r w:rsidR="00102B89">
        <w:rPr>
          <w:b/>
          <w:sz w:val="32"/>
        </w:rPr>
        <w:t xml:space="preserve">PROVOZU </w:t>
      </w:r>
      <w:r w:rsidR="00401343">
        <w:rPr>
          <w:b/>
          <w:sz w:val="32"/>
        </w:rPr>
        <w:t>KONCOVÝCH ZAŘÍZENÍ</w:t>
      </w:r>
      <w:r>
        <w:rPr>
          <w:b/>
          <w:sz w:val="32"/>
        </w:rPr>
        <w:t xml:space="preserve"> ODEČTŮ ENERGIÍ</w:t>
      </w:r>
      <w:r w:rsidR="00102B89">
        <w:rPr>
          <w:b/>
          <w:sz w:val="32"/>
        </w:rPr>
        <w:t xml:space="preserve"> </w:t>
      </w:r>
      <w:r w:rsidR="005767CD">
        <w:rPr>
          <w:b/>
          <w:sz w:val="32"/>
        </w:rPr>
        <w:t>A SOUVISEJÍCÍCH</w:t>
      </w:r>
      <w:r w:rsidR="00102B89">
        <w:rPr>
          <w:b/>
          <w:sz w:val="32"/>
        </w:rPr>
        <w:t xml:space="preserve">  </w:t>
      </w:r>
      <w:r w:rsidR="005767CD">
        <w:rPr>
          <w:b/>
          <w:sz w:val="32"/>
        </w:rPr>
        <w:t>SLUŽEB</w:t>
      </w:r>
      <w:r w:rsidR="00C16522">
        <w:rPr>
          <w:b/>
          <w:sz w:val="32"/>
        </w:rPr>
        <w:t xml:space="preserve"> SE ZPRACOVÁNÍM ODEČTŮ</w:t>
      </w:r>
    </w:p>
    <w:p w14:paraId="53142770" w14:textId="77777777" w:rsidR="00F47F67" w:rsidRPr="00C4653A" w:rsidRDefault="0036133B">
      <w:pPr>
        <w:jc w:val="center"/>
      </w:pPr>
      <w:proofErr w:type="spellStart"/>
      <w:r w:rsidRPr="00410E4D">
        <w:t>reg</w:t>
      </w:r>
      <w:proofErr w:type="spellEnd"/>
      <w:r w:rsidRPr="00410E4D">
        <w:t xml:space="preserve">. č. </w:t>
      </w:r>
      <w:r w:rsidR="00415AA7" w:rsidRPr="00410E4D">
        <w:t xml:space="preserve">SO </w:t>
      </w:r>
      <w:r w:rsidR="00783850" w:rsidRPr="00410E4D">
        <w:t>…</w:t>
      </w:r>
    </w:p>
    <w:p w14:paraId="4739E893" w14:textId="77777777" w:rsidR="00F47F67" w:rsidRPr="00C4653A" w:rsidRDefault="00F47F67">
      <w:pPr>
        <w:jc w:val="center"/>
      </w:pPr>
    </w:p>
    <w:p w14:paraId="139C3708" w14:textId="77777777" w:rsidR="00F47F67" w:rsidRPr="00C4653A" w:rsidRDefault="00F47F67">
      <w:pPr>
        <w:jc w:val="center"/>
      </w:pPr>
    </w:p>
    <w:p w14:paraId="6AF7E966" w14:textId="77777777" w:rsidR="00F47F67" w:rsidRPr="00C4653A" w:rsidRDefault="00F47F67">
      <w:pPr>
        <w:jc w:val="center"/>
      </w:pPr>
    </w:p>
    <w:p w14:paraId="43C1D070" w14:textId="77777777" w:rsidR="00F47F67" w:rsidRPr="00C4653A" w:rsidRDefault="00F47F67">
      <w:pPr>
        <w:jc w:val="center"/>
      </w:pPr>
    </w:p>
    <w:p w14:paraId="7D661F31" w14:textId="77777777" w:rsidR="00F47F67" w:rsidRPr="00C4653A" w:rsidRDefault="00F47F67">
      <w:pPr>
        <w:jc w:val="center"/>
      </w:pPr>
    </w:p>
    <w:p w14:paraId="51C79815" w14:textId="77777777" w:rsidR="005C121A" w:rsidRPr="00C4653A" w:rsidRDefault="00F16E54">
      <w:pPr>
        <w:rPr>
          <w:b/>
        </w:rPr>
      </w:pPr>
      <w:r w:rsidRPr="00C4653A">
        <w:rPr>
          <w:b/>
        </w:rPr>
        <w:t>Smluvní strany:</w:t>
      </w:r>
    </w:p>
    <w:p w14:paraId="71222C13" w14:textId="77777777" w:rsidR="005C121A" w:rsidRPr="00C4653A" w:rsidRDefault="005C121A">
      <w:pPr>
        <w:rPr>
          <w:b/>
        </w:rPr>
      </w:pPr>
    </w:p>
    <w:p w14:paraId="4701DBEC" w14:textId="77777777" w:rsidR="0036133B" w:rsidRPr="00C4653A" w:rsidRDefault="0036133B" w:rsidP="0036133B">
      <w:proofErr w:type="spellStart"/>
      <w:r w:rsidRPr="00C4653A">
        <w:rPr>
          <w:b/>
        </w:rPr>
        <w:t>Solutions</w:t>
      </w:r>
      <w:proofErr w:type="spellEnd"/>
      <w:r w:rsidRPr="00C4653A">
        <w:rPr>
          <w:b/>
        </w:rPr>
        <w:t xml:space="preserve"> and </w:t>
      </w:r>
      <w:proofErr w:type="spellStart"/>
      <w:r w:rsidRPr="00C4653A">
        <w:rPr>
          <w:b/>
        </w:rPr>
        <w:t>Services</w:t>
      </w:r>
      <w:proofErr w:type="spellEnd"/>
      <w:r w:rsidRPr="00C4653A">
        <w:rPr>
          <w:b/>
        </w:rPr>
        <w:t>, a.s.</w:t>
      </w:r>
      <w:r w:rsidRPr="00C4653A">
        <w:t>, IČO: 272 08 320,</w:t>
      </w:r>
    </w:p>
    <w:p w14:paraId="2D5ED2DD" w14:textId="77777777" w:rsidR="0036133B" w:rsidRPr="00C4653A" w:rsidRDefault="0036133B" w:rsidP="0036133B">
      <w:r w:rsidRPr="00C4653A">
        <w:t>se sídlem Na Florenci 2116/15, Nové Město, 110 00 Praha 1,</w:t>
      </w:r>
    </w:p>
    <w:p w14:paraId="29CC31DE" w14:textId="77777777" w:rsidR="0036133B" w:rsidRPr="00C4653A" w:rsidRDefault="0036133B" w:rsidP="0036133B">
      <w:r w:rsidRPr="00C4653A">
        <w:t>zapsaná v obchodním rejstříku vedeném Městským soudem v Praze, oddíl B, vložka 11409,</w:t>
      </w:r>
    </w:p>
    <w:p w14:paraId="19A1D35D" w14:textId="77777777" w:rsidR="0036133B" w:rsidRPr="00C4653A" w:rsidRDefault="0036133B" w:rsidP="0036133B">
      <w:r w:rsidRPr="00C4653A">
        <w:t>zastoupená:</w:t>
      </w:r>
      <w:r w:rsidRPr="00C4653A">
        <w:tab/>
        <w:t xml:space="preserve">Ing. Robert </w:t>
      </w:r>
      <w:proofErr w:type="spellStart"/>
      <w:r w:rsidRPr="00C4653A">
        <w:t>Talajk</w:t>
      </w:r>
      <w:r>
        <w:t>a</w:t>
      </w:r>
      <w:proofErr w:type="spellEnd"/>
      <w:r>
        <w:t xml:space="preserve"> -</w:t>
      </w:r>
      <w:r w:rsidRPr="00C4653A">
        <w:t xml:space="preserve"> člen představenstva</w:t>
      </w:r>
      <w:r>
        <w:t xml:space="preserve">, </w:t>
      </w:r>
      <w:r w:rsidRPr="00C4653A">
        <w:t xml:space="preserve"> </w:t>
      </w:r>
      <w:r>
        <w:rPr>
          <w:color w:val="auto"/>
        </w:rPr>
        <w:t xml:space="preserve">Ing. </w:t>
      </w:r>
      <w:r w:rsidR="001B0025">
        <w:rPr>
          <w:color w:val="auto"/>
        </w:rPr>
        <w:t>Miluše Poláková</w:t>
      </w:r>
      <w:r>
        <w:rPr>
          <w:color w:val="auto"/>
        </w:rPr>
        <w:t xml:space="preserve"> </w:t>
      </w:r>
      <w:r>
        <w:t>-</w:t>
      </w:r>
      <w:r>
        <w:rPr>
          <w:color w:val="auto"/>
        </w:rPr>
        <w:t xml:space="preserve"> člen představenstva</w:t>
      </w:r>
      <w:r w:rsidRPr="00C4653A">
        <w:t>,</w:t>
      </w:r>
    </w:p>
    <w:p w14:paraId="703655B9" w14:textId="77777777" w:rsidR="0036133B" w:rsidRPr="00C4653A" w:rsidRDefault="0036133B" w:rsidP="0036133B"/>
    <w:p w14:paraId="6F838A39" w14:textId="77777777" w:rsidR="0036133B" w:rsidRPr="00C4653A" w:rsidRDefault="0036133B" w:rsidP="0036133B">
      <w:r w:rsidRPr="00C4653A">
        <w:t xml:space="preserve">na straně </w:t>
      </w:r>
      <w:r w:rsidR="00415AA7">
        <w:t>jedné</w:t>
      </w:r>
      <w:r w:rsidRPr="00C4653A">
        <w:t xml:space="preserve"> (“</w:t>
      </w:r>
      <w:r>
        <w:rPr>
          <w:b/>
        </w:rPr>
        <w:t>Poskytovatel</w:t>
      </w:r>
      <w:r w:rsidRPr="00C4653A">
        <w:t>”),</w:t>
      </w:r>
    </w:p>
    <w:p w14:paraId="245A9BD4" w14:textId="77777777" w:rsidR="005C121A" w:rsidRPr="00C4653A" w:rsidRDefault="005C121A"/>
    <w:p w14:paraId="4318D5E1" w14:textId="77777777" w:rsidR="005C121A" w:rsidRPr="00C4653A" w:rsidRDefault="00F16E54">
      <w:pPr>
        <w:spacing w:before="120" w:after="120"/>
        <w:rPr>
          <w:b/>
        </w:rPr>
      </w:pPr>
      <w:r w:rsidRPr="00C4653A">
        <w:t>a</w:t>
      </w:r>
    </w:p>
    <w:p w14:paraId="2AD1E59E" w14:textId="77777777" w:rsidR="00C46F4A" w:rsidRPr="00783850" w:rsidRDefault="00783850" w:rsidP="00C71527">
      <w:pPr>
        <w:rPr>
          <w:b/>
        </w:rPr>
      </w:pPr>
      <w:proofErr w:type="spellStart"/>
      <w:r>
        <w:rPr>
          <w:b/>
        </w:rPr>
        <w:t>Slavos</w:t>
      </w:r>
      <w:proofErr w:type="spellEnd"/>
      <w:r>
        <w:rPr>
          <w:b/>
        </w:rPr>
        <w:t xml:space="preserve"> Slaný, s.r.o.</w:t>
      </w:r>
    </w:p>
    <w:p w14:paraId="51629FCF" w14:textId="77777777" w:rsidR="000A6028" w:rsidRPr="00783850" w:rsidRDefault="00C71527" w:rsidP="00C71527">
      <w:r w:rsidRPr="00783850">
        <w:t xml:space="preserve">se sídlem </w:t>
      </w:r>
      <w:r w:rsidR="00783850">
        <w:t>Politických vězňů 1523, 274 01 slaný</w:t>
      </w:r>
    </w:p>
    <w:p w14:paraId="4F99B7FE" w14:textId="77777777" w:rsidR="00480AB7" w:rsidRPr="00783850" w:rsidRDefault="00C71527" w:rsidP="00C71527">
      <w:r w:rsidRPr="00783850">
        <w:t xml:space="preserve">IČO: </w:t>
      </w:r>
      <w:r w:rsidR="00783850">
        <w:t>07506554</w:t>
      </w:r>
    </w:p>
    <w:p w14:paraId="57346569" w14:textId="77777777" w:rsidR="00C71527" w:rsidRPr="00783850" w:rsidRDefault="00C71527" w:rsidP="00C71527">
      <w:r w:rsidRPr="00783850">
        <w:t xml:space="preserve">zapsaná v obchodním rejstříku vedeném Městským soudem v </w:t>
      </w:r>
      <w:r w:rsidR="000A6028" w:rsidRPr="00783850">
        <w:t>P</w:t>
      </w:r>
      <w:r w:rsidR="00783850">
        <w:t>raze</w:t>
      </w:r>
      <w:r w:rsidR="000A6028" w:rsidRPr="00783850">
        <w:t>, oddíl C</w:t>
      </w:r>
      <w:r w:rsidRPr="00783850">
        <w:t xml:space="preserve">, vložka </w:t>
      </w:r>
      <w:r w:rsidR="00783850">
        <w:t>302022</w:t>
      </w:r>
      <w:r w:rsidRPr="00783850">
        <w:t xml:space="preserve"> </w:t>
      </w:r>
    </w:p>
    <w:p w14:paraId="10235AB1" w14:textId="77777777" w:rsidR="00C71527" w:rsidRDefault="00C71527" w:rsidP="00C71527">
      <w:r w:rsidRPr="00783850">
        <w:t>zastoupen</w:t>
      </w:r>
      <w:r w:rsidR="00415AA7" w:rsidRPr="00783850">
        <w:t>á</w:t>
      </w:r>
      <w:r w:rsidRPr="00783850">
        <w:t xml:space="preserve">: </w:t>
      </w:r>
      <w:r w:rsidR="00C46F4A" w:rsidRPr="00783850">
        <w:t xml:space="preserve">Ing. </w:t>
      </w:r>
      <w:r w:rsidR="00783850">
        <w:t>Irena Vernerová</w:t>
      </w:r>
      <w:r w:rsidRPr="00783850">
        <w:t xml:space="preserve">, </w:t>
      </w:r>
      <w:r w:rsidR="000A6028" w:rsidRPr="00783850">
        <w:t>jednatel</w:t>
      </w:r>
      <w:r w:rsidR="00415AA7" w:rsidRPr="00783850">
        <w:t>,</w:t>
      </w:r>
      <w:r>
        <w:t xml:space="preserve"> </w:t>
      </w:r>
    </w:p>
    <w:p w14:paraId="375B0135" w14:textId="77777777" w:rsidR="005C121A" w:rsidRPr="00C4653A" w:rsidRDefault="005C121A"/>
    <w:p w14:paraId="394A1DFA" w14:textId="77777777" w:rsidR="005C121A" w:rsidRPr="00C4653A" w:rsidRDefault="00F16E54">
      <w:r w:rsidRPr="00C4653A">
        <w:t>na straně druhé (“</w:t>
      </w:r>
      <w:r w:rsidRPr="00C4653A">
        <w:rPr>
          <w:b/>
        </w:rPr>
        <w:t>Objednatel</w:t>
      </w:r>
      <w:r w:rsidRPr="00C4653A">
        <w:t>”),</w:t>
      </w:r>
    </w:p>
    <w:p w14:paraId="6B6CE3D9" w14:textId="77777777" w:rsidR="005C121A" w:rsidRPr="00C4653A" w:rsidRDefault="005C121A"/>
    <w:p w14:paraId="4B6DE87A" w14:textId="77777777" w:rsidR="005C121A" w:rsidRPr="00C4653A" w:rsidRDefault="00F16E54">
      <w:r w:rsidRPr="00C4653A">
        <w:t>(</w:t>
      </w:r>
      <w:r w:rsidR="0036133B">
        <w:t>Poskytovatel</w:t>
      </w:r>
      <w:r w:rsidRPr="00C4653A">
        <w:t xml:space="preserve"> a Objednatel společně dále také “</w:t>
      </w:r>
      <w:r w:rsidRPr="00C4653A">
        <w:rPr>
          <w:b/>
        </w:rPr>
        <w:t>Smluvní strany</w:t>
      </w:r>
      <w:r w:rsidRPr="00C4653A">
        <w:t>”, jednotlivě rovněž “</w:t>
      </w:r>
      <w:r w:rsidRPr="00C4653A">
        <w:rPr>
          <w:b/>
        </w:rPr>
        <w:t>Smluvní strana</w:t>
      </w:r>
      <w:r w:rsidRPr="00C4653A">
        <w:t>”).</w:t>
      </w:r>
    </w:p>
    <w:p w14:paraId="527C78D8" w14:textId="77777777" w:rsidR="005C121A" w:rsidRPr="00C4653A" w:rsidRDefault="00F16E54">
      <w:r w:rsidRPr="00C4653A">
        <w:t xml:space="preserve"> </w:t>
      </w:r>
    </w:p>
    <w:p w14:paraId="0C34DF39" w14:textId="77777777" w:rsidR="005C121A" w:rsidRPr="00C4653A" w:rsidRDefault="00F16E54">
      <w:r w:rsidRPr="00C4653A">
        <w:rPr>
          <w:b/>
        </w:rPr>
        <w:t>VZHLEDEM K TOMU, ŽE:</w:t>
      </w:r>
    </w:p>
    <w:p w14:paraId="63643EA2" w14:textId="77777777" w:rsidR="005C121A" w:rsidRPr="00C4653A" w:rsidRDefault="005C121A"/>
    <w:p w14:paraId="17C3BE25" w14:textId="77777777" w:rsidR="0036133B" w:rsidRPr="0036133B" w:rsidRDefault="0036133B" w:rsidP="0036133B">
      <w:pPr>
        <w:widowControl w:val="0"/>
        <w:numPr>
          <w:ilvl w:val="0"/>
          <w:numId w:val="1"/>
        </w:numPr>
        <w:tabs>
          <w:tab w:val="left" w:pos="1134"/>
        </w:tabs>
        <w:spacing w:after="120"/>
        <w:ind w:left="1134" w:hanging="1134"/>
      </w:pPr>
      <w:bookmarkStart w:id="0" w:name="_gjdgxs" w:colFirst="0" w:colLast="0"/>
      <w:bookmarkEnd w:id="0"/>
      <w:r>
        <w:t>Poskytovatel</w:t>
      </w:r>
      <w:r w:rsidRPr="00C4653A">
        <w:t xml:space="preserve"> podniká v oblasti poskytování služeb informačních technologií společnostem v rámci skupiny společností mateřské společnosti VEOLIA CENTRAL &amp; EASTERN EUROPE S.A., 75008 Paříž, </w:t>
      </w:r>
      <w:proofErr w:type="spellStart"/>
      <w:r w:rsidRPr="00C4653A">
        <w:t>rue</w:t>
      </w:r>
      <w:proofErr w:type="spellEnd"/>
      <w:r w:rsidRPr="00C4653A">
        <w:t xml:space="preserve"> La </w:t>
      </w:r>
      <w:proofErr w:type="spellStart"/>
      <w:r w:rsidRPr="00C4653A">
        <w:t>Boétie</w:t>
      </w:r>
      <w:proofErr w:type="spellEnd"/>
      <w:r w:rsidRPr="00C4653A">
        <w:t xml:space="preserve"> 31, Francouzská republika</w:t>
      </w:r>
      <w:r w:rsidRPr="00C4653A">
        <w:br/>
        <w:t xml:space="preserve">Registrační číslo: </w:t>
      </w:r>
      <w:proofErr w:type="gramStart"/>
      <w:r w:rsidRPr="00C4653A">
        <w:t>433934809</w:t>
      </w:r>
      <w:r w:rsidR="000F283B">
        <w:t xml:space="preserve"> </w:t>
      </w:r>
      <w:r w:rsidRPr="00C4653A">
        <w:t xml:space="preserve"> (</w:t>
      </w:r>
      <w:proofErr w:type="gramEnd"/>
      <w:r w:rsidRPr="00C4653A">
        <w:t>“</w:t>
      </w:r>
      <w:r w:rsidRPr="00C4653A">
        <w:rPr>
          <w:b/>
        </w:rPr>
        <w:t xml:space="preserve">Skupina </w:t>
      </w:r>
      <w:proofErr w:type="spellStart"/>
      <w:r w:rsidRPr="00C4653A">
        <w:rPr>
          <w:b/>
        </w:rPr>
        <w:t>Veolia</w:t>
      </w:r>
      <w:proofErr w:type="spellEnd"/>
      <w:r w:rsidRPr="00C4653A">
        <w:t xml:space="preserve">”); </w:t>
      </w:r>
    </w:p>
    <w:p w14:paraId="4B625D7E" w14:textId="77777777" w:rsidR="0036133B" w:rsidRDefault="0036133B" w:rsidP="00D56587">
      <w:pPr>
        <w:widowControl w:val="0"/>
        <w:numPr>
          <w:ilvl w:val="0"/>
          <w:numId w:val="1"/>
        </w:numPr>
        <w:tabs>
          <w:tab w:val="left" w:pos="1134"/>
        </w:tabs>
        <w:spacing w:after="120"/>
        <w:ind w:left="1134" w:hanging="1134"/>
      </w:pPr>
      <w:r>
        <w:t xml:space="preserve">Poskytovatel disponuje </w:t>
      </w:r>
      <w:r w:rsidRPr="00C4653A">
        <w:t xml:space="preserve">software umožňující </w:t>
      </w:r>
      <w:r w:rsidR="00044223">
        <w:t xml:space="preserve">(i) </w:t>
      </w:r>
      <w:r w:rsidRPr="00C4653A">
        <w:t>komplexní správu odečtů energií (voda, teplo, plyn, elektřina)</w:t>
      </w:r>
      <w:r w:rsidR="00B901A8">
        <w:t xml:space="preserve"> včetně systému </w:t>
      </w:r>
      <w:proofErr w:type="spellStart"/>
      <w:r w:rsidR="00B901A8">
        <w:t>walk</w:t>
      </w:r>
      <w:proofErr w:type="spellEnd"/>
      <w:r w:rsidR="00B901A8">
        <w:t xml:space="preserve"> by </w:t>
      </w:r>
      <w:r w:rsidR="000F283B">
        <w:t>a (</w:t>
      </w:r>
      <w:proofErr w:type="spellStart"/>
      <w:r w:rsidR="000F283B">
        <w:t>i</w:t>
      </w:r>
      <w:r w:rsidR="00B901A8">
        <w:t>i</w:t>
      </w:r>
      <w:proofErr w:type="spellEnd"/>
      <w:r w:rsidR="000F283B">
        <w:t xml:space="preserve">) </w:t>
      </w:r>
      <w:r w:rsidRPr="00C4653A">
        <w:t>práci s daty a komunikaci s informačním systém</w:t>
      </w:r>
      <w:r w:rsidR="0031073E">
        <w:t>em</w:t>
      </w:r>
      <w:r w:rsidRPr="00C4653A">
        <w:t xml:space="preserve"> Objednatele (dále jen “</w:t>
      </w:r>
      <w:r w:rsidR="00D713E8" w:rsidRPr="00E524A9">
        <w:rPr>
          <w:b/>
        </w:rPr>
        <w:t>Software</w:t>
      </w:r>
      <w:r w:rsidRPr="00C4653A">
        <w:t>”)</w:t>
      </w:r>
      <w:r w:rsidR="00401343">
        <w:t xml:space="preserve"> a to na zákla</w:t>
      </w:r>
      <w:r>
        <w:t xml:space="preserve">dě licenční smlouvy </w:t>
      </w:r>
      <w:proofErr w:type="spellStart"/>
      <w:r w:rsidR="00980091" w:rsidRPr="00F15937">
        <w:t>reg</w:t>
      </w:r>
      <w:proofErr w:type="spellEnd"/>
      <w:r w:rsidR="00980091" w:rsidRPr="00F15937">
        <w:t>. č. SD 1 4296</w:t>
      </w:r>
      <w:r w:rsidR="00D56587">
        <w:t xml:space="preserve"> </w:t>
      </w:r>
      <w:r>
        <w:t xml:space="preserve">uzavřené se společností </w:t>
      </w:r>
      <w:proofErr w:type="spellStart"/>
      <w:r w:rsidR="00980091" w:rsidRPr="00F15937">
        <w:t>IoT.water</w:t>
      </w:r>
      <w:proofErr w:type="spellEnd"/>
      <w:r w:rsidR="00980091" w:rsidRPr="00F15937">
        <w:t xml:space="preserve"> s.r.o.</w:t>
      </w:r>
      <w:r w:rsidRPr="00C4653A">
        <w:t>,</w:t>
      </w:r>
      <w:r>
        <w:t xml:space="preserve"> </w:t>
      </w:r>
      <w:r w:rsidRPr="00C4653A">
        <w:t>IČO: 055 89 916</w:t>
      </w:r>
      <w:r>
        <w:t xml:space="preserve">, </w:t>
      </w:r>
      <w:r w:rsidRPr="00C4653A">
        <w:t>se sídlem Kolbenova 898/11, Vysočany, 190 00 Praha 9</w:t>
      </w:r>
      <w:r w:rsidR="000F283B">
        <w:t xml:space="preserve"> ("</w:t>
      </w:r>
      <w:proofErr w:type="spellStart"/>
      <w:r w:rsidR="00980091" w:rsidRPr="00F15937">
        <w:rPr>
          <w:b/>
        </w:rPr>
        <w:t>IoT.water</w:t>
      </w:r>
      <w:proofErr w:type="spellEnd"/>
      <w:r w:rsidR="00980091" w:rsidRPr="00F15937">
        <w:rPr>
          <w:b/>
        </w:rPr>
        <w:t xml:space="preserve"> s.r.o.</w:t>
      </w:r>
      <w:r w:rsidR="000F283B">
        <w:t>")</w:t>
      </w:r>
      <w:r w:rsidRPr="00C4653A">
        <w:t>;</w:t>
      </w:r>
    </w:p>
    <w:p w14:paraId="17A992A0" w14:textId="77777777" w:rsidR="0036133B" w:rsidRDefault="0036133B" w:rsidP="0036133B">
      <w:pPr>
        <w:widowControl w:val="0"/>
        <w:numPr>
          <w:ilvl w:val="0"/>
          <w:numId w:val="1"/>
        </w:numPr>
        <w:tabs>
          <w:tab w:val="left" w:pos="1134"/>
        </w:tabs>
        <w:spacing w:after="120"/>
        <w:ind w:left="1134" w:hanging="1134"/>
      </w:pPr>
      <w:r w:rsidRPr="00C4653A">
        <w:t xml:space="preserve">Poskytovatel a Objednatel mají zájem upravit práva a povinnosti, která mezi nimi vzniknou v souvislosti s poskytnutím </w:t>
      </w:r>
      <w:r>
        <w:t xml:space="preserve">služby komplexní správy odečtu </w:t>
      </w:r>
      <w:r w:rsidRPr="003D6090">
        <w:t>energií</w:t>
      </w:r>
      <w:r>
        <w:t xml:space="preserve"> </w:t>
      </w:r>
    </w:p>
    <w:p w14:paraId="5F6AD485" w14:textId="77777777" w:rsidR="005C121A" w:rsidRPr="0036133B" w:rsidRDefault="00F16E54" w:rsidP="0036133B">
      <w:pPr>
        <w:widowControl w:val="0"/>
        <w:tabs>
          <w:tab w:val="left" w:pos="1134"/>
        </w:tabs>
        <w:spacing w:after="120"/>
        <w:ind w:left="1134"/>
      </w:pPr>
      <w:r w:rsidRPr="0036133B">
        <w:t xml:space="preserve">uzavřely Smluvní strany níže uvedeného dne, měsíce a roku následující </w:t>
      </w:r>
    </w:p>
    <w:p w14:paraId="2067EEB3" w14:textId="77777777" w:rsidR="005D5206" w:rsidRPr="00C4653A" w:rsidRDefault="005D5206"/>
    <w:p w14:paraId="4E3D1095" w14:textId="77777777" w:rsidR="005C121A" w:rsidRPr="00C4653A" w:rsidRDefault="001A5199" w:rsidP="009C35A7">
      <w:pPr>
        <w:jc w:val="center"/>
        <w:rPr>
          <w:b/>
          <w:sz w:val="24"/>
        </w:rPr>
      </w:pPr>
      <w:r>
        <w:rPr>
          <w:b/>
          <w:sz w:val="24"/>
        </w:rPr>
        <w:t>S</w:t>
      </w:r>
      <w:r w:rsidR="00F16E54" w:rsidRPr="00C4653A">
        <w:rPr>
          <w:b/>
          <w:sz w:val="24"/>
        </w:rPr>
        <w:t xml:space="preserve">mlouvu o </w:t>
      </w:r>
      <w:r w:rsidR="003A38CD" w:rsidRPr="00C4653A">
        <w:rPr>
          <w:b/>
          <w:sz w:val="24"/>
        </w:rPr>
        <w:t xml:space="preserve">zajištění </w:t>
      </w:r>
      <w:r w:rsidR="00C16522">
        <w:rPr>
          <w:b/>
          <w:sz w:val="24"/>
        </w:rPr>
        <w:t xml:space="preserve">provozu </w:t>
      </w:r>
      <w:r w:rsidR="00401343">
        <w:rPr>
          <w:b/>
          <w:sz w:val="24"/>
        </w:rPr>
        <w:t xml:space="preserve"> koncových zařízení </w:t>
      </w:r>
      <w:r w:rsidR="0036133B">
        <w:rPr>
          <w:b/>
          <w:sz w:val="24"/>
        </w:rPr>
        <w:t xml:space="preserve"> odečtu energií</w:t>
      </w:r>
      <w:r w:rsidR="00C16522">
        <w:rPr>
          <w:b/>
          <w:sz w:val="24"/>
        </w:rPr>
        <w:t xml:space="preserve"> a souvisejících služeb se zpracování</w:t>
      </w:r>
      <w:r w:rsidR="00854DC5">
        <w:rPr>
          <w:b/>
          <w:sz w:val="24"/>
        </w:rPr>
        <w:t>m</w:t>
      </w:r>
      <w:r w:rsidR="00C16522">
        <w:rPr>
          <w:b/>
          <w:sz w:val="24"/>
        </w:rPr>
        <w:t xml:space="preserve"> odečtů</w:t>
      </w:r>
    </w:p>
    <w:p w14:paraId="17B20FE1" w14:textId="77777777" w:rsidR="00676D5D" w:rsidRDefault="00F16E54" w:rsidP="009C35A7">
      <w:pPr>
        <w:jc w:val="center"/>
        <w:rPr>
          <w:b/>
          <w:sz w:val="24"/>
        </w:rPr>
      </w:pPr>
      <w:r w:rsidRPr="00C4653A">
        <w:rPr>
          <w:b/>
          <w:sz w:val="24"/>
        </w:rPr>
        <w:t>(“Smlouva”):</w:t>
      </w:r>
    </w:p>
    <w:p w14:paraId="2517E5DC" w14:textId="77777777" w:rsidR="00504689" w:rsidRDefault="00504689" w:rsidP="009C35A7">
      <w:pPr>
        <w:jc w:val="center"/>
        <w:rPr>
          <w:b/>
          <w:smallCaps/>
          <w:sz w:val="24"/>
        </w:rPr>
      </w:pPr>
    </w:p>
    <w:p w14:paraId="20D9E877" w14:textId="77777777" w:rsidR="0096652C" w:rsidRPr="00C4653A" w:rsidRDefault="0096652C" w:rsidP="009C35A7">
      <w:pPr>
        <w:jc w:val="center"/>
        <w:rPr>
          <w:b/>
          <w:smallCaps/>
          <w:sz w:val="24"/>
        </w:rPr>
      </w:pPr>
    </w:p>
    <w:p w14:paraId="62B7D1E7" w14:textId="77777777" w:rsidR="005C121A" w:rsidRPr="00647B1B" w:rsidRDefault="00F16E54" w:rsidP="00577D7E">
      <w:pPr>
        <w:numPr>
          <w:ilvl w:val="0"/>
          <w:numId w:val="2"/>
        </w:numPr>
        <w:spacing w:before="120" w:after="120"/>
        <w:rPr>
          <w:b/>
          <w:smallCaps/>
          <w:sz w:val="24"/>
        </w:rPr>
      </w:pPr>
      <w:r w:rsidRPr="00647B1B">
        <w:rPr>
          <w:b/>
          <w:smallCaps/>
          <w:sz w:val="24"/>
        </w:rPr>
        <w:t>PŘEDMĚT SMLOUVY</w:t>
      </w:r>
    </w:p>
    <w:p w14:paraId="40FC7F5B" w14:textId="77777777" w:rsidR="00401343" w:rsidRPr="00647B1B" w:rsidRDefault="00F16E54">
      <w:pPr>
        <w:numPr>
          <w:ilvl w:val="1"/>
          <w:numId w:val="2"/>
        </w:numPr>
      </w:pPr>
      <w:r w:rsidRPr="00647B1B">
        <w:t xml:space="preserve">Poskytovatel </w:t>
      </w:r>
      <w:r w:rsidR="00401343" w:rsidRPr="00647B1B">
        <w:t xml:space="preserve">se zavazuje poskytnout Objednateli </w:t>
      </w:r>
      <w:r w:rsidR="00C16522" w:rsidRPr="00647B1B">
        <w:t xml:space="preserve">komplexní </w:t>
      </w:r>
      <w:r w:rsidR="00401343" w:rsidRPr="00647B1B">
        <w:t>službu zajištění odečt</w:t>
      </w:r>
      <w:r w:rsidR="00B901A8">
        <w:t>ů</w:t>
      </w:r>
      <w:r w:rsidR="00401343" w:rsidRPr="00647B1B">
        <w:t xml:space="preserve"> energií</w:t>
      </w:r>
      <w:r w:rsidR="000F283B" w:rsidRPr="00647B1B">
        <w:t xml:space="preserve"> </w:t>
      </w:r>
      <w:r w:rsidR="00044223" w:rsidRPr="00647B1B">
        <w:t>s</w:t>
      </w:r>
      <w:r w:rsidR="00854DC5" w:rsidRPr="00647B1B">
        <w:t> </w:t>
      </w:r>
      <w:r w:rsidR="00044223" w:rsidRPr="00647B1B">
        <w:t>využitím</w:t>
      </w:r>
      <w:r w:rsidR="00854DC5" w:rsidRPr="00647B1B">
        <w:t xml:space="preserve"> </w:t>
      </w:r>
      <w:r w:rsidR="00770D71" w:rsidRPr="00647B1B">
        <w:t>S</w:t>
      </w:r>
      <w:r w:rsidR="00C16522" w:rsidRPr="00647B1B">
        <w:t>oftware</w:t>
      </w:r>
      <w:r w:rsidR="000F283B" w:rsidRPr="00647B1B">
        <w:t>,</w:t>
      </w:r>
      <w:r w:rsidR="00C16522" w:rsidRPr="00647B1B">
        <w:t xml:space="preserve"> </w:t>
      </w:r>
      <w:r w:rsidR="00770D71" w:rsidRPr="00647B1B">
        <w:t>který je b</w:t>
      </w:r>
      <w:r w:rsidR="00B06913" w:rsidRPr="00647B1B">
        <w:t>líže specifikován v Příloze č. </w:t>
      </w:r>
      <w:r w:rsidR="0096652C">
        <w:t>1</w:t>
      </w:r>
      <w:r w:rsidR="00770D71" w:rsidRPr="00647B1B">
        <w:t xml:space="preserve"> této Smlouvy</w:t>
      </w:r>
      <w:r w:rsidR="00C16522" w:rsidRPr="00647B1B">
        <w:t xml:space="preserve">, </w:t>
      </w:r>
      <w:r w:rsidR="00D15AB2" w:rsidRPr="00647B1B">
        <w:t xml:space="preserve">včetně </w:t>
      </w:r>
      <w:r w:rsidR="00C16522" w:rsidRPr="00647B1B">
        <w:t>datové úložiště</w:t>
      </w:r>
      <w:r w:rsidR="00FE01F2">
        <w:t>,</w:t>
      </w:r>
      <w:r w:rsidR="00C16522" w:rsidRPr="00647B1B">
        <w:t xml:space="preserve"> včetně přenosu dat</w:t>
      </w:r>
      <w:r w:rsidR="00ED0662" w:rsidRPr="00647B1B">
        <w:t xml:space="preserve"> a přístupů k datům</w:t>
      </w:r>
      <w:r w:rsidR="00E524A9" w:rsidRPr="00647B1B">
        <w:t xml:space="preserve"> a</w:t>
      </w:r>
      <w:r w:rsidR="00854DC5" w:rsidRPr="00647B1B">
        <w:t xml:space="preserve"> </w:t>
      </w:r>
      <w:r w:rsidR="00ED0662" w:rsidRPr="00647B1B">
        <w:t>interface do zákaznického informačního systému.</w:t>
      </w:r>
      <w:r w:rsidR="007E425E" w:rsidRPr="00647B1B">
        <w:t xml:space="preserve"> </w:t>
      </w:r>
      <w:r w:rsidR="00E524A9" w:rsidRPr="00647B1B">
        <w:t>Poskytovatel se d</w:t>
      </w:r>
      <w:r w:rsidR="007E425E" w:rsidRPr="00647B1B">
        <w:t xml:space="preserve">ále </w:t>
      </w:r>
      <w:r w:rsidR="00E524A9" w:rsidRPr="00647B1B">
        <w:t xml:space="preserve">zavazuje poskytnout </w:t>
      </w:r>
      <w:r w:rsidR="007E425E" w:rsidRPr="00647B1B">
        <w:t xml:space="preserve">podporu a </w:t>
      </w:r>
      <w:r w:rsidR="00854DC5" w:rsidRPr="00647B1B">
        <w:t>h</w:t>
      </w:r>
      <w:r w:rsidR="007E425E" w:rsidRPr="00647B1B">
        <w:t>elpdesk na dodávané služby</w:t>
      </w:r>
      <w:r w:rsidR="00102B89" w:rsidRPr="00647B1B">
        <w:t xml:space="preserve">. </w:t>
      </w:r>
      <w:r w:rsidR="00401343" w:rsidRPr="00647B1B">
        <w:t>Objednatel se zavazuje zaplatit Poskytovateli odměnu stanovenou v čl</w:t>
      </w:r>
      <w:r w:rsidR="002459B0" w:rsidRPr="00647B1B">
        <w:t>.</w:t>
      </w:r>
      <w:r w:rsidR="00401343" w:rsidRPr="00647B1B">
        <w:t xml:space="preserve"> </w:t>
      </w:r>
      <w:r w:rsidR="0096652C">
        <w:t>3</w:t>
      </w:r>
      <w:r w:rsidR="002459B0" w:rsidRPr="00647B1B">
        <w:t>.</w:t>
      </w:r>
      <w:r w:rsidR="0096652C">
        <w:t>1.</w:t>
      </w:r>
      <w:r w:rsidR="0025646B" w:rsidRPr="00647B1B">
        <w:t xml:space="preserve"> </w:t>
      </w:r>
      <w:r w:rsidR="002459B0" w:rsidRPr="00647B1B">
        <w:t xml:space="preserve">této </w:t>
      </w:r>
      <w:r w:rsidR="00401343" w:rsidRPr="00647B1B">
        <w:t>Smlouvy.</w:t>
      </w:r>
    </w:p>
    <w:p w14:paraId="31AEAA3D" w14:textId="77777777" w:rsidR="00D56587" w:rsidRPr="00647B1B" w:rsidRDefault="001A5199" w:rsidP="005B690B">
      <w:pPr>
        <w:numPr>
          <w:ilvl w:val="1"/>
          <w:numId w:val="2"/>
        </w:numPr>
      </w:pPr>
      <w:r w:rsidRPr="00647B1B">
        <w:t xml:space="preserve">Poskytovatel </w:t>
      </w:r>
      <w:r w:rsidR="00102B89" w:rsidRPr="00647B1B">
        <w:t xml:space="preserve">je </w:t>
      </w:r>
      <w:r w:rsidR="00E9064C" w:rsidRPr="00647B1B">
        <w:t xml:space="preserve">oprávněn použít </w:t>
      </w:r>
      <w:r w:rsidR="00ED76DE" w:rsidRPr="00647B1B">
        <w:t xml:space="preserve">pro poskytování </w:t>
      </w:r>
      <w:r w:rsidR="00E9064C" w:rsidRPr="00647B1B">
        <w:t>subdodavatele</w:t>
      </w:r>
      <w:r w:rsidR="00ED76DE" w:rsidRPr="00647B1B">
        <w:t>,  tím ovšem není dotčena odpovědnost Poskytovatele za poskytování služby Objednateli.</w:t>
      </w:r>
    </w:p>
    <w:p w14:paraId="14C5BA62" w14:textId="77777777" w:rsidR="0051717B" w:rsidRPr="00647B1B" w:rsidRDefault="0051717B" w:rsidP="0051717B">
      <w:pPr>
        <w:ind w:left="1134"/>
      </w:pPr>
    </w:p>
    <w:p w14:paraId="008BFB60" w14:textId="77777777" w:rsidR="00980091" w:rsidRDefault="00980091" w:rsidP="00B901A8">
      <w:pPr>
        <w:spacing w:before="60" w:after="60"/>
        <w:ind w:left="1560"/>
        <w:rPr>
          <w:b/>
          <w:sz w:val="24"/>
          <w:szCs w:val="24"/>
        </w:rPr>
      </w:pPr>
      <w:bookmarkStart w:id="1" w:name="_Ref501723760"/>
    </w:p>
    <w:p w14:paraId="15374714" w14:textId="77777777" w:rsidR="0096652C" w:rsidRPr="005B0D9D" w:rsidRDefault="0096652C" w:rsidP="00B901A8">
      <w:pPr>
        <w:spacing w:before="60" w:after="60"/>
        <w:ind w:left="1560"/>
        <w:rPr>
          <w:b/>
          <w:sz w:val="24"/>
          <w:szCs w:val="24"/>
        </w:rPr>
      </w:pPr>
    </w:p>
    <w:p w14:paraId="04AE7C66" w14:textId="77777777" w:rsidR="00815E62" w:rsidRPr="00854DC5" w:rsidRDefault="00980091" w:rsidP="004329BA">
      <w:pPr>
        <w:numPr>
          <w:ilvl w:val="0"/>
          <w:numId w:val="2"/>
        </w:numPr>
        <w:spacing w:before="240" w:after="120"/>
        <w:rPr>
          <w:sz w:val="24"/>
          <w:szCs w:val="24"/>
        </w:rPr>
      </w:pPr>
      <w:r w:rsidRPr="00854DC5">
        <w:rPr>
          <w:b/>
          <w:sz w:val="24"/>
          <w:szCs w:val="24"/>
        </w:rPr>
        <w:t>PODPORA A HELPDESK</w:t>
      </w:r>
      <w:bookmarkEnd w:id="1"/>
    </w:p>
    <w:p w14:paraId="34E70187" w14:textId="77777777" w:rsidR="00815E62" w:rsidRPr="00854DC5" w:rsidRDefault="00815E62" w:rsidP="00815E62">
      <w:pPr>
        <w:numPr>
          <w:ilvl w:val="1"/>
          <w:numId w:val="2"/>
        </w:numPr>
      </w:pPr>
      <w:r w:rsidRPr="005B0D9D">
        <w:t xml:space="preserve">Poskytovatel se zavazuje pro všechna svá plnění poskytovaná na základě této </w:t>
      </w:r>
      <w:r w:rsidR="00432D2C" w:rsidRPr="005B0D9D">
        <w:t xml:space="preserve">Smlouvy </w:t>
      </w:r>
      <w:r w:rsidRPr="00854DC5">
        <w:t xml:space="preserve">poskytovat služby Podpory a </w:t>
      </w:r>
      <w:r w:rsidR="00854DC5">
        <w:t>h</w:t>
      </w:r>
      <w:r w:rsidRPr="00854DC5">
        <w:t>elpdesku. Tyto služby spočívají především</w:t>
      </w:r>
      <w:r w:rsidR="00961C30" w:rsidRPr="00854DC5">
        <w:t xml:space="preserve"> v</w:t>
      </w:r>
      <w:r w:rsidRPr="00854DC5">
        <w:t>:</w:t>
      </w:r>
    </w:p>
    <w:p w14:paraId="1D32572C" w14:textId="77777777" w:rsidR="00815E62" w:rsidRPr="00854DC5" w:rsidRDefault="00841918" w:rsidP="00582483">
      <w:pPr>
        <w:numPr>
          <w:ilvl w:val="4"/>
          <w:numId w:val="2"/>
        </w:numPr>
        <w:spacing w:before="60" w:after="60"/>
        <w:ind w:left="1560" w:hanging="426"/>
      </w:pPr>
      <w:r w:rsidRPr="00854DC5">
        <w:t xml:space="preserve">Poskytnutí </w:t>
      </w:r>
      <w:r w:rsidR="00961C30" w:rsidRPr="00854DC5">
        <w:t xml:space="preserve">přístupu a služeb </w:t>
      </w:r>
      <w:proofErr w:type="spellStart"/>
      <w:r w:rsidR="00961C30" w:rsidRPr="00854DC5">
        <w:t>helpdeskového</w:t>
      </w:r>
      <w:proofErr w:type="spellEnd"/>
      <w:r w:rsidR="00961C30" w:rsidRPr="00854DC5">
        <w:t xml:space="preserve"> systému, ve kterém budou evidovány všechny požadavky a rek</w:t>
      </w:r>
      <w:r w:rsidR="00EE5175" w:rsidRPr="00854DC5">
        <w:t>lamace Objednatele v režimu 24/7/</w:t>
      </w:r>
      <w:r w:rsidR="00961C30" w:rsidRPr="00854DC5">
        <w:t>365 (24 hodin denně, 7 dní v týdnu, 365 dní v roce)</w:t>
      </w:r>
      <w:r w:rsidR="00815E62" w:rsidRPr="00854DC5">
        <w:t>.</w:t>
      </w:r>
    </w:p>
    <w:p w14:paraId="2F46FAE1" w14:textId="77777777" w:rsidR="00961C30" w:rsidRPr="00854DC5" w:rsidRDefault="00961C30" w:rsidP="00582483">
      <w:pPr>
        <w:numPr>
          <w:ilvl w:val="4"/>
          <w:numId w:val="2"/>
        </w:numPr>
        <w:spacing w:before="60" w:after="60"/>
        <w:ind w:left="1560" w:hanging="426"/>
      </w:pPr>
      <w:r w:rsidRPr="00854DC5">
        <w:t xml:space="preserve">Nabírání požadavků na podporu a hlášení problémů </w:t>
      </w:r>
      <w:r w:rsidR="00D12233" w:rsidRPr="00854DC5">
        <w:t xml:space="preserve">lze pouze prostřednictvím </w:t>
      </w:r>
      <w:proofErr w:type="spellStart"/>
      <w:r w:rsidRPr="00854DC5">
        <w:t>helpdeskového</w:t>
      </w:r>
      <w:proofErr w:type="spellEnd"/>
      <w:r w:rsidRPr="00854DC5">
        <w:t xml:space="preserve"> systému. </w:t>
      </w:r>
    </w:p>
    <w:p w14:paraId="51135B4C" w14:textId="77777777" w:rsidR="00AC2FB4" w:rsidRPr="00854DC5" w:rsidRDefault="00AC2FB4" w:rsidP="00AC2FB4">
      <w:pPr>
        <w:numPr>
          <w:ilvl w:val="1"/>
          <w:numId w:val="2"/>
        </w:numPr>
      </w:pPr>
      <w:r w:rsidRPr="00854DC5">
        <w:t xml:space="preserve">Poskytovatel se zavazuje odstraňovat závady vyskytnuvších se při provozu </w:t>
      </w:r>
      <w:r w:rsidR="009A2B9E" w:rsidRPr="00854DC5">
        <w:t>Software</w:t>
      </w:r>
      <w:r w:rsidRPr="00854DC5">
        <w:t xml:space="preserve">, zejména pak: </w:t>
      </w:r>
    </w:p>
    <w:p w14:paraId="6EA254BA" w14:textId="77777777" w:rsidR="00AC2FB4" w:rsidRPr="00854DC5" w:rsidRDefault="00AC2FB4" w:rsidP="00AC2FB4">
      <w:pPr>
        <w:numPr>
          <w:ilvl w:val="4"/>
          <w:numId w:val="2"/>
        </w:numPr>
        <w:spacing w:before="60" w:after="60"/>
        <w:ind w:left="1560" w:hanging="426"/>
      </w:pPr>
      <w:r w:rsidRPr="00854DC5">
        <w:t xml:space="preserve">Chyby databázového serveru využívaného pro provoz </w:t>
      </w:r>
      <w:r w:rsidR="000C24C3" w:rsidRPr="00854DC5">
        <w:t>Software</w:t>
      </w:r>
      <w:r w:rsidRPr="00854DC5">
        <w:t>.</w:t>
      </w:r>
    </w:p>
    <w:p w14:paraId="64994B1F" w14:textId="77777777" w:rsidR="00AC2FB4" w:rsidRPr="00FB6F20" w:rsidRDefault="00AC2FB4" w:rsidP="00AC2FB4">
      <w:pPr>
        <w:numPr>
          <w:ilvl w:val="4"/>
          <w:numId w:val="2"/>
        </w:numPr>
        <w:spacing w:before="60" w:after="60"/>
        <w:ind w:left="1560" w:hanging="426"/>
      </w:pPr>
      <w:r w:rsidRPr="00854DC5">
        <w:t>Chyby synchronizace s databází</w:t>
      </w:r>
      <w:r w:rsidRPr="00FB6F20">
        <w:t xml:space="preserve"> </w:t>
      </w:r>
      <w:r w:rsidR="000C24C3">
        <w:t>Z</w:t>
      </w:r>
      <w:r w:rsidRPr="00FB6F20">
        <w:t xml:space="preserve">ákaznického informačního systému </w:t>
      </w:r>
      <w:r w:rsidR="000C24C3">
        <w:t>Objednatele</w:t>
      </w:r>
      <w:r w:rsidRPr="00FB6F20">
        <w:t>.</w:t>
      </w:r>
    </w:p>
    <w:p w14:paraId="67E3BF4C" w14:textId="77777777" w:rsidR="00AC2FB4" w:rsidRPr="00FB6F20" w:rsidRDefault="00AC2FB4" w:rsidP="00AC2FB4">
      <w:pPr>
        <w:numPr>
          <w:ilvl w:val="4"/>
          <w:numId w:val="2"/>
        </w:numPr>
        <w:spacing w:before="60" w:after="60"/>
        <w:ind w:left="1560" w:hanging="426"/>
      </w:pPr>
      <w:r w:rsidRPr="00FB6F20">
        <w:t xml:space="preserve">Chyby serverové aplikace </w:t>
      </w:r>
      <w:r w:rsidR="009A2B9E">
        <w:t>Software</w:t>
      </w:r>
      <w:r w:rsidRPr="00FB6F20">
        <w:t>.</w:t>
      </w:r>
    </w:p>
    <w:p w14:paraId="272EBB0D" w14:textId="77777777" w:rsidR="00AC2FB4" w:rsidRPr="00FB6F20" w:rsidRDefault="00AC2FB4" w:rsidP="00AC2FB4">
      <w:pPr>
        <w:numPr>
          <w:ilvl w:val="4"/>
          <w:numId w:val="2"/>
        </w:numPr>
        <w:spacing w:before="60" w:after="60"/>
        <w:ind w:left="1560" w:hanging="426"/>
      </w:pPr>
      <w:r w:rsidRPr="00FB6F20">
        <w:t xml:space="preserve">Chyby klientských aplikací (desktopový klient </w:t>
      </w:r>
      <w:r w:rsidR="009A2B9E">
        <w:t>Software</w:t>
      </w:r>
      <w:r w:rsidRPr="00FB6F20">
        <w:t xml:space="preserve"> a klient </w:t>
      </w:r>
      <w:r w:rsidR="009A2B9E">
        <w:t>Software</w:t>
      </w:r>
      <w:r w:rsidRPr="00FB6F20">
        <w:t xml:space="preserve"> pro mobilní zařízení se systémem Android).</w:t>
      </w:r>
    </w:p>
    <w:p w14:paraId="46CA9F8A" w14:textId="77777777" w:rsidR="001B587A" w:rsidRDefault="001B587A" w:rsidP="00FB6F20">
      <w:pPr>
        <w:spacing w:before="60" w:after="60"/>
      </w:pPr>
    </w:p>
    <w:p w14:paraId="6657455A" w14:textId="77777777" w:rsidR="0096652C" w:rsidRDefault="0096652C" w:rsidP="00FB6F20">
      <w:pPr>
        <w:spacing w:before="60" w:after="60"/>
      </w:pPr>
    </w:p>
    <w:p w14:paraId="3D0C6DD4" w14:textId="77777777" w:rsidR="0096652C" w:rsidRPr="001B587A" w:rsidRDefault="0096652C" w:rsidP="00FB6F20">
      <w:pPr>
        <w:spacing w:before="60" w:after="60"/>
      </w:pPr>
    </w:p>
    <w:p w14:paraId="20DE3995" w14:textId="77777777" w:rsidR="005C121A" w:rsidRPr="00C4653A" w:rsidRDefault="00F16E54" w:rsidP="004329BA">
      <w:pPr>
        <w:numPr>
          <w:ilvl w:val="0"/>
          <w:numId w:val="2"/>
        </w:numPr>
        <w:spacing w:before="240" w:after="120"/>
        <w:rPr>
          <w:sz w:val="24"/>
        </w:rPr>
      </w:pPr>
      <w:bookmarkStart w:id="2" w:name="_Ref503188971"/>
      <w:r w:rsidRPr="00C4653A">
        <w:rPr>
          <w:b/>
          <w:smallCaps/>
          <w:sz w:val="24"/>
        </w:rPr>
        <w:t>ODMĚNA, PLATEBNÍ PODMÍNKY</w:t>
      </w:r>
      <w:bookmarkEnd w:id="2"/>
    </w:p>
    <w:p w14:paraId="0853BB42" w14:textId="77777777" w:rsidR="005C121A" w:rsidRPr="00C4653A" w:rsidRDefault="00F16E54">
      <w:pPr>
        <w:numPr>
          <w:ilvl w:val="1"/>
          <w:numId w:val="2"/>
        </w:numPr>
        <w:spacing w:before="120" w:after="120"/>
      </w:pPr>
      <w:r w:rsidRPr="00C4653A">
        <w:rPr>
          <w:b/>
        </w:rPr>
        <w:t>Odměna</w:t>
      </w:r>
      <w:r w:rsidRPr="00C4653A">
        <w:t>. Objednatel se zavazuje hradit Poskytovateli následující odměny za plnění Poskytovatele dle této Smlouvy:</w:t>
      </w:r>
    </w:p>
    <w:p w14:paraId="0F439A50" w14:textId="77777777" w:rsidR="00980091" w:rsidRDefault="00782B16" w:rsidP="00F15937">
      <w:pPr>
        <w:numPr>
          <w:ilvl w:val="3"/>
          <w:numId w:val="2"/>
        </w:numPr>
        <w:spacing w:before="120" w:after="120"/>
      </w:pPr>
      <w:r>
        <w:t xml:space="preserve">Služby </w:t>
      </w:r>
      <w:r w:rsidR="00677F6A" w:rsidRPr="00A81870">
        <w:t xml:space="preserve"> dle čl</w:t>
      </w:r>
      <w:r w:rsidR="0051717B">
        <w:t>.</w:t>
      </w:r>
      <w:r w:rsidR="00677F6A" w:rsidRPr="00A81870">
        <w:t xml:space="preserve"> </w:t>
      </w:r>
      <w:r w:rsidR="005B0D9D">
        <w:t>2</w:t>
      </w:r>
      <w:r w:rsidR="0051717B">
        <w:t>.</w:t>
      </w:r>
      <w:r w:rsidR="00677F6A" w:rsidRPr="00A81870">
        <w:t xml:space="preserve"> této </w:t>
      </w:r>
      <w:r w:rsidR="00EC6B81" w:rsidRPr="00A81870">
        <w:t>Smlouvy</w:t>
      </w:r>
      <w:r w:rsidR="00677F6A" w:rsidRPr="00A81870">
        <w:t>:</w:t>
      </w:r>
    </w:p>
    <w:p w14:paraId="2F839F8B" w14:textId="77777777" w:rsidR="00677F6A" w:rsidRPr="00C4653A" w:rsidRDefault="0016696C" w:rsidP="00582483">
      <w:pPr>
        <w:numPr>
          <w:ilvl w:val="2"/>
          <w:numId w:val="18"/>
        </w:numPr>
        <w:spacing w:before="120" w:after="120"/>
        <w:ind w:left="1701" w:hanging="568"/>
      </w:pPr>
      <w:r w:rsidRPr="0016696C">
        <w:t>7</w:t>
      </w:r>
      <w:r w:rsidR="00415AA7" w:rsidRPr="0016696C">
        <w:t xml:space="preserve"> </w:t>
      </w:r>
      <w:r w:rsidRPr="0016696C">
        <w:t>500</w:t>
      </w:r>
      <w:r w:rsidR="00415AA7" w:rsidRPr="0016696C">
        <w:t xml:space="preserve">,- Kč bez DPH (slovy </w:t>
      </w:r>
      <w:proofErr w:type="spellStart"/>
      <w:r w:rsidRPr="0016696C">
        <w:t>sedmtisícpětset</w:t>
      </w:r>
      <w:proofErr w:type="spellEnd"/>
      <w:r w:rsidR="00415AA7" w:rsidRPr="0016696C">
        <w:t xml:space="preserve"> korun českých)</w:t>
      </w:r>
      <w:r w:rsidR="00415AA7" w:rsidRPr="00C4653A">
        <w:t xml:space="preserve"> za jeden kalendářní měsíc</w:t>
      </w:r>
      <w:r w:rsidR="00FF0D51" w:rsidRPr="00C4653A">
        <w:t xml:space="preserve"> </w:t>
      </w:r>
    </w:p>
    <w:p w14:paraId="678C5EFA" w14:textId="77777777" w:rsidR="00980091" w:rsidRPr="00C25D45" w:rsidRDefault="00ED1020" w:rsidP="00F15937">
      <w:pPr>
        <w:numPr>
          <w:ilvl w:val="3"/>
          <w:numId w:val="2"/>
        </w:numPr>
        <w:spacing w:before="120" w:after="120"/>
      </w:pPr>
      <w:r w:rsidRPr="00C25D45">
        <w:lastRenderedPageBreak/>
        <w:t xml:space="preserve">Jednorázový aktivační poplatek </w:t>
      </w:r>
      <w:r w:rsidR="0073617E" w:rsidRPr="00C25D45">
        <w:t xml:space="preserve"> všech s</w:t>
      </w:r>
      <w:r w:rsidRPr="00C25D45">
        <w:t>lužeb</w:t>
      </w:r>
      <w:r w:rsidR="00854DC5" w:rsidRPr="00C25D45">
        <w:t xml:space="preserve"> (</w:t>
      </w:r>
      <w:r w:rsidR="00854DC5" w:rsidRPr="00C25D45">
        <w:rPr>
          <w:color w:val="222222"/>
          <w:shd w:val="clear" w:color="auto" w:fill="FFFFFF"/>
        </w:rPr>
        <w:t>slouží pro zajištění úvodního nastavení Software na straně Poskytovatele, tzv. aktivace, včetně úvodního testu správné a bezpečné komunikace)</w:t>
      </w:r>
    </w:p>
    <w:p w14:paraId="0F24819A" w14:textId="77777777" w:rsidR="00980091" w:rsidRPr="00C25D45" w:rsidRDefault="00ED1020" w:rsidP="00F15937">
      <w:pPr>
        <w:numPr>
          <w:ilvl w:val="4"/>
          <w:numId w:val="2"/>
        </w:numPr>
        <w:spacing w:before="120" w:after="120"/>
      </w:pPr>
      <w:r w:rsidRPr="00C25D45">
        <w:t xml:space="preserve">Objednatel je povinen uhradit Objednateli do </w:t>
      </w:r>
      <w:r w:rsidR="00492223">
        <w:t>9</w:t>
      </w:r>
      <w:r w:rsidRPr="00C25D45">
        <w:t xml:space="preserve">0-ti kalendářních dnů po podpisu této Smlouvy jednorázový </w:t>
      </w:r>
      <w:proofErr w:type="spellStart"/>
      <w:r w:rsidR="00783850">
        <w:t>akivační</w:t>
      </w:r>
      <w:proofErr w:type="spellEnd"/>
      <w:r w:rsidRPr="00C25D45">
        <w:t xml:space="preserve"> poplatek ve </w:t>
      </w:r>
      <w:r w:rsidRPr="00783850">
        <w:t xml:space="preserve">výši </w:t>
      </w:r>
      <w:r w:rsidR="00783850" w:rsidRPr="00783850">
        <w:t>75 000</w:t>
      </w:r>
      <w:r w:rsidRPr="00783850">
        <w:t>,-</w:t>
      </w:r>
      <w:r w:rsidRPr="00C25D45">
        <w:t xml:space="preserve">  Kč bez DPH </w:t>
      </w:r>
    </w:p>
    <w:p w14:paraId="068CB030" w14:textId="77777777" w:rsidR="005C121A" w:rsidRPr="00A81870" w:rsidRDefault="00F16E54" w:rsidP="00A81870">
      <w:pPr>
        <w:numPr>
          <w:ilvl w:val="1"/>
          <w:numId w:val="2"/>
        </w:numPr>
        <w:spacing w:before="120" w:after="120"/>
      </w:pPr>
      <w:r w:rsidRPr="00C25D45">
        <w:t>Odměnu Objednatel uhradí</w:t>
      </w:r>
      <w:r w:rsidRPr="00A81870">
        <w:t xml:space="preserve"> Poskytovateli bezhotovostním převodem na účet uvedený ve faktuře. Odměna je splatná 15. den od předložení faktury (daňového dokladu), která bude obsahovat veškeré právními předpisy požadované náležitosti. Dnem úhrady je den připsání platby na účet Poskytovatele.</w:t>
      </w:r>
    </w:p>
    <w:p w14:paraId="5E4FE09A" w14:textId="77777777" w:rsidR="00980091" w:rsidRDefault="003C5085" w:rsidP="00F15937">
      <w:pPr>
        <w:numPr>
          <w:ilvl w:val="1"/>
          <w:numId w:val="2"/>
        </w:numPr>
        <w:spacing w:before="120" w:after="120"/>
      </w:pPr>
      <w:r w:rsidRPr="00A81870">
        <w:t xml:space="preserve">Částky uvedené v čl. </w:t>
      </w:r>
      <w:r w:rsidR="00B901A8">
        <w:t>3</w:t>
      </w:r>
      <w:r w:rsidRPr="00A81870">
        <w:t>. této Smlouvy jsou uvedeny bez daně z přidané hodnoty (DPH), která bude za podmínek stanovených zákonem přičtena v zákonem stanovené výši k danému plnění podléhajícímu dani z přidané hodnoty.</w:t>
      </w:r>
      <w:r w:rsidR="003F3DF4">
        <w:t xml:space="preserve"> </w:t>
      </w:r>
      <w:r w:rsidR="00F16E54" w:rsidRPr="00A81870">
        <w:t>V případě, že se Objednatel ocitne v prodlení s kteroukoli platbou Odměny (nebo kterékoli části Odměny uvedené v čl. </w:t>
      </w:r>
      <w:r w:rsidR="0096652C">
        <w:t>3</w:t>
      </w:r>
      <w:r w:rsidR="00F16E54" w:rsidRPr="00A81870">
        <w:t>. této Smlouvy) o více než sedm (7) dní, má Poskytovatel nárok na úrok z prodlení ve výši 0,01 % za každý den prodlení. Poskytovatel v případě prodlení o více než sedm (7) dní zašle Objednateli písemnou výzvu k úhradě dlužné platb</w:t>
      </w:r>
      <w:r w:rsidR="00ED1020">
        <w:t>y</w:t>
      </w:r>
      <w:r w:rsidR="003F3DF4">
        <w:t>.</w:t>
      </w:r>
    </w:p>
    <w:p w14:paraId="39685281" w14:textId="77777777" w:rsidR="00980091" w:rsidRDefault="004A1903" w:rsidP="00F15937">
      <w:pPr>
        <w:numPr>
          <w:ilvl w:val="1"/>
          <w:numId w:val="2"/>
        </w:numPr>
        <w:spacing w:before="120" w:after="120"/>
      </w:pPr>
      <w:r w:rsidRPr="00AE2CB2">
        <w:t xml:space="preserve">V kalendářním roce následujícím po roce, ve kterém nabyla Smlouva platnosti a účinnosti a každém dalším následujícím kalendářním roce je Poskytovatel oprávněn jednostranným úkonem automaticky navýšit </w:t>
      </w:r>
      <w:r w:rsidR="00ED1020">
        <w:t>Odměny</w:t>
      </w:r>
      <w:r w:rsidRPr="00AE2CB2">
        <w:t xml:space="preserve"> o koeficient, který odpovídá míře inflace vyhlášené Českým statistickým úřadem za rok, který tomuto zvýšení </w:t>
      </w:r>
      <w:r w:rsidR="00ED1020">
        <w:t>Odměny</w:t>
      </w:r>
      <w:r w:rsidRPr="00AE2CB2">
        <w:t xml:space="preserve"> předcházel s účinností od prvního dne následujícího po zveřejnění Český</w:t>
      </w:r>
      <w:r w:rsidR="00ED1020">
        <w:t>m statistickým úřadem</w:t>
      </w:r>
      <w:r w:rsidR="00F15937">
        <w:t xml:space="preserve">, </w:t>
      </w:r>
      <w:r w:rsidRPr="00AE2CB2">
        <w:t>pokud se obě smluvní strany nedohodnou jinak.</w:t>
      </w:r>
    </w:p>
    <w:p w14:paraId="7232018B" w14:textId="77777777" w:rsidR="00A41FE0" w:rsidRDefault="00A41FE0" w:rsidP="00A41FE0">
      <w:pPr>
        <w:spacing w:before="120" w:after="120"/>
      </w:pPr>
    </w:p>
    <w:p w14:paraId="037213CE" w14:textId="77777777" w:rsidR="0096652C" w:rsidRPr="00C4653A" w:rsidRDefault="0096652C" w:rsidP="00A41FE0">
      <w:pPr>
        <w:spacing w:before="120" w:after="120"/>
      </w:pPr>
    </w:p>
    <w:p w14:paraId="4A6E854D" w14:textId="77777777" w:rsidR="00980091" w:rsidRPr="00F15937" w:rsidRDefault="00F16E54" w:rsidP="00F15937">
      <w:pPr>
        <w:numPr>
          <w:ilvl w:val="0"/>
          <w:numId w:val="2"/>
        </w:numPr>
        <w:spacing w:before="240" w:after="120"/>
        <w:rPr>
          <w:b/>
          <w:smallCaps/>
          <w:sz w:val="24"/>
        </w:rPr>
      </w:pPr>
      <w:r w:rsidRPr="00C4653A">
        <w:rPr>
          <w:b/>
          <w:smallCaps/>
          <w:sz w:val="24"/>
        </w:rPr>
        <w:t xml:space="preserve">DOBA TRVÁNÍ, UKONČENÍ A ODSTOUPENÍ OD SMLOUVY </w:t>
      </w:r>
    </w:p>
    <w:p w14:paraId="0CFCAF0C" w14:textId="77777777" w:rsidR="00980091" w:rsidRPr="0051717B" w:rsidRDefault="00F16E54" w:rsidP="00F15937">
      <w:pPr>
        <w:numPr>
          <w:ilvl w:val="1"/>
          <w:numId w:val="2"/>
        </w:numPr>
        <w:spacing w:before="120" w:after="120"/>
      </w:pPr>
      <w:r w:rsidRPr="00C4653A">
        <w:t>Tato S</w:t>
      </w:r>
      <w:r w:rsidR="002F2874">
        <w:t xml:space="preserve">mlouva se uzavírá na </w:t>
      </w:r>
      <w:r w:rsidR="00980091" w:rsidRPr="0051717B">
        <w:t>dobu neurčitou</w:t>
      </w:r>
      <w:r w:rsidRPr="0051717B">
        <w:t>.</w:t>
      </w:r>
    </w:p>
    <w:p w14:paraId="54D40B31" w14:textId="77777777" w:rsidR="00B901A8" w:rsidRDefault="001B0025" w:rsidP="00B901A8">
      <w:pPr>
        <w:numPr>
          <w:ilvl w:val="1"/>
          <w:numId w:val="2"/>
        </w:numPr>
        <w:spacing w:before="120" w:after="120"/>
      </w:pPr>
      <w:r>
        <w:t>K</w:t>
      </w:r>
      <w:r w:rsidRPr="0051717B">
        <w:t xml:space="preserve">terákoli ze Smluvních stran </w:t>
      </w:r>
      <w:r>
        <w:t xml:space="preserve">je </w:t>
      </w:r>
      <w:r w:rsidRPr="0051717B">
        <w:t>oprávněna Smlouvu vypovědět i bez udání dův</w:t>
      </w:r>
      <w:r>
        <w:t>odu s výpovědní dobou v délce 3</w:t>
      </w:r>
      <w:r w:rsidRPr="0051717B">
        <w:t xml:space="preserve"> měsíců, která počíná</w:t>
      </w:r>
      <w:r w:rsidRPr="00C4653A">
        <w:t xml:space="preserve"> běžet </w:t>
      </w:r>
      <w:r>
        <w:t xml:space="preserve">prvního dne měsíce následujícího po měsíci, kdy byla písemná výpověď doručena druhé Smluvní straně. </w:t>
      </w:r>
      <w:r w:rsidR="00F16E54" w:rsidRPr="0051717B">
        <w:t xml:space="preserve">Výlučně ve vztahu k poskytování plnění dle čl. </w:t>
      </w:r>
      <w:r w:rsidR="00B901A8">
        <w:t>2</w:t>
      </w:r>
      <w:r w:rsidR="00F16E54" w:rsidRPr="0051717B">
        <w:t>. této Smlouvy (</w:t>
      </w:r>
      <w:r w:rsidR="0051717B" w:rsidRPr="0051717B">
        <w:t>Podpora a helpdesk)</w:t>
      </w:r>
      <w:r w:rsidR="00F16E54" w:rsidRPr="0051717B">
        <w:t xml:space="preserve"> je kterákoli ze Smluvních stran oprávněna Smlouvu vypovědět i bez udání důvodu s výpovědní dobou v délce 12 měsíců, která počíná</w:t>
      </w:r>
      <w:r w:rsidR="00F16E54" w:rsidRPr="00C4653A">
        <w:t xml:space="preserve"> běžet dnem doručení výpovědi druhé Smluvní straně.</w:t>
      </w:r>
    </w:p>
    <w:p w14:paraId="65BE3A9A" w14:textId="77777777" w:rsidR="00980091" w:rsidRDefault="00F16E54" w:rsidP="00B901A8">
      <w:pPr>
        <w:numPr>
          <w:ilvl w:val="1"/>
          <w:numId w:val="2"/>
        </w:numPr>
        <w:spacing w:before="120" w:after="120"/>
      </w:pPr>
      <w:r w:rsidRPr="002F2874">
        <w:t>Neuhradí-li Objednatel kteroukoli část Odměny ani po čtrnácti (14) dnech následujících po písemné výzvě dle čl. </w:t>
      </w:r>
      <w:r w:rsidR="00B901A8">
        <w:t>3</w:t>
      </w:r>
      <w:r w:rsidR="00F26D62">
        <w:t>.</w:t>
      </w:r>
      <w:r w:rsidR="00B901A8">
        <w:t>3</w:t>
      </w:r>
      <w:r w:rsidR="00854DC5">
        <w:t>.</w:t>
      </w:r>
      <w:r w:rsidR="0051717B">
        <w:t xml:space="preserve"> </w:t>
      </w:r>
      <w:r w:rsidRPr="002F2874">
        <w:t>této Smlouvy ze strany Poskytovatele, je Poskytovatel oprávněn od této Smlouvy odstoupit.</w:t>
      </w:r>
      <w:r w:rsidR="005D5206" w:rsidRPr="00C4653A">
        <w:t xml:space="preserve"> Nebude - </w:t>
      </w:r>
      <w:proofErr w:type="spellStart"/>
      <w:r w:rsidR="005D5206" w:rsidRPr="00C4653A">
        <w:t>li</w:t>
      </w:r>
      <w:proofErr w:type="spellEnd"/>
      <w:r w:rsidR="005D5206" w:rsidRPr="00C4653A">
        <w:t xml:space="preserve"> Poskytovatel ani po 14 dnech následujících po písemné výzvě k poskytnutí plnění dle této Smlouvy či dle objednávky poskytovat příslušné plnění, je Objednatel oprávněn požadovat úhradu smluvní pokuty ve výši </w:t>
      </w:r>
      <w:r w:rsidR="002F2874">
        <w:t>500</w:t>
      </w:r>
      <w:r w:rsidR="005D5206" w:rsidRPr="00C4653A">
        <w:t xml:space="preserve"> Kč za každý započatý den prodlení s plněním povinnosti. Zaplacením smluvní pokuty není dotčen případný nárok na úhradu náhrady způsobené újmy. </w:t>
      </w:r>
    </w:p>
    <w:p w14:paraId="4DDB240D" w14:textId="77777777" w:rsidR="0016696C" w:rsidRDefault="0016696C" w:rsidP="0016696C">
      <w:pPr>
        <w:spacing w:before="120" w:after="120"/>
      </w:pPr>
    </w:p>
    <w:p w14:paraId="6B02D518" w14:textId="77777777" w:rsidR="0016696C" w:rsidRDefault="0016696C" w:rsidP="0016696C">
      <w:pPr>
        <w:spacing w:before="120" w:after="120"/>
      </w:pPr>
    </w:p>
    <w:p w14:paraId="66B5F9C5" w14:textId="77777777" w:rsidR="0051717B" w:rsidRDefault="0051717B" w:rsidP="0051717B">
      <w:pPr>
        <w:spacing w:before="240" w:after="120"/>
        <w:ind w:left="1134"/>
      </w:pPr>
    </w:p>
    <w:p w14:paraId="6E3BE4BD" w14:textId="77777777" w:rsidR="00980091" w:rsidRPr="00F15937" w:rsidRDefault="00F16E54" w:rsidP="00F15937">
      <w:pPr>
        <w:numPr>
          <w:ilvl w:val="0"/>
          <w:numId w:val="2"/>
        </w:numPr>
        <w:spacing w:before="240" w:after="120"/>
        <w:rPr>
          <w:b/>
          <w:smallCaps/>
          <w:sz w:val="24"/>
        </w:rPr>
      </w:pPr>
      <w:bookmarkStart w:id="3" w:name="_Ref503869935"/>
      <w:r w:rsidRPr="00C4653A">
        <w:rPr>
          <w:b/>
          <w:smallCaps/>
          <w:sz w:val="24"/>
        </w:rPr>
        <w:lastRenderedPageBreak/>
        <w:t>OSTATNÍ USTANOVENÍ</w:t>
      </w:r>
      <w:bookmarkEnd w:id="3"/>
    </w:p>
    <w:p w14:paraId="0AC30F43" w14:textId="77777777" w:rsidR="00980091" w:rsidRDefault="00F16E54" w:rsidP="00F15937">
      <w:pPr>
        <w:numPr>
          <w:ilvl w:val="1"/>
          <w:numId w:val="2"/>
        </w:numPr>
        <w:spacing w:before="120" w:after="120"/>
      </w:pPr>
      <w:bookmarkStart w:id="4" w:name="_Ref503869908"/>
      <w:r w:rsidRPr="00C4653A">
        <w:t>Smluvní strany se zavazují, že nebudou sdělovat žádné třetí osobě podmínky či existenci této Smlouvy a veškeré neveřejné informace, které jedna Smluvní strana přijala nebo přímo či nepřímo získala od druhé Smluvní strany v souvislosti s touto Smlouvou, nebo které byly v ústní či písemné podobě kterékoliv Smluvní straně sděleny v rámci plnění práv a povinností dle této Smlouvy, včetně jakéhokoliv know-how, obchodních tajemství a jiných informací důvěrné povahy (zejména včetně veškerých majetkových, technických, průmyslových a obchodních informací v jakékoliv podobě, ať již v tištěné, ve formě elektronicky uložených dat, filmu na magnetických mediích a</w:t>
      </w:r>
      <w:r w:rsidR="00BF22A7" w:rsidRPr="00C4653A">
        <w:t> </w:t>
      </w:r>
      <w:r w:rsidRPr="00C4653A">
        <w:t xml:space="preserve">mikrofilmů, jakož i informací sdělených ústně) (dále jen </w:t>
      </w:r>
      <w:r w:rsidR="00980091" w:rsidRPr="00F15937">
        <w:rPr>
          <w:b/>
        </w:rPr>
        <w:t>“</w:t>
      </w:r>
      <w:r w:rsidR="00090CBF">
        <w:rPr>
          <w:b/>
        </w:rPr>
        <w:t>Důvěrné informace</w:t>
      </w:r>
      <w:r w:rsidR="00980091" w:rsidRPr="00F15937">
        <w:rPr>
          <w:b/>
        </w:rPr>
        <w:t>”</w:t>
      </w:r>
      <w:r w:rsidRPr="00C4653A">
        <w:t>).</w:t>
      </w:r>
      <w:bookmarkEnd w:id="4"/>
    </w:p>
    <w:p w14:paraId="782D46B1" w14:textId="77777777" w:rsidR="00980091" w:rsidRDefault="00F16E54" w:rsidP="00F15937">
      <w:pPr>
        <w:numPr>
          <w:ilvl w:val="1"/>
          <w:numId w:val="2"/>
        </w:numPr>
        <w:spacing w:before="120" w:after="120"/>
      </w:pPr>
      <w:r w:rsidRPr="00C4653A">
        <w:t>Závazky Smluvních stran z čl.</w:t>
      </w:r>
      <w:r w:rsidR="00FE01F2">
        <w:t xml:space="preserve"> </w:t>
      </w:r>
      <w:r w:rsidR="00B901A8">
        <w:t>5</w:t>
      </w:r>
      <w:r w:rsidR="007D2783">
        <w:t>.</w:t>
      </w:r>
      <w:r w:rsidR="00854DC5">
        <w:t>1.</w:t>
      </w:r>
      <w:r w:rsidR="007D2783" w:rsidRPr="00C4653A">
        <w:t xml:space="preserve"> </w:t>
      </w:r>
      <w:r w:rsidRPr="00C4653A">
        <w:t>této Smlouvy se neuplatní v případě poskytnutí Důvěrných informací:</w:t>
      </w:r>
    </w:p>
    <w:p w14:paraId="7BFDEDD5" w14:textId="77777777" w:rsidR="005C121A" w:rsidRPr="00C4653A" w:rsidRDefault="00F16E54" w:rsidP="007D2783">
      <w:pPr>
        <w:numPr>
          <w:ilvl w:val="2"/>
          <w:numId w:val="29"/>
        </w:numPr>
        <w:spacing w:before="120" w:after="120"/>
        <w:ind w:left="1560" w:hanging="427"/>
      </w:pPr>
      <w:r w:rsidRPr="00C4653A">
        <w:t>zaměstnancům kterékoli ze Smluvních stran a osobám činným ve prospěch některé ze Smluvních stran (např. advokátům, auditorům, znalcům apod.), pokud je znalost takové Důvěrné informace potřebná pro plnění úkolů takové osoby v rámci realizace této Smlouvy a pokud jsou takové osoby vázány povinností mlčenlivosti alespoň ve stejném rozsahu jako Smluvní strany;</w:t>
      </w:r>
    </w:p>
    <w:p w14:paraId="5799F632" w14:textId="77777777" w:rsidR="005C121A" w:rsidRPr="00C4653A" w:rsidRDefault="00F16E54" w:rsidP="007D2783">
      <w:pPr>
        <w:numPr>
          <w:ilvl w:val="2"/>
          <w:numId w:val="29"/>
        </w:numPr>
        <w:spacing w:before="120" w:after="120"/>
        <w:ind w:left="1560" w:hanging="427"/>
      </w:pPr>
      <w:r w:rsidRPr="00C4653A">
        <w:t>pokud dotčená Smluvní strana ke zpřístupnění Důvěrné informace dala předem písemný souhlas; nebo</w:t>
      </w:r>
    </w:p>
    <w:p w14:paraId="4886B2B5" w14:textId="77777777" w:rsidR="005C121A" w:rsidRDefault="00F16E54" w:rsidP="007D2783">
      <w:pPr>
        <w:numPr>
          <w:ilvl w:val="2"/>
          <w:numId w:val="29"/>
        </w:numPr>
        <w:spacing w:before="120" w:after="120"/>
        <w:ind w:left="1560" w:hanging="427"/>
      </w:pPr>
      <w:r w:rsidRPr="00C4653A">
        <w:t>v případě zákonem uložené povinnosti překazit nebo oznámit spáchání trestného činu anebo jiné zákonem stanovené informační povinnosti; Smluvní strana je v takovém případě povinna označit poskytnuté informace jako obchodní tajemství a bez zbytečného odkladu vyrozumět o jejich poskytnutí druhou Smluvní stranu.</w:t>
      </w:r>
    </w:p>
    <w:p w14:paraId="72829BB9" w14:textId="77777777" w:rsidR="0096652C" w:rsidRDefault="0096652C" w:rsidP="0096652C">
      <w:pPr>
        <w:spacing w:before="120" w:after="120"/>
      </w:pPr>
    </w:p>
    <w:p w14:paraId="179CFD79" w14:textId="77777777" w:rsidR="0096652C" w:rsidRPr="00C4653A" w:rsidRDefault="0096652C" w:rsidP="0096652C">
      <w:pPr>
        <w:spacing w:before="120" w:after="120"/>
      </w:pPr>
    </w:p>
    <w:p w14:paraId="7CB4C8C5" w14:textId="77777777" w:rsidR="00980091" w:rsidRPr="00F15937" w:rsidRDefault="00980091" w:rsidP="00F15937">
      <w:pPr>
        <w:numPr>
          <w:ilvl w:val="0"/>
          <w:numId w:val="2"/>
        </w:numPr>
        <w:spacing w:before="240" w:after="120"/>
        <w:rPr>
          <w:b/>
          <w:smallCaps/>
          <w:sz w:val="24"/>
        </w:rPr>
      </w:pPr>
      <w:r w:rsidRPr="00F15937">
        <w:rPr>
          <w:b/>
          <w:smallCaps/>
          <w:sz w:val="24"/>
        </w:rPr>
        <w:t>DEFINICE A VÝKLAD POJMŮ</w:t>
      </w:r>
    </w:p>
    <w:p w14:paraId="3E872826" w14:textId="77777777" w:rsidR="00980091" w:rsidRDefault="0030793E" w:rsidP="00F15937">
      <w:pPr>
        <w:numPr>
          <w:ilvl w:val="1"/>
          <w:numId w:val="2"/>
        </w:numPr>
        <w:spacing w:before="120" w:after="120"/>
      </w:pPr>
      <w:r w:rsidRPr="00C4653A">
        <w:t>Pro účely této Smlouvy definovaná slova a spojení vyskytující se v této Smlouvě (včetně jejích příloh) mají níže uvedený význam:</w:t>
      </w:r>
    </w:p>
    <w:p w14:paraId="621C19F0" w14:textId="77777777" w:rsidR="00A41FE0" w:rsidRDefault="00B901A8" w:rsidP="00B901A8">
      <w:pPr>
        <w:pBdr>
          <w:top w:val="none" w:sz="0" w:space="0" w:color="auto"/>
          <w:left w:val="none" w:sz="0" w:space="0" w:color="auto"/>
          <w:bottom w:val="none" w:sz="0" w:space="0" w:color="auto"/>
          <w:right w:val="none" w:sz="0" w:space="0" w:color="auto"/>
          <w:between w:val="none" w:sz="0" w:space="0" w:color="auto"/>
        </w:pBdr>
        <w:spacing w:before="120" w:after="120"/>
        <w:ind w:left="1134"/>
      </w:pPr>
      <w:r w:rsidRPr="00C4653A">
        <w:t xml:space="preserve"> </w:t>
      </w:r>
      <w:r w:rsidR="0030793E" w:rsidRPr="00C4653A">
        <w:t>„</w:t>
      </w:r>
      <w:r w:rsidR="0030793E" w:rsidRPr="00C4653A">
        <w:rPr>
          <w:b/>
        </w:rPr>
        <w:t>Občanský zákoník</w:t>
      </w:r>
      <w:r w:rsidR="0030793E" w:rsidRPr="00C4653A">
        <w:t>“ znamená zákona č. 89/2012 Sb., ob</w:t>
      </w:r>
      <w:r>
        <w:t>čanský zákoník, v účinném znění</w:t>
      </w:r>
    </w:p>
    <w:p w14:paraId="6B1BE7BF" w14:textId="77777777" w:rsidR="0096652C" w:rsidRDefault="0096652C" w:rsidP="00B901A8">
      <w:pPr>
        <w:pBdr>
          <w:top w:val="none" w:sz="0" w:space="0" w:color="auto"/>
          <w:left w:val="none" w:sz="0" w:space="0" w:color="auto"/>
          <w:bottom w:val="none" w:sz="0" w:space="0" w:color="auto"/>
          <w:right w:val="none" w:sz="0" w:space="0" w:color="auto"/>
          <w:between w:val="none" w:sz="0" w:space="0" w:color="auto"/>
        </w:pBdr>
        <w:spacing w:before="120" w:after="120"/>
        <w:ind w:left="1134"/>
      </w:pPr>
    </w:p>
    <w:p w14:paraId="2896893E" w14:textId="77777777" w:rsidR="0096652C" w:rsidRPr="00C4653A" w:rsidRDefault="0096652C" w:rsidP="00B901A8">
      <w:pPr>
        <w:pBdr>
          <w:top w:val="none" w:sz="0" w:space="0" w:color="auto"/>
          <w:left w:val="none" w:sz="0" w:space="0" w:color="auto"/>
          <w:bottom w:val="none" w:sz="0" w:space="0" w:color="auto"/>
          <w:right w:val="none" w:sz="0" w:space="0" w:color="auto"/>
          <w:between w:val="none" w:sz="0" w:space="0" w:color="auto"/>
        </w:pBdr>
        <w:spacing w:before="120" w:after="120"/>
        <w:ind w:left="1134"/>
      </w:pPr>
    </w:p>
    <w:p w14:paraId="321BD6EE" w14:textId="77777777" w:rsidR="00980091" w:rsidRPr="00F15937" w:rsidRDefault="00F16E54" w:rsidP="00F15937">
      <w:pPr>
        <w:numPr>
          <w:ilvl w:val="0"/>
          <w:numId w:val="2"/>
        </w:numPr>
        <w:spacing w:before="240" w:after="120"/>
        <w:rPr>
          <w:b/>
          <w:smallCaps/>
          <w:sz w:val="24"/>
        </w:rPr>
      </w:pPr>
      <w:r w:rsidRPr="00C4653A">
        <w:rPr>
          <w:b/>
          <w:smallCaps/>
          <w:sz w:val="24"/>
        </w:rPr>
        <w:t>ZÁVĚREČNÁ USTANOVENÍ</w:t>
      </w:r>
    </w:p>
    <w:p w14:paraId="71114645" w14:textId="77777777" w:rsidR="00980091" w:rsidRPr="00F15937" w:rsidRDefault="00F16E54" w:rsidP="00F15937">
      <w:pPr>
        <w:numPr>
          <w:ilvl w:val="1"/>
          <w:numId w:val="2"/>
        </w:numPr>
        <w:spacing w:before="120" w:after="120"/>
      </w:pPr>
      <w:r w:rsidRPr="00404BDD">
        <w:t>Veškerá oznámení související s touto Smlouvou musí být učiněna písemně. Tato Smlouva může být měněna a/nebo doplňována pouze písemně, nestanoví-li tato Smlouva jinak.</w:t>
      </w:r>
    </w:p>
    <w:p w14:paraId="3EC1AECA" w14:textId="77777777" w:rsidR="00980091" w:rsidRDefault="00F16E54" w:rsidP="00F15937">
      <w:pPr>
        <w:numPr>
          <w:ilvl w:val="1"/>
          <w:numId w:val="2"/>
        </w:numPr>
        <w:spacing w:before="120" w:after="120"/>
      </w:pPr>
      <w:r w:rsidRPr="00C4653A">
        <w:t>Tato Smlouva se řídí, podléhá a vykládá v souladu s právním řádem České republiky s vyloučením kolizních norem mezinárodního práva soukromého.</w:t>
      </w:r>
    </w:p>
    <w:p w14:paraId="275B609D" w14:textId="77777777" w:rsidR="00980091" w:rsidRDefault="00F16E54" w:rsidP="00F15937">
      <w:pPr>
        <w:numPr>
          <w:ilvl w:val="1"/>
          <w:numId w:val="2"/>
        </w:numPr>
        <w:spacing w:before="120" w:after="120"/>
      </w:pPr>
      <w:r w:rsidRPr="00C4653A">
        <w:t>Veškeré spory budou rozhodovány obecnými soudy v souladu s platnými právními předpisy.</w:t>
      </w:r>
    </w:p>
    <w:p w14:paraId="779629B8" w14:textId="77777777" w:rsidR="00980091" w:rsidRDefault="00F16E54" w:rsidP="00F15937">
      <w:pPr>
        <w:numPr>
          <w:ilvl w:val="1"/>
          <w:numId w:val="2"/>
        </w:numPr>
        <w:spacing w:before="120" w:after="120"/>
      </w:pPr>
      <w:r w:rsidRPr="00C4653A">
        <w:t xml:space="preserve">Tato </w:t>
      </w:r>
      <w:r w:rsidR="003130DF" w:rsidRPr="00C4653A">
        <w:t>Smlouv</w:t>
      </w:r>
      <w:r w:rsidRPr="00C4653A">
        <w:t>a je vyhotovena ve dvou (2) vyhotoveních s platností originálu, z nichž každá ze stran obdrží po jednom.</w:t>
      </w:r>
    </w:p>
    <w:p w14:paraId="56CB6B02" w14:textId="77777777" w:rsidR="00980091" w:rsidRDefault="00F16E54" w:rsidP="00F15937">
      <w:pPr>
        <w:numPr>
          <w:ilvl w:val="1"/>
          <w:numId w:val="2"/>
        </w:numPr>
        <w:spacing w:before="120" w:after="120"/>
      </w:pPr>
      <w:r w:rsidRPr="00C4653A">
        <w:lastRenderedPageBreak/>
        <w:t>Tato Smlouva nabývá platnosti a účinnosti dnem jejího podpisu Smluvními stranami.</w:t>
      </w:r>
    </w:p>
    <w:p w14:paraId="54D50C9C" w14:textId="77777777" w:rsidR="00B901A8" w:rsidRDefault="00B901A8" w:rsidP="00B901A8">
      <w:pPr>
        <w:spacing w:before="120" w:after="120"/>
        <w:ind w:left="1134"/>
      </w:pPr>
    </w:p>
    <w:p w14:paraId="0C519132" w14:textId="77777777" w:rsidR="00B06913" w:rsidRDefault="00B06913" w:rsidP="00BF2792">
      <w:pPr>
        <w:spacing w:before="120" w:after="120"/>
        <w:ind w:left="1134" w:hanging="1134"/>
      </w:pPr>
      <w:r>
        <w:t xml:space="preserve">Příloha </w:t>
      </w:r>
      <w:r w:rsidR="0096652C">
        <w:t>1</w:t>
      </w:r>
      <w:r>
        <w:t xml:space="preserve"> – Specifikace Software</w:t>
      </w:r>
    </w:p>
    <w:p w14:paraId="303BDA72" w14:textId="77777777" w:rsidR="00404BDD" w:rsidRDefault="00404BDD" w:rsidP="00BF2792">
      <w:pPr>
        <w:spacing w:before="120" w:after="120"/>
        <w:ind w:left="1134" w:hanging="1134"/>
      </w:pPr>
    </w:p>
    <w:p w14:paraId="0338127F" w14:textId="77777777" w:rsidR="00404BDD" w:rsidRPr="00C4653A" w:rsidRDefault="00404BDD" w:rsidP="00BF2792">
      <w:pPr>
        <w:spacing w:before="120" w:after="120"/>
        <w:ind w:left="1134" w:hanging="1134"/>
      </w:pPr>
    </w:p>
    <w:p w14:paraId="192A45C4" w14:textId="77777777" w:rsidR="00BF2792" w:rsidRPr="00C4653A" w:rsidRDefault="00BF2792" w:rsidP="00FD7AC4">
      <w:pPr>
        <w:spacing w:before="120" w:after="120"/>
        <w:ind w:left="1134" w:hanging="1134"/>
      </w:pPr>
    </w:p>
    <w:tbl>
      <w:tblPr>
        <w:tblStyle w:val="2"/>
        <w:tblW w:w="8895" w:type="dxa"/>
        <w:tblInd w:w="100" w:type="dxa"/>
        <w:tblLayout w:type="fixed"/>
        <w:tblLook w:val="0000" w:firstRow="0" w:lastRow="0" w:firstColumn="0" w:lastColumn="0" w:noHBand="0" w:noVBand="0"/>
      </w:tblPr>
      <w:tblGrid>
        <w:gridCol w:w="4425"/>
        <w:gridCol w:w="4470"/>
      </w:tblGrid>
      <w:tr w:rsidR="00BF2792" w:rsidRPr="00C4653A" w14:paraId="467647D2" w14:textId="77777777" w:rsidTr="00FC3549">
        <w:tc>
          <w:tcPr>
            <w:tcW w:w="4425" w:type="dxa"/>
            <w:tcMar>
              <w:top w:w="100" w:type="dxa"/>
              <w:left w:w="100" w:type="dxa"/>
              <w:bottom w:w="100" w:type="dxa"/>
              <w:right w:w="100" w:type="dxa"/>
            </w:tcMar>
          </w:tcPr>
          <w:p w14:paraId="05C32974" w14:textId="44A2F773" w:rsidR="00BF2792" w:rsidRPr="00C4653A" w:rsidRDefault="00BF2792" w:rsidP="00FC3549">
            <w:r w:rsidRPr="00C4653A">
              <w:t>V</w:t>
            </w:r>
            <w:r w:rsidR="0016696C">
              <w:t>e Slaném</w:t>
            </w:r>
            <w:r w:rsidRPr="00C4653A">
              <w:t xml:space="preserve"> </w:t>
            </w:r>
            <w:r w:rsidR="00415AA7">
              <w:t xml:space="preserve">  </w:t>
            </w:r>
            <w:r w:rsidRPr="00C4653A">
              <w:t xml:space="preserve">dne </w:t>
            </w:r>
            <w:r w:rsidR="0056786C">
              <w:t>……………</w:t>
            </w:r>
            <w:r w:rsidR="00067498">
              <w:t>. 20</w:t>
            </w:r>
            <w:r w:rsidR="0096652C">
              <w:t>20</w:t>
            </w:r>
          </w:p>
          <w:p w14:paraId="2B1A08EE" w14:textId="77777777" w:rsidR="00BF2792" w:rsidRPr="00C4653A" w:rsidRDefault="00BF2792" w:rsidP="00FC3549">
            <w:r w:rsidRPr="00C4653A">
              <w:t xml:space="preserve"> </w:t>
            </w:r>
          </w:p>
          <w:p w14:paraId="20D5585F" w14:textId="77777777" w:rsidR="00BF2792" w:rsidRPr="00C4653A" w:rsidRDefault="00BF2792" w:rsidP="00FC3549"/>
          <w:p w14:paraId="33ABFA0C" w14:textId="77777777" w:rsidR="00BF2792" w:rsidRPr="00C4653A" w:rsidRDefault="00BF2792" w:rsidP="00FC3549"/>
          <w:p w14:paraId="67A4676A" w14:textId="77777777" w:rsidR="00BF2792" w:rsidRPr="00C4653A" w:rsidRDefault="00BF2792" w:rsidP="00FC3549"/>
          <w:p w14:paraId="29202B2B" w14:textId="77777777" w:rsidR="00BF2792" w:rsidRPr="00C4653A" w:rsidRDefault="00BF2792" w:rsidP="00FC3549"/>
          <w:p w14:paraId="5224EC68" w14:textId="77777777" w:rsidR="00BF2792" w:rsidRPr="00C4653A" w:rsidRDefault="00BF2792" w:rsidP="00FC3549">
            <w:r w:rsidRPr="00C4653A">
              <w:t>Podpis:</w:t>
            </w:r>
            <w:r w:rsidRPr="00C4653A">
              <w:tab/>
              <w:t>………………………….</w:t>
            </w:r>
          </w:p>
          <w:p w14:paraId="6D8E3F2D" w14:textId="77777777" w:rsidR="00BF2792" w:rsidRPr="00C4653A" w:rsidRDefault="00BF2792" w:rsidP="00FC3549"/>
          <w:p w14:paraId="051A82AF" w14:textId="77777777" w:rsidR="00BF2792" w:rsidRPr="0016696C" w:rsidRDefault="0016696C" w:rsidP="00FC3549">
            <w:proofErr w:type="spellStart"/>
            <w:r w:rsidRPr="0016696C">
              <w:rPr>
                <w:b/>
              </w:rPr>
              <w:t>Slavos</w:t>
            </w:r>
            <w:proofErr w:type="spellEnd"/>
            <w:r w:rsidRPr="0016696C">
              <w:rPr>
                <w:b/>
              </w:rPr>
              <w:t xml:space="preserve"> Slaný, s.</w:t>
            </w:r>
            <w:r w:rsidR="00415AA7" w:rsidRPr="0016696C">
              <w:rPr>
                <w:b/>
              </w:rPr>
              <w:t>r.o.</w:t>
            </w:r>
          </w:p>
          <w:p w14:paraId="65142540" w14:textId="77777777" w:rsidR="00F11FB0" w:rsidRPr="0016696C" w:rsidRDefault="00BF2792" w:rsidP="00F11FB0">
            <w:r w:rsidRPr="0016696C">
              <w:t xml:space="preserve">Jméno: </w:t>
            </w:r>
            <w:r w:rsidR="00415AA7" w:rsidRPr="0016696C">
              <w:t xml:space="preserve">Ing. </w:t>
            </w:r>
            <w:r w:rsidR="0016696C" w:rsidRPr="0016696C">
              <w:t>Irena Vernerová</w:t>
            </w:r>
          </w:p>
          <w:p w14:paraId="50E5F27F" w14:textId="77777777" w:rsidR="00BF2792" w:rsidRPr="00C4653A" w:rsidRDefault="00BF2792" w:rsidP="00F11FB0">
            <w:r w:rsidRPr="0016696C">
              <w:t xml:space="preserve">Funkce: </w:t>
            </w:r>
            <w:r w:rsidR="00415AA7" w:rsidRPr="0016696C">
              <w:t>jednatel</w:t>
            </w:r>
          </w:p>
        </w:tc>
        <w:tc>
          <w:tcPr>
            <w:tcW w:w="4470" w:type="dxa"/>
            <w:tcMar>
              <w:top w:w="100" w:type="dxa"/>
              <w:left w:w="100" w:type="dxa"/>
              <w:bottom w:w="100" w:type="dxa"/>
              <w:right w:w="100" w:type="dxa"/>
            </w:tcMar>
          </w:tcPr>
          <w:p w14:paraId="2094E1B5" w14:textId="52F71EAF" w:rsidR="00BF2792" w:rsidRPr="00C4653A" w:rsidRDefault="00BF2792" w:rsidP="00FC3549">
            <w:r w:rsidRPr="00C4653A">
              <w:t xml:space="preserve">V </w:t>
            </w:r>
            <w:r w:rsidR="0016696C">
              <w:t>Praze</w:t>
            </w:r>
            <w:r w:rsidR="00415AA7">
              <w:t xml:space="preserve">    </w:t>
            </w:r>
            <w:r w:rsidRPr="00C4653A">
              <w:t xml:space="preserve">dne </w:t>
            </w:r>
            <w:r w:rsidR="0056786C">
              <w:t>…………………..</w:t>
            </w:r>
            <w:bookmarkStart w:id="5" w:name="_GoBack"/>
            <w:bookmarkEnd w:id="5"/>
            <w:r w:rsidR="00067498">
              <w:t>. 20</w:t>
            </w:r>
            <w:r w:rsidR="0096652C">
              <w:t>20</w:t>
            </w:r>
          </w:p>
          <w:p w14:paraId="0AA3A1FE" w14:textId="77777777" w:rsidR="00BF2792" w:rsidRPr="00C4653A" w:rsidRDefault="00BF2792" w:rsidP="00FC3549">
            <w:r w:rsidRPr="00C4653A">
              <w:t xml:space="preserve"> </w:t>
            </w:r>
          </w:p>
          <w:p w14:paraId="428A3A75" w14:textId="77777777" w:rsidR="00BF2792" w:rsidRPr="00C4653A" w:rsidRDefault="00BF2792" w:rsidP="00FC3549"/>
          <w:p w14:paraId="4BF16249" w14:textId="77777777" w:rsidR="00BF2792" w:rsidRPr="00C4653A" w:rsidRDefault="00BF2792" w:rsidP="00FC3549">
            <w:r w:rsidRPr="00C4653A">
              <w:t xml:space="preserve"> </w:t>
            </w:r>
          </w:p>
          <w:p w14:paraId="065464D0" w14:textId="77777777" w:rsidR="00BF2792" w:rsidRPr="00C4653A" w:rsidRDefault="00BF2792" w:rsidP="00FC3549"/>
          <w:p w14:paraId="6EAC2E51" w14:textId="77777777" w:rsidR="00BF2792" w:rsidRPr="00C4653A" w:rsidRDefault="00BF2792" w:rsidP="00FC3549"/>
          <w:p w14:paraId="5E79C073" w14:textId="77777777" w:rsidR="00BF2792" w:rsidRPr="00C4653A" w:rsidRDefault="00BF2792" w:rsidP="00FC3549">
            <w:r w:rsidRPr="00C4653A">
              <w:t>Podpis:</w:t>
            </w:r>
            <w:r w:rsidRPr="00C4653A">
              <w:tab/>
              <w:t>………………………….</w:t>
            </w:r>
          </w:p>
          <w:p w14:paraId="7FD8F2AF" w14:textId="77777777" w:rsidR="00BF2792" w:rsidRPr="00C4653A" w:rsidRDefault="00BF2792" w:rsidP="00FC3549"/>
          <w:p w14:paraId="40E32DE4" w14:textId="77777777" w:rsidR="00BF2792" w:rsidRPr="00C4653A" w:rsidRDefault="00BF2792" w:rsidP="00FC3549">
            <w:pPr>
              <w:rPr>
                <w:b/>
              </w:rPr>
            </w:pPr>
            <w:proofErr w:type="spellStart"/>
            <w:r w:rsidRPr="00C4653A">
              <w:rPr>
                <w:b/>
              </w:rPr>
              <w:t>Solutions</w:t>
            </w:r>
            <w:proofErr w:type="spellEnd"/>
            <w:r w:rsidRPr="00C4653A">
              <w:rPr>
                <w:b/>
              </w:rPr>
              <w:t xml:space="preserve"> and </w:t>
            </w:r>
            <w:proofErr w:type="spellStart"/>
            <w:r w:rsidRPr="00C4653A">
              <w:rPr>
                <w:b/>
              </w:rPr>
              <w:t>Services</w:t>
            </w:r>
            <w:proofErr w:type="spellEnd"/>
            <w:r w:rsidRPr="00C4653A">
              <w:rPr>
                <w:b/>
              </w:rPr>
              <w:t>, a.s.</w:t>
            </w:r>
          </w:p>
          <w:p w14:paraId="666469A7" w14:textId="77777777" w:rsidR="00BF2792" w:rsidRPr="00C4653A" w:rsidRDefault="00BF2792" w:rsidP="00FC3549">
            <w:r w:rsidRPr="00C4653A">
              <w:t xml:space="preserve">Jméno: Ing. Robert </w:t>
            </w:r>
            <w:proofErr w:type="spellStart"/>
            <w:r w:rsidRPr="00C4653A">
              <w:t>Talajka</w:t>
            </w:r>
            <w:proofErr w:type="spellEnd"/>
          </w:p>
          <w:p w14:paraId="3536261A" w14:textId="77777777" w:rsidR="00BF2792" w:rsidRPr="00C4653A" w:rsidRDefault="00BF2792" w:rsidP="00FC3549">
            <w:r w:rsidRPr="00C4653A">
              <w:t>Funkce: člen představenstva</w:t>
            </w:r>
          </w:p>
          <w:p w14:paraId="796085A3" w14:textId="77777777" w:rsidR="00BF2792" w:rsidRPr="00C4653A" w:rsidRDefault="00BF2792" w:rsidP="00FC3549"/>
          <w:p w14:paraId="06F3C863" w14:textId="77777777" w:rsidR="00BF2792" w:rsidRPr="00C4653A" w:rsidRDefault="00BF2792" w:rsidP="00FC3549"/>
          <w:p w14:paraId="515B2F58" w14:textId="77777777" w:rsidR="00BF2792" w:rsidRPr="00C4653A" w:rsidRDefault="00BF2792" w:rsidP="00FC3549"/>
          <w:p w14:paraId="32341158" w14:textId="77777777" w:rsidR="00BF2792" w:rsidRPr="00C4653A" w:rsidRDefault="00BF2792" w:rsidP="00FC3549"/>
          <w:p w14:paraId="128A36A9" w14:textId="77777777" w:rsidR="00BF2792" w:rsidRPr="00C4653A" w:rsidRDefault="00BF2792" w:rsidP="00FC3549"/>
          <w:p w14:paraId="5B5FB521" w14:textId="77777777" w:rsidR="00BF2792" w:rsidRPr="00C4653A" w:rsidRDefault="00BF2792" w:rsidP="00FC3549">
            <w:r w:rsidRPr="00C4653A">
              <w:t>Podpis:</w:t>
            </w:r>
            <w:r w:rsidRPr="00C4653A">
              <w:tab/>
              <w:t>………………………….</w:t>
            </w:r>
          </w:p>
          <w:p w14:paraId="01B494A0" w14:textId="77777777" w:rsidR="00BF2792" w:rsidRPr="00C4653A" w:rsidRDefault="00BF2792" w:rsidP="00FC3549"/>
          <w:p w14:paraId="07B6653E" w14:textId="77777777" w:rsidR="00BF2792" w:rsidRPr="00C4653A" w:rsidRDefault="00BF2792" w:rsidP="00FC3549">
            <w:r w:rsidRPr="00C4653A">
              <w:t xml:space="preserve">Jméno: Ing. </w:t>
            </w:r>
            <w:r w:rsidR="00EF04AB">
              <w:t>Miluše Poláková</w:t>
            </w:r>
            <w:r w:rsidRPr="00C4653A">
              <w:t xml:space="preserve"> </w:t>
            </w:r>
          </w:p>
          <w:p w14:paraId="7B56A7F4" w14:textId="77777777" w:rsidR="00BF2792" w:rsidRPr="00C4653A" w:rsidRDefault="00BF2792" w:rsidP="00FC3549">
            <w:r w:rsidRPr="00C4653A">
              <w:t>Funkce: člen představenstva</w:t>
            </w:r>
          </w:p>
        </w:tc>
      </w:tr>
    </w:tbl>
    <w:p w14:paraId="42AE2E83" w14:textId="77777777" w:rsidR="00BF2792" w:rsidRPr="00C4653A" w:rsidRDefault="00BF2792" w:rsidP="00FD7AC4">
      <w:pPr>
        <w:spacing w:before="120" w:after="120"/>
        <w:ind w:left="1134" w:hanging="1134"/>
      </w:pPr>
    </w:p>
    <w:p w14:paraId="2F3B2EA8" w14:textId="77777777" w:rsidR="00EF5C41" w:rsidRPr="00C4653A" w:rsidRDefault="00EF5C41">
      <w:pPr>
        <w:rPr>
          <w:b/>
        </w:rPr>
      </w:pPr>
      <w:r w:rsidRPr="00C4653A">
        <w:rPr>
          <w:b/>
        </w:rPr>
        <w:br w:type="page"/>
      </w:r>
    </w:p>
    <w:p w14:paraId="0C79BF6C" w14:textId="77777777" w:rsidR="00770D71" w:rsidRDefault="00770D71" w:rsidP="00770D71">
      <w:pPr>
        <w:pStyle w:val="Normln1"/>
        <w:jc w:val="center"/>
        <w:rPr>
          <w:b/>
          <w:sz w:val="24"/>
          <w:szCs w:val="24"/>
        </w:rPr>
      </w:pPr>
      <w:r w:rsidRPr="002459B0">
        <w:rPr>
          <w:b/>
          <w:sz w:val="24"/>
          <w:szCs w:val="24"/>
        </w:rPr>
        <w:lastRenderedPageBreak/>
        <w:t xml:space="preserve">Příloha </w:t>
      </w:r>
      <w:r w:rsidR="002459B0">
        <w:rPr>
          <w:b/>
          <w:sz w:val="24"/>
          <w:szCs w:val="24"/>
        </w:rPr>
        <w:t xml:space="preserve">č. </w:t>
      </w:r>
      <w:r w:rsidR="00B901A8">
        <w:rPr>
          <w:b/>
          <w:sz w:val="24"/>
          <w:szCs w:val="24"/>
        </w:rPr>
        <w:t>1</w:t>
      </w:r>
      <w:r w:rsidRPr="002459B0">
        <w:rPr>
          <w:b/>
          <w:sz w:val="24"/>
          <w:szCs w:val="24"/>
        </w:rPr>
        <w:t xml:space="preserve"> – Specifikace Software</w:t>
      </w:r>
    </w:p>
    <w:p w14:paraId="35B1444A" w14:textId="77777777" w:rsidR="00410E4D" w:rsidRPr="002459B0" w:rsidRDefault="00410E4D" w:rsidP="00770D71">
      <w:pPr>
        <w:pStyle w:val="Normln1"/>
        <w:jc w:val="center"/>
        <w:rPr>
          <w:b/>
          <w:sz w:val="24"/>
          <w:szCs w:val="24"/>
        </w:rPr>
      </w:pPr>
    </w:p>
    <w:p w14:paraId="6C958B3E" w14:textId="77777777" w:rsidR="00770D71" w:rsidRPr="00C4653A" w:rsidRDefault="00770D71" w:rsidP="00770D71">
      <w:pPr>
        <w:pStyle w:val="Bezmezer"/>
        <w:jc w:val="both"/>
        <w:rPr>
          <w:rFonts w:ascii="Times New Roman" w:hAnsi="Times New Roman" w:cs="Times New Roman"/>
          <w:lang w:eastAsia="cs-CZ"/>
        </w:rPr>
      </w:pPr>
      <w:r w:rsidRPr="00C4653A">
        <w:rPr>
          <w:rFonts w:ascii="Times New Roman" w:hAnsi="Times New Roman" w:cs="Times New Roman"/>
          <w:lang w:eastAsia="cs-CZ"/>
        </w:rPr>
        <w:t xml:space="preserve">Detailní popis funkcionality Software je obsažen v jeho aktuální uživatelské a administrátorské / instalační dokumentaci, která je aktualizovaná v souladu s rozvojem Software (nové funkcionality a vlastnosti).  </w:t>
      </w:r>
      <w:r w:rsidRPr="00C4653A">
        <w:rPr>
          <w:rFonts w:ascii="Times New Roman" w:hAnsi="Times New Roman" w:cs="Times New Roman"/>
        </w:rPr>
        <w:t xml:space="preserve">SMG Server, SMG </w:t>
      </w:r>
      <w:proofErr w:type="spellStart"/>
      <w:r w:rsidRPr="00C4653A">
        <w:rPr>
          <w:rFonts w:ascii="Times New Roman" w:hAnsi="Times New Roman" w:cs="Times New Roman"/>
        </w:rPr>
        <w:t>Client</w:t>
      </w:r>
      <w:proofErr w:type="spellEnd"/>
      <w:r w:rsidRPr="00C4653A">
        <w:rPr>
          <w:rFonts w:ascii="Times New Roman" w:hAnsi="Times New Roman" w:cs="Times New Roman"/>
        </w:rPr>
        <w:t>, SMG Mobile</w:t>
      </w:r>
    </w:p>
    <w:p w14:paraId="400BCADA" w14:textId="77777777" w:rsidR="00770D71" w:rsidRPr="00C4653A" w:rsidRDefault="00770D71" w:rsidP="00770D71">
      <w:pPr>
        <w:pStyle w:val="Bezmezer"/>
        <w:rPr>
          <w:rFonts w:ascii="Times New Roman" w:hAnsi="Times New Roman" w:cs="Times New Roman"/>
          <w:lang w:eastAsia="cs-CZ"/>
        </w:rPr>
      </w:pPr>
    </w:p>
    <w:p w14:paraId="1F71D474" w14:textId="77777777" w:rsidR="00770D71" w:rsidRPr="00C4653A" w:rsidRDefault="00770D71" w:rsidP="00770D71">
      <w:pPr>
        <w:pStyle w:val="Bezmezer"/>
        <w:rPr>
          <w:rFonts w:ascii="Times New Roman" w:hAnsi="Times New Roman" w:cs="Times New Roman"/>
          <w:lang w:eastAsia="cs-CZ"/>
        </w:rPr>
      </w:pPr>
      <w:r w:rsidRPr="00C4653A">
        <w:rPr>
          <w:rFonts w:ascii="Times New Roman" w:hAnsi="Times New Roman" w:cs="Times New Roman"/>
          <w:lang w:eastAsia="cs-CZ"/>
        </w:rPr>
        <w:t>Software se skládá z následujících částí:</w:t>
      </w:r>
    </w:p>
    <w:p w14:paraId="6CF03603" w14:textId="77777777" w:rsidR="00770D71" w:rsidRPr="00C4653A" w:rsidRDefault="00770D71" w:rsidP="00770D71">
      <w:pPr>
        <w:pStyle w:val="Bezmezer"/>
        <w:rPr>
          <w:rFonts w:ascii="Times New Roman" w:hAnsi="Times New Roman" w:cs="Times New Roman"/>
          <w:lang w:eastAsia="cs-CZ"/>
        </w:rPr>
      </w:pPr>
    </w:p>
    <w:p w14:paraId="5655030E" w14:textId="77777777" w:rsidR="00770D71" w:rsidRPr="00C4653A" w:rsidRDefault="00770D71" w:rsidP="00770D71">
      <w:pPr>
        <w:pStyle w:val="Bezmezer"/>
        <w:rPr>
          <w:rFonts w:ascii="Times New Roman" w:hAnsi="Times New Roman" w:cs="Times New Roman"/>
          <w:b/>
          <w:lang w:eastAsia="cs-CZ"/>
        </w:rPr>
      </w:pPr>
      <w:r w:rsidRPr="00C4653A">
        <w:rPr>
          <w:rFonts w:ascii="Times New Roman" w:hAnsi="Times New Roman" w:cs="Times New Roman"/>
          <w:b/>
          <w:lang w:eastAsia="cs-CZ"/>
        </w:rPr>
        <w:t>SMG Server</w:t>
      </w:r>
    </w:p>
    <w:p w14:paraId="16631491" w14:textId="77777777" w:rsidR="00770D71" w:rsidRPr="00C4653A" w:rsidRDefault="00770D71" w:rsidP="00770D71">
      <w:pPr>
        <w:spacing w:line="240" w:lineRule="auto"/>
        <w:ind w:left="720"/>
      </w:pPr>
      <w:r w:rsidRPr="00C4653A">
        <w:t xml:space="preserve">SMG Server slouží jako aplikační a webový server a datové úložiště. Obsluhuje připojené klientské aplikace (SMG </w:t>
      </w:r>
      <w:proofErr w:type="spellStart"/>
      <w:r w:rsidRPr="00C4653A">
        <w:t>Client</w:t>
      </w:r>
      <w:proofErr w:type="spellEnd"/>
      <w:r w:rsidRPr="00C4653A">
        <w:t>, SMG Mobile), poskytuje datové rozhraní pro integraci a předávání dat dalším systémům Objednatele, především do zákaznick</w:t>
      </w:r>
      <w:r w:rsidR="0031073E">
        <w:t>ého</w:t>
      </w:r>
      <w:r w:rsidRPr="00C4653A">
        <w:t xml:space="preserve"> informační</w:t>
      </w:r>
      <w:r w:rsidR="0031073E">
        <w:t>ho</w:t>
      </w:r>
      <w:r w:rsidRPr="00C4653A">
        <w:t xml:space="preserve"> systém</w:t>
      </w:r>
      <w:r w:rsidR="0031073E">
        <w:t>u</w:t>
      </w:r>
      <w:r w:rsidRPr="00C4653A">
        <w:t>.</w:t>
      </w:r>
      <w:r w:rsidR="0031073E">
        <w:t xml:space="preserve"> </w:t>
      </w:r>
      <w:r w:rsidR="00E45E8B">
        <w:t>Je instalován na technologii Poskytovatele.</w:t>
      </w:r>
    </w:p>
    <w:p w14:paraId="7218C867" w14:textId="77777777" w:rsidR="00770D71" w:rsidRPr="00C4653A" w:rsidRDefault="00770D71" w:rsidP="00770D71">
      <w:pPr>
        <w:spacing w:line="240" w:lineRule="auto"/>
        <w:ind w:left="720"/>
      </w:pPr>
    </w:p>
    <w:p w14:paraId="3BCD0D6E" w14:textId="77777777" w:rsidR="00770D71" w:rsidRPr="00C4653A" w:rsidRDefault="00770D71" w:rsidP="00770D71">
      <w:pPr>
        <w:pStyle w:val="Bezmezer"/>
        <w:rPr>
          <w:rFonts w:ascii="Times New Roman" w:hAnsi="Times New Roman" w:cs="Times New Roman"/>
          <w:b/>
          <w:lang w:eastAsia="cs-CZ"/>
        </w:rPr>
      </w:pPr>
      <w:r w:rsidRPr="00C4653A">
        <w:rPr>
          <w:rFonts w:ascii="Times New Roman" w:hAnsi="Times New Roman" w:cs="Times New Roman"/>
          <w:b/>
          <w:lang w:eastAsia="cs-CZ"/>
        </w:rPr>
        <w:t xml:space="preserve">SMG </w:t>
      </w:r>
      <w:proofErr w:type="spellStart"/>
      <w:r w:rsidRPr="00C4653A">
        <w:rPr>
          <w:rFonts w:ascii="Times New Roman" w:hAnsi="Times New Roman" w:cs="Times New Roman"/>
          <w:b/>
          <w:lang w:eastAsia="cs-CZ"/>
        </w:rPr>
        <w:t>Client</w:t>
      </w:r>
      <w:proofErr w:type="spellEnd"/>
    </w:p>
    <w:p w14:paraId="44891219" w14:textId="77777777" w:rsidR="00770D71" w:rsidRPr="00C4653A" w:rsidRDefault="00770D71" w:rsidP="00770D71">
      <w:pPr>
        <w:spacing w:line="240" w:lineRule="auto"/>
        <w:ind w:left="720"/>
      </w:pPr>
      <w:r w:rsidRPr="00C4653A">
        <w:t xml:space="preserve">SMG </w:t>
      </w:r>
      <w:proofErr w:type="spellStart"/>
      <w:r w:rsidRPr="00C4653A">
        <w:t>Client</w:t>
      </w:r>
      <w:proofErr w:type="spellEnd"/>
      <w:r w:rsidRPr="00C4653A">
        <w:t xml:space="preserve"> slouží jako aplikační rozhraní pro uživatelský přístup k datům a funkcím SMG Serveru a pro správu odečtů i odečtových zařízení.</w:t>
      </w:r>
      <w:r w:rsidR="0031073E">
        <w:t xml:space="preserve"> Instaluje se na PC Objednatele.</w:t>
      </w:r>
    </w:p>
    <w:p w14:paraId="59881A74" w14:textId="77777777" w:rsidR="00770D71" w:rsidRPr="00C4653A" w:rsidRDefault="00770D71" w:rsidP="00770D71">
      <w:pPr>
        <w:spacing w:line="240" w:lineRule="auto"/>
        <w:ind w:left="720"/>
      </w:pPr>
    </w:p>
    <w:p w14:paraId="556BB805" w14:textId="77777777" w:rsidR="00770D71" w:rsidRPr="00C4653A" w:rsidRDefault="00770D71" w:rsidP="00770D71">
      <w:pPr>
        <w:pStyle w:val="Bezmezer"/>
        <w:rPr>
          <w:rFonts w:ascii="Times New Roman" w:hAnsi="Times New Roman" w:cs="Times New Roman"/>
          <w:b/>
          <w:lang w:eastAsia="cs-CZ"/>
        </w:rPr>
      </w:pPr>
      <w:r w:rsidRPr="00C4653A">
        <w:rPr>
          <w:rFonts w:ascii="Times New Roman" w:hAnsi="Times New Roman" w:cs="Times New Roman"/>
          <w:b/>
          <w:lang w:eastAsia="cs-CZ"/>
        </w:rPr>
        <w:t>SMG Mobile</w:t>
      </w:r>
    </w:p>
    <w:p w14:paraId="207F7687" w14:textId="77777777" w:rsidR="00770D71" w:rsidRPr="00C4653A" w:rsidRDefault="00770D71" w:rsidP="00770D71">
      <w:pPr>
        <w:spacing w:line="240" w:lineRule="auto"/>
        <w:ind w:left="720"/>
      </w:pPr>
      <w:r w:rsidRPr="00C4653A">
        <w:t>SMG Mobile slouží pro pracovníky v terénu, umožňuje realizaci odečtu, manuální odečty stavů včetně načtení a zobrazení odečtových tras jednotlivým pracovníkům.</w:t>
      </w:r>
      <w:r w:rsidR="0031073E">
        <w:t xml:space="preserve"> Instaluje se na odečtových strojcích Objednatele.</w:t>
      </w:r>
    </w:p>
    <w:p w14:paraId="54F2E34C" w14:textId="77777777" w:rsidR="00770D71" w:rsidRPr="00C4653A" w:rsidRDefault="00770D71" w:rsidP="00770D71">
      <w:pPr>
        <w:spacing w:line="240" w:lineRule="auto"/>
        <w:ind w:left="720"/>
      </w:pPr>
    </w:p>
    <w:p w14:paraId="0506B4AD" w14:textId="77777777" w:rsidR="00770D71" w:rsidRPr="00C4653A" w:rsidRDefault="00770D71" w:rsidP="00770D71">
      <w:pPr>
        <w:pStyle w:val="Normln1"/>
        <w:rPr>
          <w:rStyle w:val="Siln"/>
        </w:rPr>
      </w:pPr>
      <w:r w:rsidRPr="00C4653A">
        <w:rPr>
          <w:rStyle w:val="Siln"/>
        </w:rPr>
        <w:t>Základní požadavky na instalaci a provoz</w:t>
      </w:r>
    </w:p>
    <w:p w14:paraId="6D4E110F" w14:textId="77777777" w:rsidR="00770D71" w:rsidRPr="00C4653A" w:rsidRDefault="00770D71" w:rsidP="00770D71">
      <w:pPr>
        <w:pStyle w:val="Normln1"/>
        <w:rPr>
          <w:rStyle w:val="Siln"/>
        </w:rPr>
      </w:pPr>
    </w:p>
    <w:p w14:paraId="66F15FD6" w14:textId="77777777" w:rsidR="00770D71" w:rsidRPr="00C4653A" w:rsidRDefault="00770D71" w:rsidP="00770D71">
      <w:pPr>
        <w:pStyle w:val="Normln1"/>
        <w:rPr>
          <w:rStyle w:val="Siln"/>
        </w:rPr>
      </w:pPr>
      <w:r w:rsidRPr="00C4653A">
        <w:rPr>
          <w:rStyle w:val="Siln"/>
        </w:rPr>
        <w:t xml:space="preserve">SMG </w:t>
      </w:r>
      <w:proofErr w:type="spellStart"/>
      <w:r w:rsidRPr="00C4653A">
        <w:rPr>
          <w:rStyle w:val="Siln"/>
        </w:rPr>
        <w:t>Client</w:t>
      </w:r>
      <w:proofErr w:type="spellEnd"/>
    </w:p>
    <w:p w14:paraId="54F68A74" w14:textId="77777777" w:rsidR="00770D71" w:rsidRPr="00C4653A" w:rsidRDefault="00770D71" w:rsidP="00770D71">
      <w:pPr>
        <w:pStyle w:val="Normln1"/>
        <w:rPr>
          <w:bCs/>
        </w:rPr>
      </w:pPr>
      <w:r w:rsidRPr="00C4653A">
        <w:rPr>
          <w:rStyle w:val="Siln"/>
          <w:b w:val="0"/>
        </w:rPr>
        <w:t xml:space="preserve">Instalace a běh SMG </w:t>
      </w:r>
      <w:proofErr w:type="spellStart"/>
      <w:r w:rsidRPr="00C4653A">
        <w:rPr>
          <w:rStyle w:val="Siln"/>
          <w:b w:val="0"/>
        </w:rPr>
        <w:t>Clienta</w:t>
      </w:r>
      <w:proofErr w:type="spellEnd"/>
      <w:r w:rsidRPr="00C4653A">
        <w:rPr>
          <w:rStyle w:val="Siln"/>
          <w:b w:val="0"/>
        </w:rPr>
        <w:t xml:space="preserve"> vyžaduje MS Windows pracovní stanici síťově připojenou k SMG </w:t>
      </w:r>
      <w:proofErr w:type="spellStart"/>
      <w:r w:rsidRPr="00C4653A">
        <w:rPr>
          <w:rStyle w:val="Siln"/>
          <w:b w:val="0"/>
        </w:rPr>
        <w:t>Serverův</w:t>
      </w:r>
      <w:proofErr w:type="spellEnd"/>
      <w:r w:rsidRPr="00C4653A">
        <w:rPr>
          <w:rStyle w:val="Siln"/>
          <w:b w:val="0"/>
        </w:rPr>
        <w:t> následující konfiguraci:</w:t>
      </w:r>
    </w:p>
    <w:tbl>
      <w:tblPr>
        <w:tblW w:w="5075" w:type="pct"/>
        <w:tblCellSpacing w:w="0" w:type="dxa"/>
        <w:tblCellMar>
          <w:top w:w="60" w:type="dxa"/>
          <w:left w:w="60" w:type="dxa"/>
          <w:bottom w:w="60" w:type="dxa"/>
          <w:right w:w="60" w:type="dxa"/>
        </w:tblCellMar>
        <w:tblLook w:val="04A0" w:firstRow="1" w:lastRow="0" w:firstColumn="1" w:lastColumn="0" w:noHBand="0" w:noVBand="1"/>
      </w:tblPr>
      <w:tblGrid>
        <w:gridCol w:w="2848"/>
        <w:gridCol w:w="6344"/>
      </w:tblGrid>
      <w:tr w:rsidR="00770D71" w:rsidRPr="00C4653A" w14:paraId="711557F0" w14:textId="77777777" w:rsidTr="00B620F4">
        <w:trPr>
          <w:trHeight w:val="287"/>
          <w:tblCellSpacing w:w="0" w:type="dxa"/>
        </w:trPr>
        <w:tc>
          <w:tcPr>
            <w:tcW w:w="1549" w:type="pct"/>
            <w:tcBorders>
              <w:top w:val="single" w:sz="6" w:space="0" w:color="000000"/>
              <w:left w:val="single" w:sz="6" w:space="0" w:color="000000"/>
              <w:bottom w:val="single" w:sz="6" w:space="0" w:color="000000"/>
              <w:right w:val="nil"/>
            </w:tcBorders>
            <w:shd w:val="clear" w:color="auto" w:fill="C2D69B" w:themeFill="accent3" w:themeFillTint="99"/>
            <w:tcMar>
              <w:top w:w="57" w:type="dxa"/>
              <w:left w:w="57" w:type="dxa"/>
              <w:bottom w:w="57" w:type="dxa"/>
              <w:right w:w="0" w:type="dxa"/>
            </w:tcMar>
            <w:hideMark/>
          </w:tcPr>
          <w:p w14:paraId="112A6BB2" w14:textId="77777777" w:rsidR="00770D71" w:rsidRPr="00C4653A" w:rsidRDefault="00770D71" w:rsidP="00B620F4">
            <w:pPr>
              <w:spacing w:line="240" w:lineRule="auto"/>
              <w:jc w:val="center"/>
              <w:rPr>
                <w:b/>
                <w:sz w:val="20"/>
              </w:rPr>
            </w:pPr>
            <w:r w:rsidRPr="00C4653A">
              <w:rPr>
                <w:b/>
                <w:sz w:val="20"/>
              </w:rPr>
              <w:t>Parametr</w:t>
            </w:r>
          </w:p>
        </w:tc>
        <w:tc>
          <w:tcPr>
            <w:tcW w:w="3450" w:type="pct"/>
            <w:tcBorders>
              <w:top w:val="single" w:sz="6" w:space="0" w:color="000000"/>
              <w:left w:val="single" w:sz="6" w:space="0" w:color="000000"/>
              <w:bottom w:val="single" w:sz="6" w:space="0" w:color="000000"/>
              <w:right w:val="single" w:sz="6" w:space="0" w:color="000000"/>
            </w:tcBorders>
            <w:shd w:val="clear" w:color="auto" w:fill="C2D69B" w:themeFill="accent3" w:themeFillTint="99"/>
            <w:tcMar>
              <w:top w:w="57" w:type="dxa"/>
              <w:left w:w="57" w:type="dxa"/>
              <w:bottom w:w="57" w:type="dxa"/>
              <w:right w:w="57" w:type="dxa"/>
            </w:tcMar>
            <w:hideMark/>
          </w:tcPr>
          <w:p w14:paraId="23724031" w14:textId="77777777" w:rsidR="00770D71" w:rsidRPr="00C4653A" w:rsidRDefault="00770D71" w:rsidP="00B620F4">
            <w:pPr>
              <w:spacing w:line="240" w:lineRule="auto"/>
              <w:jc w:val="center"/>
              <w:rPr>
                <w:b/>
                <w:sz w:val="20"/>
              </w:rPr>
            </w:pPr>
            <w:r w:rsidRPr="00C4653A">
              <w:rPr>
                <w:b/>
                <w:sz w:val="20"/>
              </w:rPr>
              <w:t>Hodnota</w:t>
            </w:r>
          </w:p>
        </w:tc>
      </w:tr>
      <w:tr w:rsidR="00770D71" w:rsidRPr="00C4653A" w14:paraId="3194FA38" w14:textId="77777777" w:rsidTr="00B620F4">
        <w:trPr>
          <w:trHeight w:val="305"/>
          <w:tblCellSpacing w:w="0" w:type="dxa"/>
        </w:trPr>
        <w:tc>
          <w:tcPr>
            <w:tcW w:w="5000" w:type="pct"/>
            <w:gridSpan w:val="2"/>
            <w:tcBorders>
              <w:top w:val="nil"/>
              <w:left w:val="single" w:sz="6" w:space="0" w:color="000000"/>
              <w:bottom w:val="single" w:sz="6" w:space="0" w:color="000000"/>
              <w:right w:val="single" w:sz="6" w:space="0" w:color="000000"/>
            </w:tcBorders>
            <w:shd w:val="clear" w:color="auto" w:fill="CCCCCC"/>
            <w:tcMar>
              <w:top w:w="0" w:type="dxa"/>
              <w:left w:w="57" w:type="dxa"/>
              <w:bottom w:w="57" w:type="dxa"/>
              <w:right w:w="57" w:type="dxa"/>
            </w:tcMar>
            <w:hideMark/>
          </w:tcPr>
          <w:p w14:paraId="5ADB7E9C" w14:textId="77777777" w:rsidR="00770D71" w:rsidRPr="00C4653A" w:rsidRDefault="00770D71" w:rsidP="00B620F4">
            <w:pPr>
              <w:spacing w:line="240" w:lineRule="auto"/>
              <w:rPr>
                <w:sz w:val="20"/>
              </w:rPr>
            </w:pPr>
            <w:r w:rsidRPr="00C4653A">
              <w:rPr>
                <w:sz w:val="20"/>
              </w:rPr>
              <w:t xml:space="preserve">Aplikace SMG </w:t>
            </w:r>
            <w:proofErr w:type="spellStart"/>
            <w:r w:rsidRPr="00C4653A">
              <w:rPr>
                <w:sz w:val="20"/>
              </w:rPr>
              <w:t>Client</w:t>
            </w:r>
            <w:proofErr w:type="spellEnd"/>
          </w:p>
        </w:tc>
      </w:tr>
      <w:tr w:rsidR="00770D71" w:rsidRPr="00C4653A" w14:paraId="316B4521" w14:textId="77777777" w:rsidTr="00B620F4">
        <w:trPr>
          <w:trHeight w:val="305"/>
          <w:tblCellSpacing w:w="0" w:type="dxa"/>
        </w:trPr>
        <w:tc>
          <w:tcPr>
            <w:tcW w:w="1549" w:type="pct"/>
            <w:tcBorders>
              <w:top w:val="nil"/>
              <w:left w:val="single" w:sz="6" w:space="0" w:color="000000"/>
              <w:bottom w:val="single" w:sz="6" w:space="0" w:color="000000"/>
              <w:right w:val="nil"/>
            </w:tcBorders>
            <w:tcMar>
              <w:top w:w="0" w:type="dxa"/>
              <w:left w:w="57" w:type="dxa"/>
              <w:bottom w:w="57" w:type="dxa"/>
              <w:right w:w="0" w:type="dxa"/>
            </w:tcMar>
            <w:hideMark/>
          </w:tcPr>
          <w:p w14:paraId="3B4FFE20" w14:textId="77777777" w:rsidR="00770D71" w:rsidRPr="00C4653A" w:rsidRDefault="00770D71" w:rsidP="00B620F4">
            <w:pPr>
              <w:spacing w:line="240" w:lineRule="auto"/>
              <w:rPr>
                <w:sz w:val="20"/>
              </w:rPr>
            </w:pPr>
            <w:r w:rsidRPr="00C4653A">
              <w:rPr>
                <w:sz w:val="20"/>
              </w:rPr>
              <w:t>Síťové připojení</w:t>
            </w:r>
          </w:p>
        </w:tc>
        <w:tc>
          <w:tcPr>
            <w:tcW w:w="3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D4EBEB" w14:textId="77777777" w:rsidR="00770D71" w:rsidRPr="00C4653A" w:rsidRDefault="00770D71" w:rsidP="00B620F4">
            <w:pPr>
              <w:spacing w:line="240" w:lineRule="auto"/>
              <w:rPr>
                <w:sz w:val="20"/>
              </w:rPr>
            </w:pPr>
            <w:r w:rsidRPr="00C4653A">
              <w:rPr>
                <w:sz w:val="20"/>
              </w:rPr>
              <w:t>Minimálně 5 Mbit/s.</w:t>
            </w:r>
          </w:p>
        </w:tc>
      </w:tr>
      <w:tr w:rsidR="00770D71" w:rsidRPr="00C4653A" w14:paraId="590A7836" w14:textId="77777777" w:rsidTr="00410E4D">
        <w:trPr>
          <w:trHeight w:val="347"/>
          <w:tblCellSpacing w:w="0" w:type="dxa"/>
        </w:trPr>
        <w:tc>
          <w:tcPr>
            <w:tcW w:w="1549" w:type="pct"/>
            <w:tcBorders>
              <w:top w:val="nil"/>
              <w:left w:val="single" w:sz="6" w:space="0" w:color="000000"/>
              <w:bottom w:val="single" w:sz="6" w:space="0" w:color="000000"/>
              <w:right w:val="nil"/>
            </w:tcBorders>
            <w:tcMar>
              <w:top w:w="0" w:type="dxa"/>
              <w:left w:w="57" w:type="dxa"/>
              <w:bottom w:w="57" w:type="dxa"/>
              <w:right w:w="0" w:type="dxa"/>
            </w:tcMar>
            <w:hideMark/>
          </w:tcPr>
          <w:p w14:paraId="7B47C3A6" w14:textId="77777777" w:rsidR="00770D71" w:rsidRPr="00C4653A" w:rsidRDefault="00770D71" w:rsidP="00B620F4">
            <w:pPr>
              <w:spacing w:line="240" w:lineRule="auto"/>
              <w:rPr>
                <w:sz w:val="20"/>
              </w:rPr>
            </w:pPr>
            <w:r w:rsidRPr="00C4653A">
              <w:rPr>
                <w:sz w:val="20"/>
              </w:rPr>
              <w:t>Desktopový operační systém</w:t>
            </w:r>
          </w:p>
        </w:tc>
        <w:tc>
          <w:tcPr>
            <w:tcW w:w="3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B29AE25" w14:textId="77777777" w:rsidR="00770D71" w:rsidRPr="00C4653A" w:rsidRDefault="00770D71" w:rsidP="00B620F4">
            <w:pPr>
              <w:spacing w:line="240" w:lineRule="auto"/>
              <w:rPr>
                <w:sz w:val="20"/>
              </w:rPr>
            </w:pPr>
            <w:r w:rsidRPr="00C4653A">
              <w:rPr>
                <w:sz w:val="20"/>
              </w:rPr>
              <w:t>Windows 7 a vyšší, .NET Framework (volitelná součást OS) 4.6 a vyšší</w:t>
            </w:r>
          </w:p>
        </w:tc>
      </w:tr>
      <w:tr w:rsidR="00770D71" w:rsidRPr="00C4653A" w14:paraId="3187E51E" w14:textId="77777777" w:rsidTr="00B620F4">
        <w:trPr>
          <w:trHeight w:val="305"/>
          <w:tblCellSpacing w:w="0" w:type="dxa"/>
        </w:trPr>
        <w:tc>
          <w:tcPr>
            <w:tcW w:w="1549" w:type="pct"/>
            <w:tcBorders>
              <w:top w:val="nil"/>
              <w:left w:val="single" w:sz="6" w:space="0" w:color="000000"/>
              <w:bottom w:val="single" w:sz="6" w:space="0" w:color="000000"/>
              <w:right w:val="nil"/>
            </w:tcBorders>
            <w:tcMar>
              <w:top w:w="0" w:type="dxa"/>
              <w:left w:w="57" w:type="dxa"/>
              <w:bottom w:w="57" w:type="dxa"/>
              <w:right w:w="0" w:type="dxa"/>
            </w:tcMar>
            <w:hideMark/>
          </w:tcPr>
          <w:p w14:paraId="01B2A75B" w14:textId="77777777" w:rsidR="00770D71" w:rsidRPr="00C4653A" w:rsidRDefault="00770D71" w:rsidP="00B620F4">
            <w:pPr>
              <w:spacing w:line="240" w:lineRule="auto"/>
              <w:rPr>
                <w:sz w:val="20"/>
              </w:rPr>
            </w:pPr>
            <w:r w:rsidRPr="00C4653A">
              <w:rPr>
                <w:sz w:val="20"/>
              </w:rPr>
              <w:t>Operační paměť RAM</w:t>
            </w:r>
          </w:p>
        </w:tc>
        <w:tc>
          <w:tcPr>
            <w:tcW w:w="3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DCB0B93" w14:textId="77777777" w:rsidR="00770D71" w:rsidRPr="00C4653A" w:rsidRDefault="00770D71" w:rsidP="00B620F4">
            <w:pPr>
              <w:spacing w:line="240" w:lineRule="auto"/>
              <w:rPr>
                <w:sz w:val="20"/>
              </w:rPr>
            </w:pPr>
            <w:r w:rsidRPr="00C4653A">
              <w:rPr>
                <w:sz w:val="20"/>
              </w:rPr>
              <w:t xml:space="preserve">Minimálně 8 </w:t>
            </w:r>
            <w:proofErr w:type="spellStart"/>
            <w:r w:rsidRPr="00C4653A">
              <w:rPr>
                <w:sz w:val="20"/>
              </w:rPr>
              <w:t>GiB</w:t>
            </w:r>
            <w:proofErr w:type="spellEnd"/>
            <w:r w:rsidRPr="00C4653A">
              <w:rPr>
                <w:sz w:val="20"/>
              </w:rPr>
              <w:t>.</w:t>
            </w:r>
          </w:p>
        </w:tc>
      </w:tr>
      <w:tr w:rsidR="00770D71" w:rsidRPr="00C4653A" w14:paraId="44F0666D" w14:textId="77777777" w:rsidTr="00B620F4">
        <w:trPr>
          <w:trHeight w:val="305"/>
          <w:tblCellSpacing w:w="0" w:type="dxa"/>
        </w:trPr>
        <w:tc>
          <w:tcPr>
            <w:tcW w:w="1549" w:type="pct"/>
            <w:tcBorders>
              <w:top w:val="nil"/>
              <w:left w:val="single" w:sz="6" w:space="0" w:color="000000"/>
              <w:bottom w:val="single" w:sz="6" w:space="0" w:color="000000"/>
              <w:right w:val="nil"/>
            </w:tcBorders>
            <w:tcMar>
              <w:top w:w="0" w:type="dxa"/>
              <w:left w:w="57" w:type="dxa"/>
              <w:bottom w:w="57" w:type="dxa"/>
              <w:right w:w="0" w:type="dxa"/>
            </w:tcMar>
            <w:hideMark/>
          </w:tcPr>
          <w:p w14:paraId="456D6ACB" w14:textId="77777777" w:rsidR="00770D71" w:rsidRPr="00C4653A" w:rsidRDefault="00770D71" w:rsidP="00B620F4">
            <w:pPr>
              <w:spacing w:line="240" w:lineRule="auto"/>
              <w:rPr>
                <w:sz w:val="20"/>
              </w:rPr>
            </w:pPr>
            <w:r w:rsidRPr="00C4653A">
              <w:rPr>
                <w:sz w:val="20"/>
              </w:rPr>
              <w:t>Kapacita HDD</w:t>
            </w:r>
          </w:p>
        </w:tc>
        <w:tc>
          <w:tcPr>
            <w:tcW w:w="3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1A6BEBF" w14:textId="77777777" w:rsidR="00770D71" w:rsidRPr="00C4653A" w:rsidRDefault="00770D71" w:rsidP="00B620F4">
            <w:pPr>
              <w:spacing w:line="240" w:lineRule="auto"/>
              <w:rPr>
                <w:sz w:val="20"/>
              </w:rPr>
            </w:pPr>
            <w:r w:rsidRPr="00C4653A">
              <w:rPr>
                <w:sz w:val="20"/>
              </w:rPr>
              <w:t xml:space="preserve">Minimálně 200 </w:t>
            </w:r>
            <w:proofErr w:type="spellStart"/>
            <w:r w:rsidRPr="00C4653A">
              <w:rPr>
                <w:sz w:val="20"/>
              </w:rPr>
              <w:t>GiB</w:t>
            </w:r>
            <w:proofErr w:type="spellEnd"/>
            <w:r w:rsidRPr="00C4653A">
              <w:rPr>
                <w:sz w:val="20"/>
              </w:rPr>
              <w:t>.</w:t>
            </w:r>
          </w:p>
        </w:tc>
      </w:tr>
    </w:tbl>
    <w:p w14:paraId="5596308C" w14:textId="77777777" w:rsidR="00770D71" w:rsidRPr="00C4653A" w:rsidRDefault="00770D71" w:rsidP="00770D71">
      <w:pPr>
        <w:pStyle w:val="Normln1"/>
        <w:rPr>
          <w:b/>
        </w:rPr>
      </w:pPr>
    </w:p>
    <w:p w14:paraId="7DD1599A" w14:textId="77777777" w:rsidR="00770D71" w:rsidRPr="00C4653A" w:rsidRDefault="00770D71" w:rsidP="00770D71">
      <w:pPr>
        <w:pStyle w:val="Normln1"/>
        <w:rPr>
          <w:rStyle w:val="Siln"/>
        </w:rPr>
      </w:pPr>
      <w:r w:rsidRPr="00C4653A">
        <w:rPr>
          <w:rStyle w:val="Siln"/>
        </w:rPr>
        <w:t>SMG Mobile</w:t>
      </w:r>
    </w:p>
    <w:p w14:paraId="6367549E" w14:textId="77777777" w:rsidR="00770D71" w:rsidRDefault="00770D71" w:rsidP="00770D71">
      <w:pPr>
        <w:pStyle w:val="Normln1"/>
        <w:rPr>
          <w:rStyle w:val="Siln"/>
          <w:b w:val="0"/>
        </w:rPr>
      </w:pPr>
      <w:r w:rsidRPr="00C4653A">
        <w:rPr>
          <w:rStyle w:val="Siln"/>
          <w:b w:val="0"/>
        </w:rPr>
        <w:t xml:space="preserve">Instalace a běh SMG Mobile vyžaduje Android smartphone s obrazovkou minimálně 4” a datovou konektivitou do sítě internet + zajištěný prostup pro datové spojení s SMG </w:t>
      </w:r>
      <w:proofErr w:type="gramStart"/>
      <w:r w:rsidRPr="00C4653A">
        <w:rPr>
          <w:rStyle w:val="Siln"/>
          <w:b w:val="0"/>
        </w:rPr>
        <w:t>Serverem :</w:t>
      </w:r>
      <w:proofErr w:type="gramEnd"/>
    </w:p>
    <w:p w14:paraId="0E260BFD" w14:textId="77777777" w:rsidR="0051482D" w:rsidRDefault="0051482D" w:rsidP="00770D71">
      <w:pPr>
        <w:pStyle w:val="Normln1"/>
        <w:rPr>
          <w:rStyle w:val="Siln"/>
          <w:b w:val="0"/>
        </w:rPr>
      </w:pPr>
    </w:p>
    <w:p w14:paraId="64A6B389" w14:textId="77777777" w:rsidR="00410E4D" w:rsidRPr="00C4653A" w:rsidRDefault="00410E4D" w:rsidP="00770D71">
      <w:pPr>
        <w:pStyle w:val="Normln1"/>
        <w:rPr>
          <w:rStyle w:val="Siln"/>
          <w:b w:val="0"/>
        </w:rPr>
      </w:pPr>
      <w:r>
        <w:rPr>
          <w:rStyle w:val="Siln"/>
          <w:b w:val="0"/>
        </w:rPr>
        <w:t xml:space="preserve">Doporučené zařízení je smartphone Samsung </w:t>
      </w:r>
      <w:proofErr w:type="spellStart"/>
      <w:r>
        <w:rPr>
          <w:rStyle w:val="Siln"/>
          <w:b w:val="0"/>
        </w:rPr>
        <w:t>Galaxy</w:t>
      </w:r>
      <w:proofErr w:type="spellEnd"/>
      <w:r>
        <w:rPr>
          <w:rStyle w:val="Siln"/>
          <w:b w:val="0"/>
        </w:rPr>
        <w:t xml:space="preserve"> </w:t>
      </w:r>
      <w:proofErr w:type="spellStart"/>
      <w:r>
        <w:rPr>
          <w:rStyle w:val="Siln"/>
          <w:b w:val="0"/>
        </w:rPr>
        <w:t>XCover</w:t>
      </w:r>
      <w:proofErr w:type="spellEnd"/>
      <w:r>
        <w:rPr>
          <w:rStyle w:val="Siln"/>
          <w:b w:val="0"/>
        </w:rPr>
        <w:t xml:space="preserve"> 4 nebo 4S</w:t>
      </w:r>
    </w:p>
    <w:p w14:paraId="6A428BAC" w14:textId="77777777" w:rsidR="00081C31" w:rsidRDefault="00081C31" w:rsidP="00C63362">
      <w:pPr>
        <w:keepNext/>
        <w:pBdr>
          <w:top w:val="none" w:sz="0" w:space="0" w:color="auto"/>
          <w:left w:val="none" w:sz="0" w:space="0" w:color="auto"/>
          <w:bottom w:val="none" w:sz="0" w:space="0" w:color="auto"/>
          <w:right w:val="none" w:sz="0" w:space="0" w:color="auto"/>
          <w:between w:val="none" w:sz="0" w:space="0" w:color="auto"/>
        </w:pBdr>
        <w:spacing w:line="280" w:lineRule="exact"/>
        <w:ind w:left="360" w:right="-27"/>
        <w:contextualSpacing/>
      </w:pPr>
    </w:p>
    <w:tbl>
      <w:tblPr>
        <w:tblW w:w="8970" w:type="dxa"/>
        <w:tblBorders>
          <w:top w:val="single" w:sz="8" w:space="0" w:color="5B9BD5"/>
          <w:left w:val="single" w:sz="8" w:space="0" w:color="5B9BD5"/>
          <w:bottom w:val="single" w:sz="8" w:space="0" w:color="5B9BD5"/>
          <w:right w:val="single" w:sz="8" w:space="0" w:color="5B9BD5"/>
          <w:insideH w:val="single" w:sz="8" w:space="0" w:color="000000"/>
          <w:insideV w:val="single" w:sz="8" w:space="0" w:color="000000"/>
        </w:tblBorders>
        <w:tblLayout w:type="fixed"/>
        <w:tblLook w:val="0420" w:firstRow="1" w:lastRow="0" w:firstColumn="0" w:lastColumn="0" w:noHBand="0" w:noVBand="1"/>
      </w:tblPr>
      <w:tblGrid>
        <w:gridCol w:w="3525"/>
        <w:gridCol w:w="5445"/>
      </w:tblGrid>
      <w:tr w:rsidR="0051482D" w14:paraId="5B49C58A" w14:textId="77777777" w:rsidTr="0051482D">
        <w:trPr>
          <w:trHeight w:val="191"/>
        </w:trPr>
        <w:tc>
          <w:tcPr>
            <w:tcW w:w="3525" w:type="dxa"/>
            <w:tcBorders>
              <w:top w:val="single" w:sz="8" w:space="0" w:color="5B9BD5"/>
              <w:bottom w:val="single" w:sz="8" w:space="0" w:color="000000"/>
            </w:tcBorders>
            <w:shd w:val="clear" w:color="auto" w:fill="D6E3BC" w:themeFill="accent3" w:themeFillTint="66"/>
            <w:vAlign w:val="center"/>
          </w:tcPr>
          <w:p w14:paraId="15F53DD2" w14:textId="77777777" w:rsidR="0051482D" w:rsidRPr="0051482D" w:rsidRDefault="0051482D" w:rsidP="0051482D">
            <w:pPr>
              <w:spacing w:line="240" w:lineRule="auto"/>
              <w:jc w:val="center"/>
              <w:rPr>
                <w:b/>
                <w:sz w:val="20"/>
              </w:rPr>
            </w:pPr>
            <w:r w:rsidRPr="0051482D">
              <w:rPr>
                <w:b/>
                <w:sz w:val="20"/>
              </w:rPr>
              <w:t>Parametr</w:t>
            </w:r>
          </w:p>
        </w:tc>
        <w:tc>
          <w:tcPr>
            <w:tcW w:w="5445" w:type="dxa"/>
            <w:tcBorders>
              <w:top w:val="single" w:sz="8" w:space="0" w:color="5B9BD5"/>
              <w:bottom w:val="single" w:sz="8" w:space="0" w:color="000000"/>
            </w:tcBorders>
            <w:shd w:val="clear" w:color="auto" w:fill="D6E3BC" w:themeFill="accent3" w:themeFillTint="66"/>
            <w:vAlign w:val="center"/>
          </w:tcPr>
          <w:p w14:paraId="7C51702F" w14:textId="77777777" w:rsidR="0051482D" w:rsidRPr="0051482D" w:rsidRDefault="0051482D" w:rsidP="0051482D">
            <w:pPr>
              <w:spacing w:line="240" w:lineRule="auto"/>
              <w:jc w:val="center"/>
              <w:rPr>
                <w:b/>
                <w:sz w:val="20"/>
              </w:rPr>
            </w:pPr>
            <w:r w:rsidRPr="0051482D">
              <w:rPr>
                <w:b/>
                <w:sz w:val="20"/>
              </w:rPr>
              <w:t>Hodnota</w:t>
            </w:r>
          </w:p>
        </w:tc>
      </w:tr>
      <w:tr w:rsidR="0051482D" w14:paraId="2C4947C4" w14:textId="77777777" w:rsidTr="0051482D">
        <w:trPr>
          <w:trHeight w:val="69"/>
        </w:trPr>
        <w:tc>
          <w:tcPr>
            <w:tcW w:w="3525" w:type="dxa"/>
            <w:tcBorders>
              <w:top w:val="single" w:sz="8" w:space="0" w:color="000000"/>
              <w:right w:val="single" w:sz="8" w:space="0" w:color="5B9BD5"/>
            </w:tcBorders>
            <w:vAlign w:val="center"/>
          </w:tcPr>
          <w:p w14:paraId="382C32BF" w14:textId="77777777" w:rsidR="0051482D" w:rsidRPr="0051482D" w:rsidRDefault="0051482D" w:rsidP="0051482D">
            <w:pPr>
              <w:spacing w:line="240" w:lineRule="auto"/>
              <w:rPr>
                <w:sz w:val="20"/>
              </w:rPr>
            </w:pPr>
            <w:r w:rsidRPr="0051482D">
              <w:rPr>
                <w:sz w:val="20"/>
              </w:rPr>
              <w:t>OS</w:t>
            </w:r>
          </w:p>
        </w:tc>
        <w:tc>
          <w:tcPr>
            <w:tcW w:w="5445" w:type="dxa"/>
            <w:tcBorders>
              <w:top w:val="single" w:sz="8" w:space="0" w:color="000000"/>
              <w:left w:val="single" w:sz="8" w:space="0" w:color="5B9BD5"/>
            </w:tcBorders>
            <w:vAlign w:val="center"/>
          </w:tcPr>
          <w:p w14:paraId="12A3ADA5" w14:textId="77777777" w:rsidR="0051482D" w:rsidRPr="0051482D" w:rsidRDefault="0051482D" w:rsidP="0051482D">
            <w:pPr>
              <w:spacing w:line="240" w:lineRule="auto"/>
              <w:rPr>
                <w:sz w:val="20"/>
              </w:rPr>
            </w:pPr>
            <w:r w:rsidRPr="0051482D">
              <w:rPr>
                <w:sz w:val="20"/>
              </w:rPr>
              <w:t>Android 7</w:t>
            </w:r>
          </w:p>
        </w:tc>
      </w:tr>
      <w:tr w:rsidR="0051482D" w14:paraId="3C2DD757" w14:textId="77777777" w:rsidTr="0051482D">
        <w:trPr>
          <w:trHeight w:val="216"/>
        </w:trPr>
        <w:tc>
          <w:tcPr>
            <w:tcW w:w="3525" w:type="dxa"/>
            <w:tcBorders>
              <w:right w:val="single" w:sz="8" w:space="0" w:color="5B9BD5"/>
            </w:tcBorders>
            <w:vAlign w:val="center"/>
          </w:tcPr>
          <w:p w14:paraId="12530638" w14:textId="77777777" w:rsidR="0051482D" w:rsidRPr="0051482D" w:rsidRDefault="0051482D" w:rsidP="0051482D">
            <w:pPr>
              <w:spacing w:line="240" w:lineRule="auto"/>
              <w:rPr>
                <w:sz w:val="20"/>
              </w:rPr>
            </w:pPr>
            <w:r w:rsidRPr="0051482D">
              <w:rPr>
                <w:sz w:val="20"/>
              </w:rPr>
              <w:t>Displej</w:t>
            </w:r>
          </w:p>
        </w:tc>
        <w:tc>
          <w:tcPr>
            <w:tcW w:w="5445" w:type="dxa"/>
            <w:tcBorders>
              <w:left w:val="single" w:sz="8" w:space="0" w:color="5B9BD5"/>
            </w:tcBorders>
            <w:vAlign w:val="center"/>
          </w:tcPr>
          <w:p w14:paraId="162247EC" w14:textId="77777777" w:rsidR="0051482D" w:rsidRPr="0051482D" w:rsidRDefault="0051482D" w:rsidP="0051482D">
            <w:pPr>
              <w:spacing w:line="240" w:lineRule="auto"/>
              <w:rPr>
                <w:sz w:val="20"/>
              </w:rPr>
            </w:pPr>
            <w:r w:rsidRPr="0051482D">
              <w:rPr>
                <w:sz w:val="20"/>
              </w:rPr>
              <w:t>5“, 1280x720</w:t>
            </w:r>
          </w:p>
        </w:tc>
      </w:tr>
      <w:tr w:rsidR="0051482D" w14:paraId="093E5B7B" w14:textId="77777777" w:rsidTr="0051482D">
        <w:trPr>
          <w:trHeight w:val="94"/>
        </w:trPr>
        <w:tc>
          <w:tcPr>
            <w:tcW w:w="3525" w:type="dxa"/>
            <w:tcBorders>
              <w:right w:val="single" w:sz="8" w:space="0" w:color="5B9BD5"/>
            </w:tcBorders>
            <w:vAlign w:val="center"/>
          </w:tcPr>
          <w:p w14:paraId="45AAFDB2" w14:textId="77777777" w:rsidR="0051482D" w:rsidRPr="0051482D" w:rsidRDefault="0051482D" w:rsidP="0051482D">
            <w:pPr>
              <w:spacing w:line="240" w:lineRule="auto"/>
              <w:rPr>
                <w:sz w:val="20"/>
              </w:rPr>
            </w:pPr>
            <w:r w:rsidRPr="0051482D">
              <w:rPr>
                <w:sz w:val="20"/>
              </w:rPr>
              <w:t>Sítě</w:t>
            </w:r>
          </w:p>
        </w:tc>
        <w:tc>
          <w:tcPr>
            <w:tcW w:w="5445" w:type="dxa"/>
            <w:tcBorders>
              <w:left w:val="single" w:sz="8" w:space="0" w:color="5B9BD5"/>
            </w:tcBorders>
            <w:vAlign w:val="center"/>
          </w:tcPr>
          <w:p w14:paraId="4BD36E61" w14:textId="77777777" w:rsidR="0051482D" w:rsidRPr="0051482D" w:rsidRDefault="0051482D" w:rsidP="0051482D">
            <w:pPr>
              <w:spacing w:line="240" w:lineRule="auto"/>
              <w:rPr>
                <w:sz w:val="20"/>
              </w:rPr>
            </w:pPr>
            <w:r w:rsidRPr="0051482D">
              <w:rPr>
                <w:sz w:val="20"/>
              </w:rPr>
              <w:t>GSM/HSPA+ (3G)/LTE, GPS</w:t>
            </w:r>
          </w:p>
        </w:tc>
      </w:tr>
      <w:tr w:rsidR="0051482D" w14:paraId="7F029F7A" w14:textId="77777777" w:rsidTr="0051482D">
        <w:trPr>
          <w:trHeight w:val="101"/>
        </w:trPr>
        <w:tc>
          <w:tcPr>
            <w:tcW w:w="3525" w:type="dxa"/>
            <w:tcBorders>
              <w:right w:val="single" w:sz="8" w:space="0" w:color="5B9BD5"/>
            </w:tcBorders>
            <w:vAlign w:val="center"/>
          </w:tcPr>
          <w:p w14:paraId="384821CD" w14:textId="77777777" w:rsidR="0051482D" w:rsidRPr="0051482D" w:rsidRDefault="0051482D" w:rsidP="0051482D">
            <w:pPr>
              <w:spacing w:line="240" w:lineRule="auto"/>
              <w:rPr>
                <w:sz w:val="20"/>
              </w:rPr>
            </w:pPr>
            <w:r w:rsidRPr="0051482D">
              <w:rPr>
                <w:sz w:val="20"/>
              </w:rPr>
              <w:t>Paměť</w:t>
            </w:r>
          </w:p>
        </w:tc>
        <w:tc>
          <w:tcPr>
            <w:tcW w:w="5445" w:type="dxa"/>
            <w:tcBorders>
              <w:left w:val="single" w:sz="8" w:space="0" w:color="5B9BD5"/>
            </w:tcBorders>
            <w:vAlign w:val="center"/>
          </w:tcPr>
          <w:p w14:paraId="42457E14" w14:textId="77777777" w:rsidR="0051482D" w:rsidRPr="0051482D" w:rsidRDefault="0051482D" w:rsidP="0051482D">
            <w:pPr>
              <w:spacing w:line="240" w:lineRule="auto"/>
              <w:rPr>
                <w:sz w:val="20"/>
              </w:rPr>
            </w:pPr>
            <w:r w:rsidRPr="0051482D">
              <w:rPr>
                <w:sz w:val="20"/>
              </w:rPr>
              <w:t>16 GB, RAM 2 MB, microSD slot</w:t>
            </w:r>
          </w:p>
        </w:tc>
      </w:tr>
      <w:tr w:rsidR="0051482D" w14:paraId="5548E003" w14:textId="77777777" w:rsidTr="0051482D">
        <w:trPr>
          <w:trHeight w:val="263"/>
        </w:trPr>
        <w:tc>
          <w:tcPr>
            <w:tcW w:w="3525" w:type="dxa"/>
            <w:tcBorders>
              <w:right w:val="single" w:sz="8" w:space="0" w:color="5B9BD5"/>
            </w:tcBorders>
            <w:vAlign w:val="center"/>
          </w:tcPr>
          <w:p w14:paraId="22ACFFD6" w14:textId="77777777" w:rsidR="0051482D" w:rsidRPr="0051482D" w:rsidRDefault="0051482D" w:rsidP="0051482D">
            <w:pPr>
              <w:spacing w:line="240" w:lineRule="auto"/>
              <w:rPr>
                <w:sz w:val="20"/>
              </w:rPr>
            </w:pPr>
            <w:r w:rsidRPr="0051482D">
              <w:rPr>
                <w:sz w:val="20"/>
              </w:rPr>
              <w:t>Baterie</w:t>
            </w:r>
          </w:p>
        </w:tc>
        <w:tc>
          <w:tcPr>
            <w:tcW w:w="5445" w:type="dxa"/>
            <w:tcBorders>
              <w:left w:val="single" w:sz="8" w:space="0" w:color="5B9BD5"/>
            </w:tcBorders>
            <w:vAlign w:val="center"/>
          </w:tcPr>
          <w:p w14:paraId="61DF7999" w14:textId="77777777" w:rsidR="0051482D" w:rsidRPr="0051482D" w:rsidRDefault="0051482D" w:rsidP="0051482D">
            <w:pPr>
              <w:spacing w:line="240" w:lineRule="auto"/>
              <w:rPr>
                <w:sz w:val="20"/>
              </w:rPr>
            </w:pPr>
            <w:r w:rsidRPr="0051482D">
              <w:rPr>
                <w:sz w:val="20"/>
              </w:rPr>
              <w:t xml:space="preserve">2800 </w:t>
            </w:r>
            <w:proofErr w:type="spellStart"/>
            <w:r w:rsidRPr="0051482D">
              <w:rPr>
                <w:sz w:val="20"/>
              </w:rPr>
              <w:t>mAh</w:t>
            </w:r>
            <w:proofErr w:type="spellEnd"/>
          </w:p>
        </w:tc>
      </w:tr>
      <w:tr w:rsidR="0051482D" w14:paraId="4F6A1A06" w14:textId="77777777" w:rsidTr="0051482D">
        <w:trPr>
          <w:trHeight w:val="112"/>
        </w:trPr>
        <w:tc>
          <w:tcPr>
            <w:tcW w:w="3525" w:type="dxa"/>
            <w:tcBorders>
              <w:right w:val="single" w:sz="8" w:space="0" w:color="5B9BD5"/>
            </w:tcBorders>
            <w:vAlign w:val="center"/>
          </w:tcPr>
          <w:p w14:paraId="67C6AF79" w14:textId="77777777" w:rsidR="0051482D" w:rsidRPr="0051482D" w:rsidRDefault="0051482D" w:rsidP="0051482D">
            <w:pPr>
              <w:spacing w:line="240" w:lineRule="auto"/>
              <w:rPr>
                <w:sz w:val="20"/>
              </w:rPr>
            </w:pPr>
            <w:r w:rsidRPr="0051482D">
              <w:rPr>
                <w:sz w:val="20"/>
              </w:rPr>
              <w:t>Fotoaparát</w:t>
            </w:r>
          </w:p>
        </w:tc>
        <w:tc>
          <w:tcPr>
            <w:tcW w:w="5445" w:type="dxa"/>
            <w:tcBorders>
              <w:left w:val="single" w:sz="8" w:space="0" w:color="5B9BD5"/>
            </w:tcBorders>
            <w:vAlign w:val="center"/>
          </w:tcPr>
          <w:p w14:paraId="4C46B3BC" w14:textId="77777777" w:rsidR="0051482D" w:rsidRPr="0051482D" w:rsidRDefault="0051482D" w:rsidP="0051482D">
            <w:pPr>
              <w:spacing w:line="240" w:lineRule="auto"/>
              <w:rPr>
                <w:sz w:val="20"/>
              </w:rPr>
            </w:pPr>
            <w:r w:rsidRPr="0051482D">
              <w:rPr>
                <w:sz w:val="20"/>
              </w:rPr>
              <w:t xml:space="preserve">13 </w:t>
            </w:r>
            <w:proofErr w:type="spellStart"/>
            <w:r w:rsidRPr="0051482D">
              <w:rPr>
                <w:sz w:val="20"/>
              </w:rPr>
              <w:t>MPx</w:t>
            </w:r>
            <w:proofErr w:type="spellEnd"/>
            <w:r w:rsidRPr="0051482D">
              <w:rPr>
                <w:sz w:val="20"/>
              </w:rPr>
              <w:t xml:space="preserve"> </w:t>
            </w:r>
          </w:p>
        </w:tc>
      </w:tr>
      <w:tr w:rsidR="0051482D" w14:paraId="6CA1B828" w14:textId="77777777" w:rsidTr="0051482D">
        <w:trPr>
          <w:trHeight w:val="21"/>
        </w:trPr>
        <w:tc>
          <w:tcPr>
            <w:tcW w:w="3525" w:type="dxa"/>
            <w:tcBorders>
              <w:right w:val="single" w:sz="8" w:space="0" w:color="5B9BD5"/>
            </w:tcBorders>
            <w:vAlign w:val="center"/>
          </w:tcPr>
          <w:p w14:paraId="34753325" w14:textId="77777777" w:rsidR="0051482D" w:rsidRPr="0051482D" w:rsidRDefault="0051482D" w:rsidP="0051482D">
            <w:pPr>
              <w:spacing w:line="240" w:lineRule="auto"/>
              <w:rPr>
                <w:sz w:val="20"/>
              </w:rPr>
            </w:pPr>
            <w:r w:rsidRPr="0051482D">
              <w:rPr>
                <w:sz w:val="20"/>
              </w:rPr>
              <w:t>Krytí</w:t>
            </w:r>
          </w:p>
        </w:tc>
        <w:tc>
          <w:tcPr>
            <w:tcW w:w="5445" w:type="dxa"/>
            <w:tcBorders>
              <w:left w:val="single" w:sz="8" w:space="0" w:color="5B9BD5"/>
            </w:tcBorders>
            <w:vAlign w:val="center"/>
          </w:tcPr>
          <w:p w14:paraId="0F37D98D" w14:textId="77777777" w:rsidR="0051482D" w:rsidRPr="0051482D" w:rsidRDefault="0051482D" w:rsidP="0051482D">
            <w:pPr>
              <w:spacing w:line="240" w:lineRule="auto"/>
              <w:rPr>
                <w:sz w:val="20"/>
              </w:rPr>
            </w:pPr>
            <w:r w:rsidRPr="0051482D">
              <w:rPr>
                <w:sz w:val="20"/>
              </w:rPr>
              <w:t>IP68</w:t>
            </w:r>
          </w:p>
        </w:tc>
      </w:tr>
      <w:tr w:rsidR="0051482D" w14:paraId="00FDBB1B" w14:textId="77777777" w:rsidTr="0051482D">
        <w:trPr>
          <w:trHeight w:val="21"/>
        </w:trPr>
        <w:tc>
          <w:tcPr>
            <w:tcW w:w="3525" w:type="dxa"/>
            <w:tcBorders>
              <w:right w:val="single" w:sz="8" w:space="0" w:color="5B9BD5"/>
            </w:tcBorders>
            <w:vAlign w:val="center"/>
          </w:tcPr>
          <w:p w14:paraId="1322D0BE" w14:textId="77777777" w:rsidR="0051482D" w:rsidRPr="0051482D" w:rsidRDefault="0051482D" w:rsidP="0051482D">
            <w:pPr>
              <w:spacing w:line="240" w:lineRule="auto"/>
              <w:rPr>
                <w:sz w:val="20"/>
              </w:rPr>
            </w:pPr>
            <w:r w:rsidRPr="0051482D">
              <w:rPr>
                <w:sz w:val="20"/>
              </w:rPr>
              <w:t>Rozměry, hmotnost</w:t>
            </w:r>
          </w:p>
        </w:tc>
        <w:tc>
          <w:tcPr>
            <w:tcW w:w="5445" w:type="dxa"/>
            <w:tcBorders>
              <w:left w:val="single" w:sz="8" w:space="0" w:color="5B9BD5"/>
            </w:tcBorders>
            <w:vAlign w:val="center"/>
          </w:tcPr>
          <w:p w14:paraId="39AEC664" w14:textId="77777777" w:rsidR="0051482D" w:rsidRPr="0051482D" w:rsidRDefault="0051482D" w:rsidP="0051482D">
            <w:pPr>
              <w:spacing w:line="240" w:lineRule="auto"/>
              <w:rPr>
                <w:sz w:val="20"/>
              </w:rPr>
            </w:pPr>
            <w:r w:rsidRPr="0051482D">
              <w:rPr>
                <w:sz w:val="20"/>
              </w:rPr>
              <w:t>73,3×146,2×9,7 mm, 172g</w:t>
            </w:r>
          </w:p>
        </w:tc>
      </w:tr>
    </w:tbl>
    <w:p w14:paraId="20FFA6F2" w14:textId="77777777" w:rsidR="0016696C" w:rsidRPr="00C4653A" w:rsidRDefault="0016696C" w:rsidP="00410E4D">
      <w:pPr>
        <w:keepNext/>
        <w:pBdr>
          <w:top w:val="none" w:sz="0" w:space="0" w:color="auto"/>
          <w:left w:val="none" w:sz="0" w:space="0" w:color="auto"/>
          <w:bottom w:val="none" w:sz="0" w:space="0" w:color="auto"/>
          <w:right w:val="none" w:sz="0" w:space="0" w:color="auto"/>
          <w:between w:val="none" w:sz="0" w:space="0" w:color="auto"/>
        </w:pBdr>
        <w:spacing w:line="280" w:lineRule="exact"/>
        <w:ind w:right="-27"/>
        <w:contextualSpacing/>
      </w:pPr>
    </w:p>
    <w:sectPr w:rsidR="0016696C" w:rsidRPr="00C4653A" w:rsidSect="00EF5C41">
      <w:footerReference w:type="default" r:id="rId8"/>
      <w:pgSz w:w="11906" w:h="16838"/>
      <w:pgMar w:top="1135" w:right="1417" w:bottom="1276"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464F" w14:textId="77777777" w:rsidR="00E64904" w:rsidRDefault="00E64904">
      <w:pPr>
        <w:spacing w:line="240" w:lineRule="auto"/>
      </w:pPr>
      <w:r>
        <w:separator/>
      </w:r>
    </w:p>
  </w:endnote>
  <w:endnote w:type="continuationSeparator" w:id="0">
    <w:p w14:paraId="3645FE2D" w14:textId="77777777" w:rsidR="00E64904" w:rsidRDefault="00E64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6DD7" w14:textId="77777777" w:rsidR="00F0224A" w:rsidRDefault="002C2821">
    <w:pPr>
      <w:tabs>
        <w:tab w:val="center" w:pos="4536"/>
        <w:tab w:val="right" w:pos="9072"/>
      </w:tabs>
      <w:jc w:val="center"/>
    </w:pPr>
    <w:r>
      <w:fldChar w:fldCharType="begin"/>
    </w:r>
    <w:r w:rsidR="00F0224A">
      <w:instrText>PAGE</w:instrText>
    </w:r>
    <w:r>
      <w:fldChar w:fldCharType="separate"/>
    </w:r>
    <w:r w:rsidR="00410E4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558D" w14:textId="77777777" w:rsidR="00E64904" w:rsidRDefault="00E64904">
      <w:pPr>
        <w:spacing w:line="240" w:lineRule="auto"/>
      </w:pPr>
      <w:r>
        <w:separator/>
      </w:r>
    </w:p>
  </w:footnote>
  <w:footnote w:type="continuationSeparator" w:id="0">
    <w:p w14:paraId="3F393A4D" w14:textId="77777777" w:rsidR="00E64904" w:rsidRDefault="00E649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5AA"/>
    <w:multiLevelType w:val="multilevel"/>
    <w:tmpl w:val="CD060EB4"/>
    <w:lvl w:ilvl="0">
      <w:start w:val="6"/>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8"/>
      <w:numFmt w:val="bullet"/>
      <w:lvlText w:val=""/>
      <w:lvlJc w:val="left"/>
      <w:pPr>
        <w:ind w:left="1134" w:hanging="1134"/>
      </w:pPr>
      <w:rPr>
        <w:rFonts w:ascii="Symbol" w:hAnsi="Symbol" w:hint="default"/>
        <w:b w:val="0"/>
      </w:rPr>
    </w:lvl>
    <w:lvl w:ilvl="3">
      <w:start w:val="4"/>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7D1C41"/>
    <w:multiLevelType w:val="multilevel"/>
    <w:tmpl w:val="41E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57CD6"/>
    <w:multiLevelType w:val="multilevel"/>
    <w:tmpl w:val="EEE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D1F5A"/>
    <w:multiLevelType w:val="multilevel"/>
    <w:tmpl w:val="40EC0F5A"/>
    <w:lvl w:ilvl="0">
      <w:start w:val="6"/>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6"/>
      <w:numFmt w:val="bullet"/>
      <w:lvlText w:val=""/>
      <w:lvlJc w:val="left"/>
      <w:pPr>
        <w:ind w:left="1134" w:hanging="1134"/>
      </w:pPr>
      <w:rPr>
        <w:rFonts w:ascii="Symbol" w:hAnsi="Symbol" w:hint="default"/>
        <w:b w:val="0"/>
      </w:rPr>
    </w:lvl>
    <w:lvl w:ilvl="3">
      <w:start w:val="2"/>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E605C"/>
    <w:multiLevelType w:val="hybridMultilevel"/>
    <w:tmpl w:val="D092F948"/>
    <w:lvl w:ilvl="0" w:tplc="B69CEFA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23AE7639"/>
    <w:multiLevelType w:val="multilevel"/>
    <w:tmpl w:val="82DCD69A"/>
    <w:lvl w:ilvl="0">
      <w:start w:val="1"/>
      <w:numFmt w:val="decimal"/>
      <w:lvlText w:val="%1."/>
      <w:lvlJc w:val="left"/>
      <w:pPr>
        <w:ind w:left="1134" w:hanging="1134"/>
      </w:pPr>
      <w:rPr>
        <w:b/>
      </w:rPr>
    </w:lvl>
    <w:lvl w:ilvl="1">
      <w:start w:val="1"/>
      <w:numFmt w:val="decimal"/>
      <w:lvlText w:val="%1.%2."/>
      <w:lvlJc w:val="left"/>
      <w:pPr>
        <w:ind w:left="1134" w:hanging="1134"/>
      </w:pPr>
      <w:rPr>
        <w:b w:val="0"/>
      </w:rPr>
    </w:lvl>
    <w:lvl w:ilvl="2">
      <w:start w:val="1"/>
      <w:numFmt w:val="decimal"/>
      <w:lvlText w:val="%1.%2.%3."/>
      <w:lvlJc w:val="left"/>
      <w:pPr>
        <w:ind w:left="1134" w:hanging="1134"/>
      </w:pPr>
      <w:rPr>
        <w:b w:val="0"/>
      </w:rPr>
    </w:lvl>
    <w:lvl w:ilvl="3">
      <w:start w:val="1"/>
      <w:numFmt w:val="lowerLetter"/>
      <w:lvlText w:val="%1.%2.%3.%4)"/>
      <w:lvlJc w:val="left"/>
      <w:pPr>
        <w:ind w:left="1134" w:hanging="1134"/>
      </w:pPr>
    </w:lvl>
    <w:lvl w:ilvl="4">
      <w:start w:val="1"/>
      <w:numFmt w:val="bullet"/>
      <w:lvlText w:val="●"/>
      <w:lvlJc w:val="left"/>
      <w:pPr>
        <w:ind w:left="1985" w:hanging="851"/>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BF68D2"/>
    <w:multiLevelType w:val="multilevel"/>
    <w:tmpl w:val="03E4912C"/>
    <w:lvl w:ilvl="0">
      <w:start w:val="1"/>
      <w:numFmt w:val="decimal"/>
      <w:pStyle w:val="Smlouva1-lnek"/>
      <w:lvlText w:val="%1"/>
      <w:lvlJc w:val="left"/>
      <w:pPr>
        <w:tabs>
          <w:tab w:val="num" w:pos="3403"/>
        </w:tabs>
        <w:ind w:left="3403" w:hanging="567"/>
      </w:pPr>
      <w:rPr>
        <w:rFonts w:hint="default"/>
      </w:rPr>
    </w:lvl>
    <w:lvl w:ilvl="1">
      <w:start w:val="1"/>
      <w:numFmt w:val="decimal"/>
      <w:pStyle w:val="Smlouva2-bod"/>
      <w:lvlText w:val="%1.%2"/>
      <w:lvlJc w:val="left"/>
      <w:pPr>
        <w:tabs>
          <w:tab w:val="num" w:pos="1701"/>
        </w:tabs>
        <w:ind w:left="1701" w:hanging="567"/>
      </w:pPr>
      <w:rPr>
        <w:rFonts w:hint="default"/>
      </w:rPr>
    </w:lvl>
    <w:lvl w:ilvl="2">
      <w:start w:val="1"/>
      <w:numFmt w:val="lowerLetter"/>
      <w:pStyle w:val="Smlouva3-psmeno"/>
      <w:lvlText w:val="%3)"/>
      <w:lvlJc w:val="left"/>
      <w:pPr>
        <w:tabs>
          <w:tab w:val="num" w:pos="513"/>
        </w:tabs>
        <w:ind w:left="283" w:hanging="283"/>
      </w:pPr>
      <w:rPr>
        <w:rFonts w:hint="default"/>
      </w:rPr>
    </w:lvl>
    <w:lvl w:ilvl="3">
      <w:start w:val="1"/>
      <w:numFmt w:val="bullet"/>
      <w:lvlText w:val="·"/>
      <w:lvlJc w:val="left"/>
      <w:pPr>
        <w:tabs>
          <w:tab w:val="num" w:pos="873"/>
        </w:tabs>
        <w:ind w:left="567" w:hanging="284"/>
      </w:pPr>
      <w:rPr>
        <w:rFonts w:ascii="Symbol" w:hAnsi="Symbol" w:hint="default"/>
      </w:rPr>
    </w:lvl>
    <w:lvl w:ilvl="4">
      <w:start w:val="1"/>
      <w:numFmt w:val="bullet"/>
      <w:lvlText w:val="·"/>
      <w:lvlJc w:val="left"/>
      <w:pPr>
        <w:tabs>
          <w:tab w:val="num" w:pos="1233"/>
        </w:tabs>
        <w:ind w:left="850" w:hanging="283"/>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51B3846"/>
    <w:multiLevelType w:val="hybridMultilevel"/>
    <w:tmpl w:val="4DEA8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B44CA2"/>
    <w:multiLevelType w:val="multilevel"/>
    <w:tmpl w:val="32B243A0"/>
    <w:lvl w:ilvl="0">
      <w:start w:val="1"/>
      <w:numFmt w:val="decimal"/>
      <w:lvlText w:val="%1."/>
      <w:lvlJc w:val="left"/>
      <w:pPr>
        <w:tabs>
          <w:tab w:val="num" w:pos="360"/>
        </w:tabs>
        <w:ind w:left="360" w:hanging="360"/>
      </w:pPr>
      <w:rPr>
        <w:rFonts w:ascii="Arial" w:hAnsi="Arial" w:cs="Arial" w:hint="default"/>
        <w:b/>
        <w:sz w:val="18"/>
        <w:szCs w:val="18"/>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31A71D4C"/>
    <w:multiLevelType w:val="multilevel"/>
    <w:tmpl w:val="629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14471"/>
    <w:multiLevelType w:val="multilevel"/>
    <w:tmpl w:val="EC9EE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D00CA"/>
    <w:multiLevelType w:val="hybridMultilevel"/>
    <w:tmpl w:val="CBAE6BB4"/>
    <w:lvl w:ilvl="0" w:tplc="BCE8AED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550DEE"/>
    <w:multiLevelType w:val="multilevel"/>
    <w:tmpl w:val="238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964E7"/>
    <w:multiLevelType w:val="multilevel"/>
    <w:tmpl w:val="61E60DB0"/>
    <w:lvl w:ilvl="0">
      <w:start w:val="5"/>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8"/>
      <w:numFmt w:val="bullet"/>
      <w:lvlText w:val=""/>
      <w:lvlJc w:val="left"/>
      <w:pPr>
        <w:ind w:left="1134" w:hanging="1134"/>
      </w:pPr>
      <w:rPr>
        <w:rFonts w:ascii="Symbol" w:hAnsi="Symbol" w:hint="default"/>
        <w:b w:val="0"/>
      </w:rPr>
    </w:lvl>
    <w:lvl w:ilvl="3">
      <w:start w:val="4"/>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4E5A31"/>
    <w:multiLevelType w:val="multilevel"/>
    <w:tmpl w:val="34669474"/>
    <w:lvl w:ilvl="0">
      <w:start w:val="1"/>
      <w:numFmt w:val="decimal"/>
      <w:lvlText w:val="%1."/>
      <w:lvlJc w:val="left"/>
      <w:pPr>
        <w:ind w:left="1134" w:hanging="1134"/>
      </w:pPr>
      <w:rPr>
        <w:b/>
      </w:rPr>
    </w:lvl>
    <w:lvl w:ilvl="1">
      <w:start w:val="1"/>
      <w:numFmt w:val="decimal"/>
      <w:lvlText w:val="%1.%2."/>
      <w:lvlJc w:val="left"/>
      <w:pPr>
        <w:ind w:left="1134" w:hanging="1134"/>
      </w:pPr>
      <w:rPr>
        <w:b w:val="0"/>
        <w:u w:val="none"/>
      </w:rPr>
    </w:lvl>
    <w:lvl w:ilvl="2">
      <w:start w:val="1"/>
      <w:numFmt w:val="bullet"/>
      <w:lvlText w:val=""/>
      <w:lvlJc w:val="left"/>
      <w:pPr>
        <w:ind w:left="1134" w:hanging="1134"/>
      </w:pPr>
      <w:rPr>
        <w:rFonts w:ascii="Symbol" w:hAnsi="Symbol" w:hint="default"/>
        <w:b w:val="0"/>
      </w:rPr>
    </w:lvl>
    <w:lvl w:ilvl="3">
      <w:start w:val="1"/>
      <w:numFmt w:val="lowerLetter"/>
      <w:lvlText w:val="%1.%2.%3.%4)"/>
      <w:lvlJc w:val="left"/>
      <w:pPr>
        <w:ind w:left="1134" w:hanging="1134"/>
      </w:pPr>
    </w:lvl>
    <w:lvl w:ilvl="4">
      <w:start w:val="1"/>
      <w:numFmt w:val="bullet"/>
      <w:lvlText w:val="●"/>
      <w:lvlJc w:val="left"/>
      <w:pPr>
        <w:ind w:left="1985" w:hanging="851"/>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B24739"/>
    <w:multiLevelType w:val="hybridMultilevel"/>
    <w:tmpl w:val="4574ED5C"/>
    <w:lvl w:ilvl="0" w:tplc="46BE3640">
      <w:start w:val="1"/>
      <w:numFmt w:val="decimal"/>
      <w:lvlText w:val="6.%1."/>
      <w:lvlJc w:val="left"/>
      <w:pPr>
        <w:tabs>
          <w:tab w:val="num" w:pos="567"/>
        </w:tabs>
        <w:ind w:left="567" w:hanging="567"/>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5FF0FA0"/>
    <w:multiLevelType w:val="multilevel"/>
    <w:tmpl w:val="CD060EB4"/>
    <w:lvl w:ilvl="0">
      <w:start w:val="6"/>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8"/>
      <w:numFmt w:val="bullet"/>
      <w:lvlText w:val=""/>
      <w:lvlJc w:val="left"/>
      <w:pPr>
        <w:ind w:left="1134" w:hanging="1134"/>
      </w:pPr>
      <w:rPr>
        <w:rFonts w:ascii="Symbol" w:hAnsi="Symbol" w:hint="default"/>
        <w:b w:val="0"/>
      </w:rPr>
    </w:lvl>
    <w:lvl w:ilvl="3">
      <w:start w:val="4"/>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C52923"/>
    <w:multiLevelType w:val="multilevel"/>
    <w:tmpl w:val="E0AEF5DE"/>
    <w:lvl w:ilvl="0">
      <w:start w:val="1"/>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1"/>
      <w:numFmt w:val="bullet"/>
      <w:lvlText w:val=""/>
      <w:lvlJc w:val="left"/>
      <w:pPr>
        <w:ind w:left="1134" w:hanging="1134"/>
      </w:pPr>
      <w:rPr>
        <w:rFonts w:ascii="Symbol" w:hAnsi="Symbol" w:hint="default"/>
        <w:b w:val="0"/>
      </w:rPr>
    </w:lvl>
    <w:lvl w:ilvl="3">
      <w:start w:val="1"/>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C171A4"/>
    <w:multiLevelType w:val="hybridMultilevel"/>
    <w:tmpl w:val="FA7E621C"/>
    <w:lvl w:ilvl="0" w:tplc="22D49F12">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9" w15:restartNumberingAfterBreak="0">
    <w:nsid w:val="4A6A0A88"/>
    <w:multiLevelType w:val="hybridMultilevel"/>
    <w:tmpl w:val="5ED80B20"/>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0" w15:restartNumberingAfterBreak="0">
    <w:nsid w:val="4F193543"/>
    <w:multiLevelType w:val="multilevel"/>
    <w:tmpl w:val="0FF6BD38"/>
    <w:lvl w:ilvl="0">
      <w:start w:val="1"/>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8"/>
      <w:numFmt w:val="bullet"/>
      <w:lvlText w:val=""/>
      <w:lvlJc w:val="left"/>
      <w:pPr>
        <w:ind w:left="1134" w:hanging="1134"/>
      </w:pPr>
      <w:rPr>
        <w:rFonts w:ascii="Symbol" w:hAnsi="Symbol" w:hint="default"/>
        <w:b w:val="0"/>
      </w:rPr>
    </w:lvl>
    <w:lvl w:ilvl="3">
      <w:start w:val="4"/>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507F1A"/>
    <w:multiLevelType w:val="multilevel"/>
    <w:tmpl w:val="B16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30835"/>
    <w:multiLevelType w:val="multilevel"/>
    <w:tmpl w:val="34669474"/>
    <w:lvl w:ilvl="0">
      <w:start w:val="1"/>
      <w:numFmt w:val="decimal"/>
      <w:lvlText w:val="%1."/>
      <w:lvlJc w:val="left"/>
      <w:pPr>
        <w:ind w:left="1134" w:hanging="1134"/>
      </w:pPr>
      <w:rPr>
        <w:b/>
      </w:rPr>
    </w:lvl>
    <w:lvl w:ilvl="1">
      <w:start w:val="1"/>
      <w:numFmt w:val="decimal"/>
      <w:lvlText w:val="%1.%2."/>
      <w:lvlJc w:val="left"/>
      <w:pPr>
        <w:ind w:left="1134" w:hanging="1134"/>
      </w:pPr>
      <w:rPr>
        <w:b w:val="0"/>
        <w:u w:val="none"/>
      </w:rPr>
    </w:lvl>
    <w:lvl w:ilvl="2">
      <w:start w:val="1"/>
      <w:numFmt w:val="bullet"/>
      <w:lvlText w:val=""/>
      <w:lvlJc w:val="left"/>
      <w:pPr>
        <w:ind w:left="1134" w:hanging="1134"/>
      </w:pPr>
      <w:rPr>
        <w:rFonts w:ascii="Symbol" w:hAnsi="Symbol" w:hint="default"/>
        <w:b w:val="0"/>
      </w:rPr>
    </w:lvl>
    <w:lvl w:ilvl="3">
      <w:start w:val="1"/>
      <w:numFmt w:val="lowerLetter"/>
      <w:lvlText w:val="%1.%2.%3.%4)"/>
      <w:lvlJc w:val="left"/>
      <w:pPr>
        <w:ind w:left="1134" w:hanging="1134"/>
      </w:pPr>
    </w:lvl>
    <w:lvl w:ilvl="4">
      <w:start w:val="1"/>
      <w:numFmt w:val="bullet"/>
      <w:lvlText w:val="●"/>
      <w:lvlJc w:val="left"/>
      <w:pPr>
        <w:ind w:left="1985" w:hanging="851"/>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B53774"/>
    <w:multiLevelType w:val="multilevel"/>
    <w:tmpl w:val="34669474"/>
    <w:lvl w:ilvl="0">
      <w:start w:val="1"/>
      <w:numFmt w:val="decimal"/>
      <w:lvlText w:val="%1."/>
      <w:lvlJc w:val="left"/>
      <w:pPr>
        <w:ind w:left="1134" w:hanging="1134"/>
      </w:pPr>
      <w:rPr>
        <w:b/>
      </w:rPr>
    </w:lvl>
    <w:lvl w:ilvl="1">
      <w:start w:val="1"/>
      <w:numFmt w:val="decimal"/>
      <w:lvlText w:val="%1.%2."/>
      <w:lvlJc w:val="left"/>
      <w:pPr>
        <w:ind w:left="1134" w:hanging="1134"/>
      </w:pPr>
      <w:rPr>
        <w:b w:val="0"/>
        <w:u w:val="none"/>
      </w:rPr>
    </w:lvl>
    <w:lvl w:ilvl="2">
      <w:start w:val="1"/>
      <w:numFmt w:val="bullet"/>
      <w:lvlText w:val=""/>
      <w:lvlJc w:val="left"/>
      <w:pPr>
        <w:ind w:left="1134" w:hanging="1134"/>
      </w:pPr>
      <w:rPr>
        <w:rFonts w:ascii="Symbol" w:hAnsi="Symbol" w:hint="default"/>
        <w:b w:val="0"/>
      </w:rPr>
    </w:lvl>
    <w:lvl w:ilvl="3">
      <w:start w:val="1"/>
      <w:numFmt w:val="lowerLetter"/>
      <w:lvlText w:val="%1.%2.%3.%4)"/>
      <w:lvlJc w:val="left"/>
      <w:pPr>
        <w:ind w:left="1134" w:hanging="1134"/>
      </w:pPr>
    </w:lvl>
    <w:lvl w:ilvl="4">
      <w:start w:val="1"/>
      <w:numFmt w:val="bullet"/>
      <w:lvlText w:val="●"/>
      <w:lvlJc w:val="left"/>
      <w:pPr>
        <w:ind w:left="1985" w:hanging="851"/>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5E37CE"/>
    <w:multiLevelType w:val="hybridMultilevel"/>
    <w:tmpl w:val="1E2015AE"/>
    <w:lvl w:ilvl="0" w:tplc="FBF8226E">
      <w:start w:val="3"/>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69CC7662"/>
    <w:multiLevelType w:val="multilevel"/>
    <w:tmpl w:val="B3C8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61C45"/>
    <w:multiLevelType w:val="multilevel"/>
    <w:tmpl w:val="6FFC8F78"/>
    <w:lvl w:ilvl="0">
      <w:start w:val="1"/>
      <w:numFmt w:val="upperLetter"/>
      <w:lvlText w:val="(%1)"/>
      <w:lvlJc w:val="left"/>
      <w:pPr>
        <w:ind w:left="720" w:firstLine="1800"/>
      </w:pPr>
      <w:rPr>
        <w:rFonts w:ascii="Times New Roman" w:eastAsia="Times New Roman" w:hAnsi="Times New Roman" w:cs="Times New Roman"/>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7" w15:restartNumberingAfterBreak="0">
    <w:nsid w:val="6D0C2F01"/>
    <w:multiLevelType w:val="multilevel"/>
    <w:tmpl w:val="88C8C936"/>
    <w:lvl w:ilvl="0">
      <w:start w:val="6"/>
      <w:numFmt w:val="decimal"/>
      <w:lvlText w:val="%1."/>
      <w:lvlJc w:val="left"/>
      <w:pPr>
        <w:ind w:left="1134" w:hanging="1134"/>
      </w:pPr>
      <w:rPr>
        <w:rFonts w:hint="default"/>
        <w:b/>
      </w:rPr>
    </w:lvl>
    <w:lvl w:ilvl="1">
      <w:start w:val="1"/>
      <w:numFmt w:val="decimal"/>
      <w:lvlText w:val="%1.%2."/>
      <w:lvlJc w:val="left"/>
      <w:pPr>
        <w:ind w:left="1134" w:hanging="1134"/>
      </w:pPr>
      <w:rPr>
        <w:rFonts w:hint="default"/>
        <w:b w:val="0"/>
        <w:u w:val="none"/>
      </w:rPr>
    </w:lvl>
    <w:lvl w:ilvl="2">
      <w:start w:val="8"/>
      <w:numFmt w:val="bullet"/>
      <w:lvlText w:val=""/>
      <w:lvlJc w:val="left"/>
      <w:pPr>
        <w:ind w:left="1134" w:hanging="1134"/>
      </w:pPr>
      <w:rPr>
        <w:rFonts w:ascii="Symbol" w:hAnsi="Symbol" w:hint="default"/>
        <w:b w:val="0"/>
      </w:rPr>
    </w:lvl>
    <w:lvl w:ilvl="3">
      <w:start w:val="3"/>
      <w:numFmt w:val="lowerLetter"/>
      <w:lvlText w:val="%1.%2.%3.%4)"/>
      <w:lvlJc w:val="left"/>
      <w:pPr>
        <w:ind w:left="1134" w:hanging="1134"/>
      </w:pPr>
      <w:rPr>
        <w:rFonts w:hint="default"/>
      </w:rPr>
    </w:lvl>
    <w:lvl w:ilvl="4">
      <w:start w:val="1"/>
      <w:numFmt w:val="bullet"/>
      <w:lvlText w:val="●"/>
      <w:lvlJc w:val="left"/>
      <w:pPr>
        <w:ind w:left="1985" w:hanging="851"/>
      </w:pPr>
      <w:rPr>
        <w:rFonts w:ascii="Noto Sans Symbols" w:eastAsia="Noto Sans Symbols" w:hAnsi="Noto Sans Symbols" w:cs="Noto Sans Symbol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8F53344"/>
    <w:multiLevelType w:val="multilevel"/>
    <w:tmpl w:val="F18AB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4C7EA1"/>
    <w:multiLevelType w:val="multilevel"/>
    <w:tmpl w:val="651C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22"/>
  </w:num>
  <w:num w:numId="4">
    <w:abstractNumId w:val="1"/>
  </w:num>
  <w:num w:numId="5">
    <w:abstractNumId w:val="9"/>
  </w:num>
  <w:num w:numId="6">
    <w:abstractNumId w:val="10"/>
  </w:num>
  <w:num w:numId="7">
    <w:abstractNumId w:val="25"/>
  </w:num>
  <w:num w:numId="8">
    <w:abstractNumId w:val="2"/>
  </w:num>
  <w:num w:numId="9">
    <w:abstractNumId w:val="21"/>
  </w:num>
  <w:num w:numId="10">
    <w:abstractNumId w:val="12"/>
  </w:num>
  <w:num w:numId="11">
    <w:abstractNumId w:val="7"/>
  </w:num>
  <w:num w:numId="12">
    <w:abstractNumId w:val="29"/>
  </w:num>
  <w:num w:numId="13">
    <w:abstractNumId w:val="28"/>
  </w:num>
  <w:num w:numId="14">
    <w:abstractNumId w:val="14"/>
  </w:num>
  <w:num w:numId="15">
    <w:abstractNumId w:val="23"/>
  </w:num>
  <w:num w:numId="16">
    <w:abstractNumId w:val="19"/>
  </w:num>
  <w:num w:numId="17">
    <w:abstractNumId w:val="3"/>
  </w:num>
  <w:num w:numId="18">
    <w:abstractNumId w:val="16"/>
  </w:num>
  <w:num w:numId="19">
    <w:abstractNumId w:val="27"/>
  </w:num>
  <w:num w:numId="20">
    <w:abstractNumId w:val="11"/>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4"/>
  </w:num>
  <w:num w:numId="28">
    <w:abstractNumId w:val="0"/>
  </w:num>
  <w:num w:numId="29">
    <w:abstractNumId w:val="13"/>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1A"/>
    <w:rsid w:val="000178E5"/>
    <w:rsid w:val="00044223"/>
    <w:rsid w:val="000548F2"/>
    <w:rsid w:val="00067498"/>
    <w:rsid w:val="00076A76"/>
    <w:rsid w:val="00081C31"/>
    <w:rsid w:val="00084CA4"/>
    <w:rsid w:val="00090CBF"/>
    <w:rsid w:val="00094BC4"/>
    <w:rsid w:val="000A06EB"/>
    <w:rsid w:val="000A162C"/>
    <w:rsid w:val="000A5269"/>
    <w:rsid w:val="000A546D"/>
    <w:rsid w:val="000A6028"/>
    <w:rsid w:val="000B0CA1"/>
    <w:rsid w:val="000C2466"/>
    <w:rsid w:val="000C24C3"/>
    <w:rsid w:val="000D4557"/>
    <w:rsid w:val="000D457A"/>
    <w:rsid w:val="000F1AA7"/>
    <w:rsid w:val="000F283B"/>
    <w:rsid w:val="000F514A"/>
    <w:rsid w:val="000F61E5"/>
    <w:rsid w:val="00102B89"/>
    <w:rsid w:val="00130B49"/>
    <w:rsid w:val="0015194C"/>
    <w:rsid w:val="00156C66"/>
    <w:rsid w:val="0016331F"/>
    <w:rsid w:val="001661C7"/>
    <w:rsid w:val="0016696C"/>
    <w:rsid w:val="00166CB0"/>
    <w:rsid w:val="00186ECB"/>
    <w:rsid w:val="0019174E"/>
    <w:rsid w:val="001A5199"/>
    <w:rsid w:val="001B0025"/>
    <w:rsid w:val="001B587A"/>
    <w:rsid w:val="001C2893"/>
    <w:rsid w:val="001C2FC0"/>
    <w:rsid w:val="001D4ADE"/>
    <w:rsid w:val="001D5802"/>
    <w:rsid w:val="001F0FA4"/>
    <w:rsid w:val="0020297E"/>
    <w:rsid w:val="002048A0"/>
    <w:rsid w:val="002201CD"/>
    <w:rsid w:val="0023612A"/>
    <w:rsid w:val="002459B0"/>
    <w:rsid w:val="0025123E"/>
    <w:rsid w:val="0025251C"/>
    <w:rsid w:val="002560ED"/>
    <w:rsid w:val="0025646B"/>
    <w:rsid w:val="00264DA2"/>
    <w:rsid w:val="00267F22"/>
    <w:rsid w:val="00270381"/>
    <w:rsid w:val="002764C8"/>
    <w:rsid w:val="00297DF7"/>
    <w:rsid w:val="002A1652"/>
    <w:rsid w:val="002A7ADE"/>
    <w:rsid w:val="002B0D23"/>
    <w:rsid w:val="002B118A"/>
    <w:rsid w:val="002B34C5"/>
    <w:rsid w:val="002C2821"/>
    <w:rsid w:val="002D4B86"/>
    <w:rsid w:val="002F2874"/>
    <w:rsid w:val="0030793E"/>
    <w:rsid w:val="0031073E"/>
    <w:rsid w:val="003130DF"/>
    <w:rsid w:val="00323F42"/>
    <w:rsid w:val="0033233A"/>
    <w:rsid w:val="00335391"/>
    <w:rsid w:val="00337323"/>
    <w:rsid w:val="003506EF"/>
    <w:rsid w:val="00352598"/>
    <w:rsid w:val="0036133B"/>
    <w:rsid w:val="00367BD5"/>
    <w:rsid w:val="003710D9"/>
    <w:rsid w:val="00375E78"/>
    <w:rsid w:val="00382719"/>
    <w:rsid w:val="00383501"/>
    <w:rsid w:val="003A38CD"/>
    <w:rsid w:val="003A6AB4"/>
    <w:rsid w:val="003B023B"/>
    <w:rsid w:val="003B70BC"/>
    <w:rsid w:val="003C5085"/>
    <w:rsid w:val="003D28C3"/>
    <w:rsid w:val="003D6090"/>
    <w:rsid w:val="003E0A0D"/>
    <w:rsid w:val="003F3DF4"/>
    <w:rsid w:val="00401343"/>
    <w:rsid w:val="00402CD3"/>
    <w:rsid w:val="00404BDD"/>
    <w:rsid w:val="00410E4D"/>
    <w:rsid w:val="00415AA7"/>
    <w:rsid w:val="00424634"/>
    <w:rsid w:val="004258C4"/>
    <w:rsid w:val="004329BA"/>
    <w:rsid w:val="00432D2C"/>
    <w:rsid w:val="00444F2C"/>
    <w:rsid w:val="00463A65"/>
    <w:rsid w:val="00470819"/>
    <w:rsid w:val="00472B03"/>
    <w:rsid w:val="00480AB7"/>
    <w:rsid w:val="0048462E"/>
    <w:rsid w:val="0048638A"/>
    <w:rsid w:val="00492223"/>
    <w:rsid w:val="00496AD8"/>
    <w:rsid w:val="00497DA5"/>
    <w:rsid w:val="004A1903"/>
    <w:rsid w:val="004C4C39"/>
    <w:rsid w:val="004D2A49"/>
    <w:rsid w:val="004D2BB0"/>
    <w:rsid w:val="004D4742"/>
    <w:rsid w:val="004D55E9"/>
    <w:rsid w:val="004D7FC2"/>
    <w:rsid w:val="004E5645"/>
    <w:rsid w:val="004F23E9"/>
    <w:rsid w:val="004F644C"/>
    <w:rsid w:val="00503193"/>
    <w:rsid w:val="00504689"/>
    <w:rsid w:val="00506727"/>
    <w:rsid w:val="005069AB"/>
    <w:rsid w:val="005113AC"/>
    <w:rsid w:val="0051482D"/>
    <w:rsid w:val="0051717B"/>
    <w:rsid w:val="00520F39"/>
    <w:rsid w:val="0054057E"/>
    <w:rsid w:val="00550797"/>
    <w:rsid w:val="005516F7"/>
    <w:rsid w:val="00555038"/>
    <w:rsid w:val="005579D0"/>
    <w:rsid w:val="005653F4"/>
    <w:rsid w:val="0056786C"/>
    <w:rsid w:val="00575C46"/>
    <w:rsid w:val="005767CD"/>
    <w:rsid w:val="00577D7E"/>
    <w:rsid w:val="00582483"/>
    <w:rsid w:val="00597306"/>
    <w:rsid w:val="005A1D7B"/>
    <w:rsid w:val="005B0D9D"/>
    <w:rsid w:val="005B690B"/>
    <w:rsid w:val="005C121A"/>
    <w:rsid w:val="005D3740"/>
    <w:rsid w:val="005D5206"/>
    <w:rsid w:val="005F035E"/>
    <w:rsid w:val="006022BE"/>
    <w:rsid w:val="00602306"/>
    <w:rsid w:val="006038E9"/>
    <w:rsid w:val="006066C2"/>
    <w:rsid w:val="00626A75"/>
    <w:rsid w:val="006346E6"/>
    <w:rsid w:val="00640D23"/>
    <w:rsid w:val="006470E0"/>
    <w:rsid w:val="00647B1B"/>
    <w:rsid w:val="00654250"/>
    <w:rsid w:val="00664C55"/>
    <w:rsid w:val="0066651E"/>
    <w:rsid w:val="00670A57"/>
    <w:rsid w:val="00676D5D"/>
    <w:rsid w:val="00677F6A"/>
    <w:rsid w:val="006842BA"/>
    <w:rsid w:val="00685EC8"/>
    <w:rsid w:val="006B6390"/>
    <w:rsid w:val="006D4A7F"/>
    <w:rsid w:val="006D61A7"/>
    <w:rsid w:val="006E5956"/>
    <w:rsid w:val="00717B6D"/>
    <w:rsid w:val="0073617E"/>
    <w:rsid w:val="007361C3"/>
    <w:rsid w:val="00742B98"/>
    <w:rsid w:val="007527C1"/>
    <w:rsid w:val="00770D71"/>
    <w:rsid w:val="00782B16"/>
    <w:rsid w:val="00782C42"/>
    <w:rsid w:val="00783850"/>
    <w:rsid w:val="00787396"/>
    <w:rsid w:val="00791CFA"/>
    <w:rsid w:val="007B3D21"/>
    <w:rsid w:val="007B4BA8"/>
    <w:rsid w:val="007D2783"/>
    <w:rsid w:val="007E337E"/>
    <w:rsid w:val="007E425E"/>
    <w:rsid w:val="007E6705"/>
    <w:rsid w:val="007F509F"/>
    <w:rsid w:val="00811871"/>
    <w:rsid w:val="00815E62"/>
    <w:rsid w:val="00824A64"/>
    <w:rsid w:val="00830D66"/>
    <w:rsid w:val="00841918"/>
    <w:rsid w:val="00842D4A"/>
    <w:rsid w:val="00842EEC"/>
    <w:rsid w:val="00851027"/>
    <w:rsid w:val="00854DC5"/>
    <w:rsid w:val="008577C5"/>
    <w:rsid w:val="00863EC1"/>
    <w:rsid w:val="0086631A"/>
    <w:rsid w:val="00873867"/>
    <w:rsid w:val="00884C90"/>
    <w:rsid w:val="00891C78"/>
    <w:rsid w:val="008A5FB3"/>
    <w:rsid w:val="008B23F6"/>
    <w:rsid w:val="008D01FC"/>
    <w:rsid w:val="008D32B8"/>
    <w:rsid w:val="008E0C7C"/>
    <w:rsid w:val="008F0EDD"/>
    <w:rsid w:val="008F10CA"/>
    <w:rsid w:val="008F72F7"/>
    <w:rsid w:val="00915005"/>
    <w:rsid w:val="009233C6"/>
    <w:rsid w:val="00927435"/>
    <w:rsid w:val="00942B6D"/>
    <w:rsid w:val="00961C30"/>
    <w:rsid w:val="0096652C"/>
    <w:rsid w:val="0097233C"/>
    <w:rsid w:val="00980091"/>
    <w:rsid w:val="009A2B9E"/>
    <w:rsid w:val="009B7C18"/>
    <w:rsid w:val="009C35A7"/>
    <w:rsid w:val="009D0B1C"/>
    <w:rsid w:val="009E22A2"/>
    <w:rsid w:val="009F1C22"/>
    <w:rsid w:val="00A02E95"/>
    <w:rsid w:val="00A26AF2"/>
    <w:rsid w:val="00A41FE0"/>
    <w:rsid w:val="00A46ADC"/>
    <w:rsid w:val="00A4792A"/>
    <w:rsid w:val="00A63186"/>
    <w:rsid w:val="00A76B5B"/>
    <w:rsid w:val="00A81870"/>
    <w:rsid w:val="00A93ABB"/>
    <w:rsid w:val="00A94431"/>
    <w:rsid w:val="00AA22E4"/>
    <w:rsid w:val="00AB5FB4"/>
    <w:rsid w:val="00AB7D4F"/>
    <w:rsid w:val="00AC01A6"/>
    <w:rsid w:val="00AC2FB4"/>
    <w:rsid w:val="00AC6E17"/>
    <w:rsid w:val="00AD6653"/>
    <w:rsid w:val="00AE096A"/>
    <w:rsid w:val="00B017C3"/>
    <w:rsid w:val="00B06913"/>
    <w:rsid w:val="00B23B99"/>
    <w:rsid w:val="00B24674"/>
    <w:rsid w:val="00B30AFE"/>
    <w:rsid w:val="00B35C98"/>
    <w:rsid w:val="00B43BB1"/>
    <w:rsid w:val="00B56FC3"/>
    <w:rsid w:val="00B64B5D"/>
    <w:rsid w:val="00B7072B"/>
    <w:rsid w:val="00B71A85"/>
    <w:rsid w:val="00B901A8"/>
    <w:rsid w:val="00B91C99"/>
    <w:rsid w:val="00B94C3C"/>
    <w:rsid w:val="00BA3491"/>
    <w:rsid w:val="00BA4DF0"/>
    <w:rsid w:val="00BB17EA"/>
    <w:rsid w:val="00BC5DC9"/>
    <w:rsid w:val="00BC63FB"/>
    <w:rsid w:val="00BD7905"/>
    <w:rsid w:val="00BF22A7"/>
    <w:rsid w:val="00BF2792"/>
    <w:rsid w:val="00BF46D7"/>
    <w:rsid w:val="00C047AA"/>
    <w:rsid w:val="00C10B30"/>
    <w:rsid w:val="00C16522"/>
    <w:rsid w:val="00C25D45"/>
    <w:rsid w:val="00C268FF"/>
    <w:rsid w:val="00C31F28"/>
    <w:rsid w:val="00C365A7"/>
    <w:rsid w:val="00C4653A"/>
    <w:rsid w:val="00C46F4A"/>
    <w:rsid w:val="00C52054"/>
    <w:rsid w:val="00C52B83"/>
    <w:rsid w:val="00C5575C"/>
    <w:rsid w:val="00C55D4D"/>
    <w:rsid w:val="00C61AB8"/>
    <w:rsid w:val="00C63362"/>
    <w:rsid w:val="00C63FEC"/>
    <w:rsid w:val="00C647D0"/>
    <w:rsid w:val="00C7008A"/>
    <w:rsid w:val="00C709B4"/>
    <w:rsid w:val="00C71527"/>
    <w:rsid w:val="00C75DA2"/>
    <w:rsid w:val="00C802F5"/>
    <w:rsid w:val="00C81514"/>
    <w:rsid w:val="00C84144"/>
    <w:rsid w:val="00C931B3"/>
    <w:rsid w:val="00C93544"/>
    <w:rsid w:val="00CB0022"/>
    <w:rsid w:val="00CC3FFD"/>
    <w:rsid w:val="00CC64BD"/>
    <w:rsid w:val="00CE1115"/>
    <w:rsid w:val="00CE2E13"/>
    <w:rsid w:val="00CF3FA5"/>
    <w:rsid w:val="00D12233"/>
    <w:rsid w:val="00D123E0"/>
    <w:rsid w:val="00D15AB2"/>
    <w:rsid w:val="00D17BCA"/>
    <w:rsid w:val="00D35772"/>
    <w:rsid w:val="00D53E2C"/>
    <w:rsid w:val="00D56587"/>
    <w:rsid w:val="00D60302"/>
    <w:rsid w:val="00D64295"/>
    <w:rsid w:val="00D64CAD"/>
    <w:rsid w:val="00D713E8"/>
    <w:rsid w:val="00D731CF"/>
    <w:rsid w:val="00D7539C"/>
    <w:rsid w:val="00D75D51"/>
    <w:rsid w:val="00D96907"/>
    <w:rsid w:val="00DA0812"/>
    <w:rsid w:val="00DA1873"/>
    <w:rsid w:val="00DC0068"/>
    <w:rsid w:val="00DC2C68"/>
    <w:rsid w:val="00DC7207"/>
    <w:rsid w:val="00DD2B79"/>
    <w:rsid w:val="00DD2D49"/>
    <w:rsid w:val="00DE57F5"/>
    <w:rsid w:val="00DE6078"/>
    <w:rsid w:val="00DE6EC7"/>
    <w:rsid w:val="00DF627C"/>
    <w:rsid w:val="00E04EED"/>
    <w:rsid w:val="00E069C5"/>
    <w:rsid w:val="00E23B85"/>
    <w:rsid w:val="00E23BAC"/>
    <w:rsid w:val="00E3074E"/>
    <w:rsid w:val="00E31051"/>
    <w:rsid w:val="00E45E8B"/>
    <w:rsid w:val="00E524A9"/>
    <w:rsid w:val="00E64904"/>
    <w:rsid w:val="00E9064C"/>
    <w:rsid w:val="00E94207"/>
    <w:rsid w:val="00E94ED2"/>
    <w:rsid w:val="00EB6A33"/>
    <w:rsid w:val="00EB7E14"/>
    <w:rsid w:val="00EC0C22"/>
    <w:rsid w:val="00EC1211"/>
    <w:rsid w:val="00EC6B81"/>
    <w:rsid w:val="00ED0662"/>
    <w:rsid w:val="00ED1020"/>
    <w:rsid w:val="00ED76DE"/>
    <w:rsid w:val="00EE1A9C"/>
    <w:rsid w:val="00EE3475"/>
    <w:rsid w:val="00EE5175"/>
    <w:rsid w:val="00EF04AB"/>
    <w:rsid w:val="00EF0586"/>
    <w:rsid w:val="00EF5C41"/>
    <w:rsid w:val="00EF7AF9"/>
    <w:rsid w:val="00F003E2"/>
    <w:rsid w:val="00F0224A"/>
    <w:rsid w:val="00F118BA"/>
    <w:rsid w:val="00F11FB0"/>
    <w:rsid w:val="00F15937"/>
    <w:rsid w:val="00F16E54"/>
    <w:rsid w:val="00F26D62"/>
    <w:rsid w:val="00F40520"/>
    <w:rsid w:val="00F47F67"/>
    <w:rsid w:val="00F6302B"/>
    <w:rsid w:val="00F83EF5"/>
    <w:rsid w:val="00F933FC"/>
    <w:rsid w:val="00FA24A8"/>
    <w:rsid w:val="00FA6FB8"/>
    <w:rsid w:val="00FA771B"/>
    <w:rsid w:val="00FB14DA"/>
    <w:rsid w:val="00FB175E"/>
    <w:rsid w:val="00FB2CB9"/>
    <w:rsid w:val="00FB5B23"/>
    <w:rsid w:val="00FB6F20"/>
    <w:rsid w:val="00FC265F"/>
    <w:rsid w:val="00FC3549"/>
    <w:rsid w:val="00FD07F2"/>
    <w:rsid w:val="00FD36FF"/>
    <w:rsid w:val="00FD7AC4"/>
    <w:rsid w:val="00FE01F2"/>
    <w:rsid w:val="00FF0D51"/>
    <w:rsid w:val="00FF0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587F"/>
  <w15:docId w15:val="{2D193387-0173-4640-9BFD-5EC41EC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cs-CZ" w:eastAsia="cs-CZ"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C6E17"/>
  </w:style>
  <w:style w:type="paragraph" w:styleId="Nadpis1">
    <w:name w:val="heading 1"/>
    <w:basedOn w:val="Normln"/>
    <w:next w:val="Normln"/>
    <w:rsid w:val="00AC6E17"/>
    <w:pPr>
      <w:keepNext/>
      <w:keepLines/>
      <w:spacing w:before="480" w:after="120"/>
      <w:outlineLvl w:val="0"/>
    </w:pPr>
    <w:rPr>
      <w:b/>
      <w:sz w:val="48"/>
      <w:szCs w:val="48"/>
    </w:rPr>
  </w:style>
  <w:style w:type="paragraph" w:styleId="Nadpis2">
    <w:name w:val="heading 2"/>
    <w:basedOn w:val="Normln"/>
    <w:next w:val="Normln"/>
    <w:rsid w:val="00AC6E17"/>
    <w:pPr>
      <w:keepNext/>
      <w:keepLines/>
      <w:spacing w:before="360" w:after="80"/>
      <w:outlineLvl w:val="1"/>
    </w:pPr>
    <w:rPr>
      <w:b/>
      <w:sz w:val="36"/>
      <w:szCs w:val="36"/>
    </w:rPr>
  </w:style>
  <w:style w:type="paragraph" w:styleId="Nadpis3">
    <w:name w:val="heading 3"/>
    <w:basedOn w:val="Normln"/>
    <w:next w:val="Normln"/>
    <w:rsid w:val="00AC6E17"/>
    <w:pPr>
      <w:keepNext/>
      <w:keepLines/>
      <w:spacing w:before="280" w:after="80"/>
      <w:outlineLvl w:val="2"/>
    </w:pPr>
    <w:rPr>
      <w:b/>
      <w:sz w:val="28"/>
      <w:szCs w:val="28"/>
    </w:rPr>
  </w:style>
  <w:style w:type="paragraph" w:styleId="Nadpis4">
    <w:name w:val="heading 4"/>
    <w:basedOn w:val="Normln"/>
    <w:next w:val="Normln"/>
    <w:rsid w:val="00AC6E17"/>
    <w:pPr>
      <w:keepNext/>
      <w:keepLines/>
      <w:spacing w:before="240" w:after="40"/>
      <w:outlineLvl w:val="3"/>
    </w:pPr>
    <w:rPr>
      <w:b/>
      <w:sz w:val="24"/>
      <w:szCs w:val="24"/>
    </w:rPr>
  </w:style>
  <w:style w:type="paragraph" w:styleId="Nadpis5">
    <w:name w:val="heading 5"/>
    <w:basedOn w:val="Normln"/>
    <w:next w:val="Normln"/>
    <w:rsid w:val="00AC6E17"/>
    <w:pPr>
      <w:keepNext/>
      <w:keepLines/>
      <w:spacing w:before="220" w:after="40"/>
      <w:outlineLvl w:val="4"/>
    </w:pPr>
    <w:rPr>
      <w:b/>
    </w:rPr>
  </w:style>
  <w:style w:type="paragraph" w:styleId="Nadpis6">
    <w:name w:val="heading 6"/>
    <w:basedOn w:val="Normln"/>
    <w:next w:val="Normln"/>
    <w:rsid w:val="00AC6E17"/>
    <w:pPr>
      <w:keepNext/>
      <w:keepLines/>
      <w:spacing w:before="200" w:after="40"/>
      <w:outlineLvl w:val="5"/>
    </w:pPr>
    <w:rPr>
      <w:b/>
      <w:sz w:val="20"/>
      <w:szCs w:val="20"/>
    </w:rPr>
  </w:style>
  <w:style w:type="paragraph" w:styleId="Nadpis7">
    <w:name w:val="heading 7"/>
    <w:basedOn w:val="Normln"/>
    <w:next w:val="Normln"/>
    <w:link w:val="Nadpis7Char"/>
    <w:uiPriority w:val="9"/>
    <w:unhideWhenUsed/>
    <w:qFormat/>
    <w:rsid w:val="00166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AC6E17"/>
    <w:tblPr>
      <w:tblCellMar>
        <w:top w:w="0" w:type="dxa"/>
        <w:left w:w="0" w:type="dxa"/>
        <w:bottom w:w="0" w:type="dxa"/>
        <w:right w:w="0" w:type="dxa"/>
      </w:tblCellMar>
    </w:tblPr>
  </w:style>
  <w:style w:type="paragraph" w:styleId="Nzev">
    <w:name w:val="Title"/>
    <w:basedOn w:val="Normln"/>
    <w:next w:val="Normln"/>
    <w:rsid w:val="00AC6E17"/>
    <w:pPr>
      <w:keepNext/>
      <w:keepLines/>
      <w:spacing w:before="480" w:after="120"/>
    </w:pPr>
    <w:rPr>
      <w:b/>
      <w:sz w:val="72"/>
      <w:szCs w:val="72"/>
    </w:rPr>
  </w:style>
  <w:style w:type="paragraph" w:styleId="Podnadpis">
    <w:name w:val="Subtitle"/>
    <w:basedOn w:val="Normln"/>
    <w:next w:val="Normln"/>
    <w:rsid w:val="00AC6E17"/>
    <w:pPr>
      <w:keepNext/>
      <w:keepLines/>
      <w:spacing w:before="360" w:after="80"/>
    </w:pPr>
    <w:rPr>
      <w:rFonts w:ascii="Georgia" w:eastAsia="Georgia" w:hAnsi="Georgia" w:cs="Georgia"/>
      <w:i/>
      <w:color w:val="666666"/>
      <w:sz w:val="48"/>
      <w:szCs w:val="48"/>
    </w:rPr>
  </w:style>
  <w:style w:type="table" w:customStyle="1" w:styleId="2">
    <w:name w:val="2"/>
    <w:basedOn w:val="TableNormal"/>
    <w:rsid w:val="00AC6E17"/>
    <w:tblPr>
      <w:tblStyleRowBandSize w:val="1"/>
      <w:tblStyleColBandSize w:val="1"/>
      <w:tblCellMar>
        <w:left w:w="115" w:type="dxa"/>
        <w:right w:w="115" w:type="dxa"/>
      </w:tblCellMar>
    </w:tblPr>
  </w:style>
  <w:style w:type="table" w:customStyle="1" w:styleId="1">
    <w:name w:val="1"/>
    <w:basedOn w:val="TableNormal"/>
    <w:rsid w:val="00AC6E17"/>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AC6E17"/>
    <w:pPr>
      <w:spacing w:line="240" w:lineRule="auto"/>
    </w:pPr>
    <w:rPr>
      <w:sz w:val="20"/>
      <w:szCs w:val="20"/>
    </w:rPr>
  </w:style>
  <w:style w:type="character" w:customStyle="1" w:styleId="TextkomenteChar">
    <w:name w:val="Text komentáře Char"/>
    <w:basedOn w:val="Standardnpsmoodstavce"/>
    <w:link w:val="Textkomente"/>
    <w:uiPriority w:val="99"/>
    <w:rsid w:val="00AC6E17"/>
    <w:rPr>
      <w:sz w:val="20"/>
      <w:szCs w:val="20"/>
    </w:rPr>
  </w:style>
  <w:style w:type="character" w:styleId="Odkaznakoment">
    <w:name w:val="annotation reference"/>
    <w:basedOn w:val="Standardnpsmoodstavce"/>
    <w:uiPriority w:val="99"/>
    <w:semiHidden/>
    <w:unhideWhenUsed/>
    <w:rsid w:val="00AC6E17"/>
    <w:rPr>
      <w:sz w:val="16"/>
      <w:szCs w:val="16"/>
    </w:rPr>
  </w:style>
  <w:style w:type="paragraph" w:styleId="Textbubliny">
    <w:name w:val="Balloon Text"/>
    <w:basedOn w:val="Normln"/>
    <w:link w:val="TextbublinyChar"/>
    <w:uiPriority w:val="99"/>
    <w:semiHidden/>
    <w:unhideWhenUsed/>
    <w:rsid w:val="00BF46D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46D7"/>
    <w:rPr>
      <w:rFonts w:ascii="Segoe UI" w:hAnsi="Segoe UI" w:cs="Segoe UI"/>
      <w:sz w:val="18"/>
      <w:szCs w:val="18"/>
    </w:rPr>
  </w:style>
  <w:style w:type="paragraph" w:customStyle="1" w:styleId="Normln1">
    <w:name w:val="Normální1"/>
    <w:link w:val="Normln1Char"/>
    <w:qFormat/>
    <w:rsid w:val="00BF46D7"/>
    <w:pPr>
      <w:pBdr>
        <w:top w:val="none" w:sz="0" w:space="0" w:color="auto"/>
        <w:left w:val="none" w:sz="0" w:space="0" w:color="auto"/>
        <w:bottom w:val="none" w:sz="0" w:space="0" w:color="auto"/>
        <w:right w:val="none" w:sz="0" w:space="0" w:color="auto"/>
        <w:between w:val="none" w:sz="0" w:space="0" w:color="auto"/>
      </w:pBdr>
      <w:jc w:val="left"/>
    </w:pPr>
  </w:style>
  <w:style w:type="character" w:customStyle="1" w:styleId="Normln1Char">
    <w:name w:val="Normální1 Char"/>
    <w:basedOn w:val="Standardnpsmoodstavce"/>
    <w:link w:val="Normln1"/>
    <w:rsid w:val="00BF46D7"/>
    <w:rPr>
      <w:lang w:val="cs-CZ"/>
    </w:rPr>
  </w:style>
  <w:style w:type="paragraph" w:styleId="Odstavecseseznamem">
    <w:name w:val="List Paragraph"/>
    <w:basedOn w:val="Normln"/>
    <w:uiPriority w:val="99"/>
    <w:qFormat/>
    <w:rsid w:val="00BF46D7"/>
    <w:pPr>
      <w:pBdr>
        <w:top w:val="none" w:sz="0" w:space="0" w:color="auto"/>
        <w:left w:val="none" w:sz="0" w:space="0" w:color="auto"/>
        <w:bottom w:val="none" w:sz="0" w:space="0" w:color="auto"/>
        <w:right w:val="none" w:sz="0" w:space="0" w:color="auto"/>
        <w:between w:val="none" w:sz="0" w:space="0" w:color="auto"/>
      </w:pBdr>
      <w:ind w:left="720"/>
      <w:contextualSpacing/>
      <w:jc w:val="left"/>
    </w:pPr>
  </w:style>
  <w:style w:type="character" w:styleId="Hypertextovodkaz">
    <w:name w:val="Hyperlink"/>
    <w:basedOn w:val="Standardnpsmoodstavce"/>
    <w:uiPriority w:val="99"/>
    <w:unhideWhenUsed/>
    <w:rsid w:val="00BF46D7"/>
    <w:rPr>
      <w:color w:val="0000FF" w:themeColor="hyperlink"/>
      <w:u w:val="single"/>
    </w:rPr>
  </w:style>
  <w:style w:type="paragraph" w:customStyle="1" w:styleId="western">
    <w:name w:val="western"/>
    <w:basedOn w:val="Normln"/>
    <w:rsid w:val="00BF46D7"/>
    <w:pPr>
      <w:pBdr>
        <w:top w:val="none" w:sz="0" w:space="0" w:color="auto"/>
        <w:left w:val="none" w:sz="0" w:space="0" w:color="auto"/>
        <w:bottom w:val="none" w:sz="0" w:space="0" w:color="auto"/>
        <w:right w:val="none" w:sz="0" w:space="0" w:color="auto"/>
        <w:between w:val="none" w:sz="0" w:space="0" w:color="auto"/>
      </w:pBdr>
      <w:spacing w:before="100" w:beforeAutospacing="1" w:after="142" w:line="288" w:lineRule="auto"/>
      <w:jc w:val="left"/>
    </w:pPr>
    <w:rPr>
      <w:sz w:val="24"/>
      <w:szCs w:val="24"/>
    </w:rPr>
  </w:style>
  <w:style w:type="paragraph" w:styleId="Bezmezer">
    <w:name w:val="No Spacing"/>
    <w:uiPriority w:val="1"/>
    <w:qFormat/>
    <w:rsid w:val="00BF46D7"/>
    <w:pPr>
      <w:pBdr>
        <w:top w:val="none" w:sz="0" w:space="0" w:color="auto"/>
        <w:left w:val="none" w:sz="0" w:space="0" w:color="auto"/>
        <w:bottom w:val="none" w:sz="0" w:space="0" w:color="auto"/>
        <w:right w:val="none" w:sz="0" w:space="0" w:color="auto"/>
        <w:between w:val="none" w:sz="0" w:space="0" w:color="auto"/>
      </w:pBdr>
      <w:spacing w:line="240" w:lineRule="auto"/>
      <w:jc w:val="left"/>
    </w:pPr>
    <w:rPr>
      <w:rFonts w:asciiTheme="minorHAnsi" w:eastAsiaTheme="minorHAnsi" w:hAnsiTheme="minorHAnsi" w:cstheme="minorBidi"/>
      <w:color w:val="auto"/>
      <w:lang w:eastAsia="en-US"/>
    </w:rPr>
  </w:style>
  <w:style w:type="paragraph" w:styleId="Pedmtkomente">
    <w:name w:val="annotation subject"/>
    <w:basedOn w:val="Textkomente"/>
    <w:next w:val="Textkomente"/>
    <w:link w:val="PedmtkomenteChar"/>
    <w:uiPriority w:val="99"/>
    <w:semiHidden/>
    <w:unhideWhenUsed/>
    <w:rsid w:val="0015194C"/>
    <w:rPr>
      <w:b/>
      <w:bCs/>
    </w:rPr>
  </w:style>
  <w:style w:type="character" w:customStyle="1" w:styleId="PedmtkomenteChar">
    <w:name w:val="Předmět komentáře Char"/>
    <w:basedOn w:val="TextkomenteChar"/>
    <w:link w:val="Pedmtkomente"/>
    <w:uiPriority w:val="99"/>
    <w:semiHidden/>
    <w:rsid w:val="0015194C"/>
    <w:rPr>
      <w:b/>
      <w:bCs/>
      <w:sz w:val="20"/>
      <w:szCs w:val="20"/>
    </w:rPr>
  </w:style>
  <w:style w:type="paragraph" w:customStyle="1" w:styleId="Default">
    <w:name w:val="Default"/>
    <w:rsid w:val="002361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rPr>
      <w:rFonts w:ascii="Arial" w:hAnsi="Arial" w:cs="Arial"/>
      <w:sz w:val="24"/>
      <w:szCs w:val="24"/>
    </w:rPr>
  </w:style>
  <w:style w:type="character" w:customStyle="1" w:styleId="Nadpis7Char">
    <w:name w:val="Nadpis 7 Char"/>
    <w:basedOn w:val="Standardnpsmoodstavce"/>
    <w:link w:val="Nadpis7"/>
    <w:uiPriority w:val="9"/>
    <w:rsid w:val="00166CB0"/>
    <w:rPr>
      <w:rFonts w:asciiTheme="majorHAnsi" w:eastAsiaTheme="majorEastAsia" w:hAnsiTheme="majorHAnsi" w:cstheme="majorBidi"/>
      <w:i/>
      <w:iCs/>
      <w:color w:val="243F60" w:themeColor="accent1" w:themeShade="7F"/>
    </w:rPr>
  </w:style>
  <w:style w:type="character" w:styleId="Siln">
    <w:name w:val="Strong"/>
    <w:basedOn w:val="Standardnpsmoodstavce"/>
    <w:uiPriority w:val="22"/>
    <w:qFormat/>
    <w:rsid w:val="00166CB0"/>
    <w:rPr>
      <w:b/>
      <w:bCs/>
    </w:rPr>
  </w:style>
  <w:style w:type="paragraph" w:styleId="Zhlav">
    <w:name w:val="header"/>
    <w:basedOn w:val="Normln"/>
    <w:link w:val="ZhlavChar"/>
    <w:uiPriority w:val="99"/>
    <w:unhideWhenUsed/>
    <w:rsid w:val="005F035E"/>
    <w:pPr>
      <w:tabs>
        <w:tab w:val="center" w:pos="4536"/>
        <w:tab w:val="right" w:pos="9072"/>
      </w:tabs>
      <w:spacing w:line="240" w:lineRule="auto"/>
    </w:pPr>
  </w:style>
  <w:style w:type="character" w:customStyle="1" w:styleId="ZhlavChar">
    <w:name w:val="Záhlaví Char"/>
    <w:basedOn w:val="Standardnpsmoodstavce"/>
    <w:link w:val="Zhlav"/>
    <w:uiPriority w:val="99"/>
    <w:rsid w:val="005F035E"/>
  </w:style>
  <w:style w:type="paragraph" w:styleId="Zpat">
    <w:name w:val="footer"/>
    <w:basedOn w:val="Normln"/>
    <w:link w:val="ZpatChar"/>
    <w:uiPriority w:val="99"/>
    <w:unhideWhenUsed/>
    <w:rsid w:val="005F035E"/>
    <w:pPr>
      <w:tabs>
        <w:tab w:val="center" w:pos="4536"/>
        <w:tab w:val="right" w:pos="9072"/>
      </w:tabs>
      <w:spacing w:line="240" w:lineRule="auto"/>
    </w:pPr>
  </w:style>
  <w:style w:type="character" w:customStyle="1" w:styleId="ZpatChar">
    <w:name w:val="Zápatí Char"/>
    <w:basedOn w:val="Standardnpsmoodstavce"/>
    <w:link w:val="Zpat"/>
    <w:uiPriority w:val="99"/>
    <w:rsid w:val="005F035E"/>
  </w:style>
  <w:style w:type="paragraph" w:styleId="Revize">
    <w:name w:val="Revision"/>
    <w:hidden/>
    <w:uiPriority w:val="99"/>
    <w:semiHidden/>
    <w:rsid w:val="00FF0D51"/>
    <w:pPr>
      <w:pBdr>
        <w:top w:val="none" w:sz="0" w:space="0" w:color="auto"/>
        <w:left w:val="none" w:sz="0" w:space="0" w:color="auto"/>
        <w:bottom w:val="none" w:sz="0" w:space="0" w:color="auto"/>
        <w:right w:val="none" w:sz="0" w:space="0" w:color="auto"/>
        <w:between w:val="none" w:sz="0" w:space="0" w:color="auto"/>
      </w:pBdr>
      <w:spacing w:line="240" w:lineRule="auto"/>
      <w:jc w:val="left"/>
    </w:pPr>
  </w:style>
  <w:style w:type="paragraph" w:customStyle="1" w:styleId="TMslovanodstavec2rove">
    <w:name w:val="TM_Číslovaný_odstavec_2.úroveň"/>
    <w:basedOn w:val="Normln"/>
    <w:qFormat/>
    <w:rsid w:val="00A46ADC"/>
    <w:pPr>
      <w:numPr>
        <w:ilvl w:val="1"/>
        <w:numId w:val="21"/>
      </w:numPr>
      <w:pBdr>
        <w:top w:val="none" w:sz="0" w:space="0" w:color="auto"/>
        <w:left w:val="none" w:sz="0" w:space="0" w:color="auto"/>
        <w:bottom w:val="none" w:sz="0" w:space="0" w:color="auto"/>
        <w:right w:val="none" w:sz="0" w:space="0" w:color="auto"/>
        <w:between w:val="none" w:sz="0" w:space="0" w:color="auto"/>
      </w:pBdr>
      <w:spacing w:before="120" w:after="120" w:line="280" w:lineRule="exact"/>
      <w:ind w:right="142"/>
    </w:pPr>
    <w:rPr>
      <w:rFonts w:ascii="Arial" w:hAnsi="Arial"/>
      <w:color w:val="auto"/>
      <w:sz w:val="18"/>
      <w:szCs w:val="20"/>
    </w:rPr>
  </w:style>
  <w:style w:type="paragraph" w:customStyle="1" w:styleId="odstavec">
    <w:name w:val="odstavec"/>
    <w:basedOn w:val="Normln"/>
    <w:uiPriority w:val="99"/>
    <w:rsid w:val="00A46ADC"/>
    <w:pPr>
      <w:widowControl w:val="0"/>
      <w:pBdr>
        <w:top w:val="none" w:sz="0" w:space="0" w:color="auto"/>
        <w:left w:val="none" w:sz="0" w:space="0" w:color="auto"/>
        <w:bottom w:val="none" w:sz="0" w:space="0" w:color="auto"/>
        <w:right w:val="none" w:sz="0" w:space="0" w:color="auto"/>
        <w:between w:val="none" w:sz="0" w:space="0" w:color="auto"/>
      </w:pBdr>
      <w:tabs>
        <w:tab w:val="num" w:pos="1437"/>
      </w:tabs>
      <w:spacing w:before="120" w:line="240" w:lineRule="atLeast"/>
      <w:ind w:left="539"/>
    </w:pPr>
    <w:rPr>
      <w:rFonts w:ascii="Tahoma" w:hAnsi="Tahoma"/>
      <w:color w:val="auto"/>
      <w:sz w:val="20"/>
      <w:szCs w:val="20"/>
      <w:lang w:eastAsia="en-US"/>
    </w:rPr>
  </w:style>
  <w:style w:type="paragraph" w:customStyle="1" w:styleId="Smlouva2-bod">
    <w:name w:val="Smlouva 2 - bod"/>
    <w:basedOn w:val="Normln"/>
    <w:rsid w:val="005D5206"/>
    <w:pPr>
      <w:numPr>
        <w:ilvl w:val="1"/>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80" w:lineRule="atLeast"/>
    </w:pPr>
    <w:rPr>
      <w:color w:val="auto"/>
    </w:rPr>
  </w:style>
  <w:style w:type="paragraph" w:customStyle="1" w:styleId="Smlouva1-lnek">
    <w:name w:val="Smlouva 1 - článek"/>
    <w:basedOn w:val="Normln"/>
    <w:next w:val="Smlouva2-bod"/>
    <w:rsid w:val="005D5206"/>
    <w:pPr>
      <w:keepNext/>
      <w:numPr>
        <w:numId w:val="26"/>
      </w:numPr>
      <w:pBdr>
        <w:top w:val="none" w:sz="0" w:space="0" w:color="auto"/>
        <w:left w:val="none" w:sz="0" w:space="0" w:color="auto"/>
        <w:bottom w:val="none" w:sz="0" w:space="0" w:color="auto"/>
        <w:right w:val="none" w:sz="0" w:space="0" w:color="auto"/>
        <w:between w:val="none" w:sz="0" w:space="0" w:color="auto"/>
      </w:pBdr>
      <w:tabs>
        <w:tab w:val="clear" w:pos="3403"/>
        <w:tab w:val="num" w:pos="0"/>
      </w:tabs>
      <w:autoSpaceDE w:val="0"/>
      <w:autoSpaceDN w:val="0"/>
      <w:spacing w:before="500" w:after="60" w:line="240" w:lineRule="atLeast"/>
      <w:ind w:left="0"/>
      <w:jc w:val="left"/>
    </w:pPr>
    <w:rPr>
      <w:b/>
      <w:bCs/>
      <w:smallCaps/>
      <w:color w:val="auto"/>
      <w:sz w:val="28"/>
      <w:szCs w:val="28"/>
    </w:rPr>
  </w:style>
  <w:style w:type="paragraph" w:customStyle="1" w:styleId="Smlouva3-psmeno">
    <w:name w:val="Smlouva 3 - písmeno"/>
    <w:basedOn w:val="Normln"/>
    <w:rsid w:val="005D5206"/>
    <w:pPr>
      <w:numPr>
        <w:ilvl w:val="2"/>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before="120" w:line="28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967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4A62D-4D65-4CF5-958D-21C7A2FC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1631</Words>
  <Characters>9623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Veolia Voda a.s.</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eva.brixova</dc:creator>
  <cp:lastModifiedBy>Uživatel systému Windows</cp:lastModifiedBy>
  <cp:revision>2</cp:revision>
  <cp:lastPrinted>2018-06-01T07:22:00Z</cp:lastPrinted>
  <dcterms:created xsi:type="dcterms:W3CDTF">2020-03-06T11:45:00Z</dcterms:created>
  <dcterms:modified xsi:type="dcterms:W3CDTF">2020-03-06T11:45:00Z</dcterms:modified>
</cp:coreProperties>
</file>