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32"/>
          <w:szCs w:val="32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32"/>
          <w:szCs w:val="32"/>
          <w:lang w:eastAsia="cs-CZ"/>
        </w:rPr>
        <w:t>SMLOUVA O VÝPŮJČCE č. 01/2017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Nemocnice Na Homolce 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se sídlem: Roentgenova 37/2, 150 30 Praha 5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IČO: 00023884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DIČ: CZ00023884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zastoupená:  Dr. Ing. Ivanem Olivou,</w:t>
      </w:r>
      <w:r w:rsidRPr="0057635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ředitelem nemocnice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dále také jako „vypůjčitel“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a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Fresenius</w:t>
      </w:r>
      <w:proofErr w:type="spellEnd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Kabi</w:t>
      </w:r>
      <w:proofErr w:type="spellEnd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, s.r.o.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se sídlem: Želetavská 1525/1, Praha 4, 140 00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IČO: 25135228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DIČ: CZ25135228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zapsaná v obchodním rejstříku vedeném u Městského soudu v Praze, oddíl C, vložka 52618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zastoupená: Eva Vencovská, MBA - jednatelka společnosti 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dále také jako „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“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vypůjčitel a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společně označováni dále také jako „smluvní strany“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uzavírají dnešního dne, měsíce a roku v souladu s  § 2193 a násl. zákona č. 89/2012 Sb., občanský zákoník, ve znění pozdějších předpisů (dále také jako „občanský </w:t>
      </w:r>
      <w:proofErr w:type="gram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zákoník“)  následující</w:t>
      </w:r>
      <w:proofErr w:type="gramEnd"/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smlouvu o výpůjčce</w:t>
      </w: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(dále také jako „smlouva“)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I.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Předmět smlouvy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touto smlouvou přenechává vypůjčiteli níže v čl. II. vymezený předmět výpůjčky a zavazuje se vypůjčiteli umožnit jeho bezplatné dočasné užívání, a to v souladu a za podmínek v této smlouvě uvedených.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keepNext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II.</w:t>
      </w:r>
    </w:p>
    <w:p w:rsidR="00576356" w:rsidRPr="00576356" w:rsidRDefault="00576356" w:rsidP="00576356">
      <w:pPr>
        <w:keepNext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Předmět výpůjčky</w:t>
      </w:r>
    </w:p>
    <w:p w:rsidR="00576356" w:rsidRPr="00576356" w:rsidRDefault="00576356" w:rsidP="00576356">
      <w:pPr>
        <w:keepNext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Předmětem výpůjčky dle této smlouvy jsou následující nezuživatelné věci: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1 kus Link 6+ </w:t>
      </w: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Agilia</w:t>
      </w:r>
      <w:proofErr w:type="spellEnd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, 4 kusy </w:t>
      </w: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Injectomat</w:t>
      </w:r>
      <w:proofErr w:type="spellEnd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MC </w:t>
      </w: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Agilia</w:t>
      </w:r>
      <w:proofErr w:type="spellEnd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, 2 kusy </w:t>
      </w: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Volumat</w:t>
      </w:r>
      <w:proofErr w:type="spellEnd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MC </w:t>
      </w:r>
      <w:proofErr w:type="spellStart"/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Agilia</w:t>
      </w:r>
      <w:proofErr w:type="spellEnd"/>
    </w:p>
    <w:p w:rsidR="00576356" w:rsidRPr="00576356" w:rsidRDefault="00576356" w:rsidP="0057635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Cs/>
          <w:sz w:val="20"/>
          <w:szCs w:val="20"/>
          <w:lang w:eastAsia="cs-CZ"/>
        </w:rPr>
        <w:t>(dále také jako „předmět výpůjčky“)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Celková hodnota předmětu výpůjčky činí </w:t>
      </w:r>
      <w:r w:rsidRPr="00576356">
        <w:rPr>
          <w:rFonts w:ascii="Verdana" w:eastAsia="Times New Roman" w:hAnsi="Verdana" w:cs="Times New Roman"/>
          <w:b/>
          <w:sz w:val="20"/>
          <w:szCs w:val="20"/>
          <w:lang w:eastAsia="cs-CZ"/>
        </w:rPr>
        <w:t>204 000</w:t>
      </w: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,- Kč bez DPH.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lastRenderedPageBreak/>
        <w:t>III.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Účel výpůjčky a způsob užívání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bezplatně přenechává vypůjčiteli předmět výpůjčky k užívání následujícím způsobem: pro zajištění infuzní terapie na lůžka.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Vypůjčitel je oprávněn užívat předmět výpůjčky výlučně ke sjednanému účelu a v rozsahu a za podmínek dle odst. 1 tohoto čl. III. a není oprávněn předmět výpůjčky přenechat k užívání jiné osobě, zcizit jej, zatížit či s ním jakkoli nakládat. </w:t>
      </w:r>
    </w:p>
    <w:p w:rsidR="00576356" w:rsidRPr="00576356" w:rsidRDefault="00576356" w:rsidP="00576356">
      <w:pPr>
        <w:numPr>
          <w:ilvl w:val="0"/>
          <w:numId w:val="1"/>
        </w:numPr>
        <w:tabs>
          <w:tab w:val="left" w:pos="708"/>
        </w:tabs>
        <w:spacing w:before="240" w:after="0" w:line="240" w:lineRule="auto"/>
        <w:ind w:left="714" w:hanging="357"/>
        <w:jc w:val="both"/>
        <w:outlineLvl w:val="0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Pro případ porušení povinnosti vymezené v odst. 2 tohoto čl. III. je vypůjčitel povinen uhradit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smluvní pokutu ve výši aktuální hodnoty pumpy vzhledem k její životnosti za každé jednotlivé porušení takové povinnosti s tím, že ujednání o smluvní pokutě se nijak nedotýká nároku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půjčitele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na náhradu újmy v plné výši způsobené porušením povinnosti vypůjčitele zajištěné smluvní pokutou. Smluvní pokuta je splatná do 7 (slovy: sedmi) dnů ode dne doručení výzvy k její úhradě.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IV.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Doba výpůjčky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přenechává vypůjčiteli předmět výpůjčky bezplatně  na dobu určitou ode dne podpisu této smlouvy, tj. </w:t>
      </w:r>
      <w:proofErr w:type="gram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1.3.2017</w:t>
      </w:r>
      <w:proofErr w:type="gram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 30.4.2017. Vypůjčitel je povinen předmět výpůjčky po uplynutí sjednané doby výpůjčky vrátit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, pokud se smluvní strany nedohodnou jinak.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Vypůjčitel je povinen předmět výpůjčky vrátit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pokud jej nepotřebuje nebo po splnění účelu vymezeném v čl. III. této smlouvy. 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je oprávněn požadovat vrácení předmětu výpůjčky kdykoli v průběhu trvání této smlouvy, pokud jej vypůjčitel užívá v rozporu s touto smlouvou. 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je oprávněn se domáhat předčasného vrácení předmětu výpůjčky, pokud jej potřebuje nevyhnutelně dříve před skončením doby výpůjčky vymezené v odst. 1 tohoto čl. IV. z důvodu, který nemohl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při uzavření této smlouvy předvídat.</w:t>
      </w:r>
    </w:p>
    <w:p w:rsidR="00576356" w:rsidRPr="00576356" w:rsidRDefault="00576356" w:rsidP="00576356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V.</w:t>
      </w:r>
    </w:p>
    <w:p w:rsidR="00576356" w:rsidRPr="00576356" w:rsidRDefault="00576356" w:rsidP="00576356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Ostatní ujednání</w:t>
      </w:r>
    </w:p>
    <w:p w:rsidR="00576356" w:rsidRPr="00576356" w:rsidRDefault="00576356" w:rsidP="00576356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 okamžiku podpisu této smlouvy předává předmět výpůjčky vypůjčiteli, včetně návodu a související dokumentace týkající se užívání předmětu výpůjčky, které tvoří přílohu č. 1 této smlouvy a je její nedílnou součástí.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je povinen po dobu výpůjčky udržovat předmět výpůjčky ve stavu způsobilém k řádnému užívání. Obvyklé náklady spojené s užíváním předmětu výpůjčky nese vypůjčitel ze svého.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Předmět výpůjčky byl před předáním vypůjčiteli vyzkoušen a vypůjčitel byl poučen o tom, jak má předmět výpůjčky užívat.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Podpisem této smlouvy vypůjčitel potvrzuje převzetí předmětu výpůjčky, a to včetně prohlášení o shodě, návodu v českém jazyce a související dokumentace dle přílohy č. 1 této smlouvy. Vypůjčitel tímto prohlašuje, že byl před podpisem této smlouvy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půjčitelem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seznámen a poučen o pravidlech užívání předmětu výpůjčky. Vypůjčitel je povinen zajistit, aby každý, kdo bude předmět výpůjčky užívat, byl seznámen s návodem k jeho použití a související dokumentací a řídil se jím.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 xml:space="preserve">Vypůjčitel je povinen předmět výpůjčky chránit před poškozením, ztrátou nebo zničením. Po dobu výpůjčky předmětu výpůjčky odpovídá vypůjčitel za její veškerá poškození (i mechanická) příp. za její ztrátu či zničení a je povinen uhradit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škodu v plné výši, a to rovněž i v případě, kdy nebude předmět výpůjčky užíván v souladu s návodem nebo technickými podmínkami od výrobce a dojde k poškození nebo zničení či dalším škodám.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Vypůjčitel je povinen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bez zbytečného odkladu písemně oznámit, že došlo ke škodě na předmětu výpůjčky ve smyslu odst. 4 tohoto čl. V.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Vypůjčitel není oprávněn provádět jakékoliv změny na předmětu výpůjčky či jakékoli opravy či úpravy.</w:t>
      </w:r>
    </w:p>
    <w:p w:rsidR="00576356" w:rsidRPr="00576356" w:rsidRDefault="00576356" w:rsidP="00576356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bookmarkStart w:id="0" w:name="_GoBack"/>
      <w:bookmarkEnd w:id="0"/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se zavazuje zajistit na své náklady opravy a odbornou údržbu dle zákona č. 268/2014 Sb., předmětu výpůjčky včetně instruktáže pracovníků vypůjčitele.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VI.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Vrácení předmětu výpůjčky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Vypůjčitel je povinen předmět výpůjčky vrátit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nejpozději do konce doby sjednané v čl. IV. této smlouvy ve stavu, v jakém jej převzal od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půjčitele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, s přihlédnutím k obvyklému opotřebení. O vrácení předmětu výpůjčky bude mezi smluvními stranami sepsán předávací protokol, jehož vzor tvoří přílohu č. 2 této smlouvy a je její nedílnou součástí. </w:t>
      </w:r>
    </w:p>
    <w:p w:rsidR="00576356" w:rsidRPr="00576356" w:rsidRDefault="00576356" w:rsidP="00576356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Nebude-li předmět výpůjčky vrácen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ve sjednaném termínu v čl. IV. této smlouvy, je vypůjčitel povinen zaplatit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smluvní pokutu ve výši 0,1 % z hodnoty předmětu výpůjčky uvedené v čl. II. této smlouvy za každý den prodlení vypůjčitele se splněním této povinnosti, s tím, že ujednání o smluvní pokutě se nijak nedotýká nároku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půjčitele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na náhradu újmy v plné výši způsobené porušením povinnosti vypůjčitele zajištěné smluvní pokutou. Smluvní pokuta je splatná do 7 (slovy: sedmi) dnů ode dne doručení výzvy k její úhradě.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VII.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Závěrečná ustanovení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Smluvní vztahy touto smlouvou neupravené se řídí příslušnými ustanoveními občanského zákoníku.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Tato smlouva je vyhotovena ve dvou vyhotoveních, přičemž každá strana obdrží po jednom vyhotovení s platností originálu.</w:t>
      </w:r>
    </w:p>
    <w:p w:rsidR="00576356" w:rsidRPr="00576356" w:rsidRDefault="00576356" w:rsidP="00576356">
      <w:pPr>
        <w:spacing w:after="0" w:line="240" w:lineRule="auto"/>
        <w:ind w:left="735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Jakékoli změny či doplnění této smlouvy je možné činit výlučně v písemné formě, podepsané osobami oprávněnými jednat za smluvní strany. Za písemnou formu nebude pro tento účel považována výměna e-mailových či jiných elektronických zpráv.</w:t>
      </w:r>
    </w:p>
    <w:p w:rsidR="00576356" w:rsidRPr="00576356" w:rsidRDefault="00576356" w:rsidP="00576356">
      <w:pPr>
        <w:spacing w:after="0" w:line="240" w:lineRule="auto"/>
        <w:ind w:left="735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Dle ujednání smluvních stran, jakákoli škoda ve smyslu § 2951 občanského zákoníku vzniklá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v souvislosti s touto smlouvou bude </w:t>
      </w:r>
      <w:proofErr w:type="spell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půjčiteli</w:t>
      </w:r>
      <w:proofErr w:type="spell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uhrazena v penězích. 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Smluvní strany se dohodly na pravomoci soudů České republiky k projednání a rozhodnutí sporů a jiných právních věcí vyplývajících z právního vztahu touto smlouvou založeného, jakož i ze vztahů s tímto vztahem souvisejících.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Stane-li se jakékoliv ustanovení této smlouvy neplatné, neúčinné, případně nevynutitelné či stane-li se takovým v budoucnu, nedotkne se tato neplatnost, neúčinnost či nevynutitelnost ustanovení ostatních. Smluvní strany v takovém případě vyvinou veškeré úsilí proto, aby vadné ustanovení nahradily ustanovením bezvadným, které se svým obsahem a účelem vadnému ustanovení nejvíce přibližuje.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Práva a povinnosti vyplývající z této smlouvy či tuto smlouvu samotnou ve smyslu § 1895 a násl. občanského zákoníku nelze bez souhlasu druhé smluvní strany převést na třetí osobu. 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bookmarkStart w:id="1" w:name="ZN65"/>
      <w:bookmarkEnd w:id="1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Smluvní strany prohlašují, že si tuto smlouvu před podpisem přečetly, že byla uzavřena podle jejich pravé a svobodné vůle a na důkaz toho připojují své podpisy.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Tato smlouva nabývá platnosti a účinnosti dnem jejího podpisu oběma smluvními stranami.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Nedílnou součástí této smlouvy jsou její 2 přílohy: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- příloha č. 1 - návod a související dokumentace týkající se užívání předmětu výpůjčky</w:t>
      </w:r>
    </w:p>
    <w:p w:rsidR="00576356" w:rsidRPr="00576356" w:rsidRDefault="00576356" w:rsidP="00576356">
      <w:pPr>
        <w:spacing w:after="0" w:line="240" w:lineRule="auto"/>
        <w:ind w:left="735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- příloha č. 2 - vzor protokolu o vrácení předmětu výpůjčky</w:t>
      </w: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6356" w:rsidRPr="00576356" w:rsidTr="00EC77F5">
        <w:tc>
          <w:tcPr>
            <w:tcW w:w="4606" w:type="dxa"/>
          </w:tcPr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V Praze dne ……………………….</w:t>
            </w: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_________________________________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Fresenius</w:t>
            </w:r>
            <w:proofErr w:type="spellEnd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Kabi</w:t>
            </w:r>
            <w:proofErr w:type="spellEnd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, s.r.o.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Eva Vencovská, MBA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Jednatelka společnosti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576356">
              <w:rPr>
                <w:rFonts w:ascii="Verdana" w:eastAsia="Times New Roman" w:hAnsi="Verdana" w:cs="Times New Roman"/>
                <w:i/>
                <w:sz w:val="20"/>
                <w:szCs w:val="20"/>
                <w:lang w:eastAsia="cs-CZ"/>
              </w:rPr>
              <w:t>Půjčitel</w:t>
            </w:r>
            <w:proofErr w:type="spellEnd"/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V ……………………… dne …………………</w:t>
            </w:r>
            <w:proofErr w:type="gramStart"/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…....</w:t>
            </w:r>
            <w:proofErr w:type="gramEnd"/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_________________________________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…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576356">
              <w:rPr>
                <w:rFonts w:ascii="Verdana" w:eastAsia="Times New Roman" w:hAnsi="Verdana" w:cs="Times New Roman"/>
                <w:i/>
                <w:sz w:val="20"/>
                <w:szCs w:val="20"/>
                <w:lang w:eastAsia="cs-CZ"/>
              </w:rPr>
              <w:t>Výpůjčitel</w:t>
            </w:r>
            <w:proofErr w:type="spellEnd"/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</w:tbl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br w:type="page"/>
      </w: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lastRenderedPageBreak/>
        <w:t xml:space="preserve">SMLOUVA O VÝPŮJČCE č. </w:t>
      </w: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fldChar w:fldCharType="begin"/>
      </w: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instrText>MACROBUTTON NoMacro [---/----]</w:instrText>
      </w:r>
      <w:r w:rsidRPr="0057635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fldChar w:fldCharType="end"/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b/>
          <w:sz w:val="20"/>
          <w:szCs w:val="20"/>
          <w:lang w:eastAsia="cs-CZ"/>
        </w:rPr>
        <w:t>Příloha č. 2</w:t>
      </w:r>
    </w:p>
    <w:p w:rsidR="00576356" w:rsidRPr="00576356" w:rsidRDefault="00576356" w:rsidP="0057635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Vzor protokolu o vrácení předmětu výpůjčky: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3764"/>
        <w:gridCol w:w="196"/>
        <w:gridCol w:w="720"/>
      </w:tblGrid>
      <w:tr w:rsidR="00576356" w:rsidRPr="00576356" w:rsidTr="00EC77F5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ab/>
              <w:t xml:space="preserve">        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výrobní číslo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počet kusů</w:t>
            </w:r>
          </w:p>
        </w:tc>
      </w:tr>
      <w:tr w:rsidR="00576356" w:rsidRPr="00576356" w:rsidTr="00EC77F5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  <w:tr w:rsidR="00576356" w:rsidRPr="00576356" w:rsidTr="00EC77F5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  <w:tr w:rsidR="00576356" w:rsidRPr="00576356" w:rsidTr="00EC77F5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  <w:tr w:rsidR="00576356" w:rsidRPr="00576356" w:rsidTr="00EC77F5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56" w:rsidRPr="00576356" w:rsidRDefault="00576356" w:rsidP="005763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</w:tr>
    </w:tbl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Věc </w:t>
      </w:r>
      <w:proofErr w:type="gram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ad 1 ) – …</w:t>
      </w:r>
      <w:proofErr w:type="gram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) BYLA – NEBYLA vrácena VČAS (ve sjednaném termínu ke dni skončení výpůjčky).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Věc </w:t>
      </w:r>
      <w:proofErr w:type="gram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ad 1 ) – …</w:t>
      </w:r>
      <w:proofErr w:type="gram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) BYLA – NEBYLA vrácena BEZ ZÁVAD (uveďte stručně shledané závady)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…………………………………………………………………………………………………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…………………………………………………………………………………………………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Věc </w:t>
      </w:r>
      <w:proofErr w:type="gramStart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ad 1 ) – …</w:t>
      </w:r>
      <w:proofErr w:type="gramEnd"/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) BYLA – NEBYLA vrácena NEPOŠKOZENÁ (uveďte shledané poškození)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…………………………………………………………………………………………………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576356">
        <w:rPr>
          <w:rFonts w:ascii="Verdana" w:eastAsia="Times New Roman" w:hAnsi="Verdana" w:cs="Times New Roman"/>
          <w:sz w:val="20"/>
          <w:szCs w:val="20"/>
          <w:lang w:eastAsia="cs-CZ"/>
        </w:rPr>
        <w:t>…………………………………………………………………………………………………</w:t>
      </w: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6356" w:rsidRPr="00576356" w:rsidTr="00EC77F5">
        <w:tc>
          <w:tcPr>
            <w:tcW w:w="4606" w:type="dxa"/>
          </w:tcPr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V Praze dne ……………………….</w:t>
            </w: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_________________________________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Fresenius</w:t>
            </w:r>
            <w:proofErr w:type="spellEnd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Kabi</w:t>
            </w:r>
            <w:proofErr w:type="spellEnd"/>
            <w:r w:rsidRPr="005763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cs-CZ"/>
              </w:rPr>
              <w:t>, s.r.o.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Eva Vencovská, MBA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Jednatelka společnosti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576356">
              <w:rPr>
                <w:rFonts w:ascii="Verdana" w:eastAsia="Times New Roman" w:hAnsi="Verdana" w:cs="Times New Roman"/>
                <w:i/>
                <w:sz w:val="20"/>
                <w:szCs w:val="20"/>
                <w:lang w:eastAsia="cs-CZ"/>
              </w:rPr>
              <w:t>Půjčitel</w:t>
            </w:r>
            <w:proofErr w:type="spellEnd"/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V ………. </w:t>
            </w:r>
            <w:proofErr w:type="gramStart"/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dne</w:t>
            </w:r>
            <w:proofErr w:type="gramEnd"/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 xml:space="preserve"> ……………………..</w:t>
            </w: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</w:p>
          <w:p w:rsidR="00576356" w:rsidRPr="00576356" w:rsidRDefault="00576356" w:rsidP="005763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_________________________________</w:t>
            </w:r>
          </w:p>
          <w:p w:rsidR="00576356" w:rsidRPr="00576356" w:rsidRDefault="00576356" w:rsidP="005763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576356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…</w:t>
            </w:r>
          </w:p>
        </w:tc>
      </w:tr>
    </w:tbl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576356" w:rsidRPr="00576356" w:rsidRDefault="00576356" w:rsidP="0057635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AA01F9" w:rsidRDefault="00AA01F9"/>
    <w:sectPr w:rsidR="00AA01F9" w:rsidSect="00412F87">
      <w:headerReference w:type="even" r:id="rId5"/>
      <w:footerReference w:type="default" r:id="rId6"/>
      <w:headerReference w:type="first" r:id="rId7"/>
      <w:pgSz w:w="11906" w:h="16838" w:code="9"/>
      <w:pgMar w:top="1701" w:right="1298" w:bottom="1843" w:left="129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3B7" w:rsidRPr="00C503B7" w:rsidRDefault="00576356">
    <w:pPr>
      <w:pStyle w:val="Zpat"/>
      <w:jc w:val="right"/>
      <w:rPr>
        <w:sz w:val="20"/>
      </w:rPr>
    </w:pPr>
    <w:r w:rsidRPr="00C503B7">
      <w:rPr>
        <w:sz w:val="20"/>
      </w:rPr>
      <w:fldChar w:fldCharType="begin"/>
    </w:r>
    <w:r w:rsidRPr="00C503B7">
      <w:rPr>
        <w:sz w:val="20"/>
      </w:rPr>
      <w:instrText xml:space="preserve"> PAGE   \* MERGEFORMAT </w:instrText>
    </w:r>
    <w:r w:rsidRPr="00C503B7">
      <w:rPr>
        <w:sz w:val="20"/>
      </w:rPr>
      <w:fldChar w:fldCharType="separate"/>
    </w:r>
    <w:r>
      <w:rPr>
        <w:noProof/>
        <w:sz w:val="20"/>
      </w:rPr>
      <w:t>5</w:t>
    </w:r>
    <w:r w:rsidRPr="00C503B7">
      <w:rPr>
        <w:sz w:val="20"/>
      </w:rPr>
      <w:fldChar w:fldCharType="end"/>
    </w:r>
  </w:p>
  <w:p w:rsidR="00C503B7" w:rsidRDefault="00576356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605"/>
      <w:gridCol w:w="4605"/>
    </w:tblGrid>
    <w:tr w:rsidR="00412F87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b/>
              <w:sz w:val="20"/>
            </w:rPr>
          </w:pPr>
          <w:bookmarkStart w:id="2" w:name="OLE_LINK1"/>
          <w:bookmarkStart w:id="3" w:name="OLE_LINK2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A2F03F" wp14:editId="65E78D75">
                <wp:simplePos x="0" y="0"/>
                <wp:positionH relativeFrom="column">
                  <wp:posOffset>-1905</wp:posOffset>
                </wp:positionH>
                <wp:positionV relativeFrom="paragraph">
                  <wp:posOffset>-6350</wp:posOffset>
                </wp:positionV>
                <wp:extent cx="1924050" cy="828675"/>
                <wp:effectExtent l="0" t="0" r="0" b="9525"/>
                <wp:wrapNone/>
                <wp:docPr id="3" name="obrázek 3" descr="FK_Claim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K_Claim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5" w:type="dxa"/>
          <w:shd w:val="clear" w:color="auto" w:fill="auto"/>
        </w:tcPr>
        <w:p w:rsidR="00412F87" w:rsidRDefault="00576356" w:rsidP="00663E42">
          <w:pPr>
            <w:pStyle w:val="Zhlav"/>
            <w:tabs>
              <w:tab w:val="clear" w:pos="4536"/>
              <w:tab w:val="center" w:pos="9000"/>
            </w:tabs>
          </w:pP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b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b/>
              <w:sz w:val="20"/>
            </w:rPr>
          </w:pPr>
          <w:proofErr w:type="spellStart"/>
          <w:r w:rsidRPr="00663E42">
            <w:rPr>
              <w:rFonts w:ascii="Verdana" w:hAnsi="Verdana"/>
              <w:b/>
              <w:sz w:val="20"/>
            </w:rPr>
            <w:t>Fresenius</w:t>
          </w:r>
          <w:proofErr w:type="spellEnd"/>
          <w:r w:rsidRPr="00663E42">
            <w:rPr>
              <w:rFonts w:ascii="Verdana" w:hAnsi="Verdana"/>
              <w:b/>
              <w:sz w:val="20"/>
            </w:rPr>
            <w:t xml:space="preserve"> </w:t>
          </w:r>
          <w:proofErr w:type="spellStart"/>
          <w:r w:rsidRPr="00663E42">
            <w:rPr>
              <w:rFonts w:ascii="Verdana" w:hAnsi="Verdana"/>
              <w:b/>
              <w:sz w:val="20"/>
            </w:rPr>
            <w:t>Kabi</w:t>
          </w:r>
          <w:proofErr w:type="spellEnd"/>
          <w:r w:rsidRPr="00663E42">
            <w:rPr>
              <w:rFonts w:ascii="Verdana" w:hAnsi="Verdana"/>
              <w:b/>
              <w:sz w:val="20"/>
            </w:rPr>
            <w:t xml:space="preserve"> s.r.o.</w:t>
          </w: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sz w:val="20"/>
            </w:rPr>
          </w:pPr>
          <w:r w:rsidRPr="00663E42">
            <w:rPr>
              <w:rFonts w:ascii="Verdana" w:hAnsi="Verdana"/>
              <w:sz w:val="20"/>
            </w:rPr>
            <w:t>Plzeňská 3217/16, Praha 5 – Smíchov</w:t>
          </w: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sz w:val="20"/>
            </w:rPr>
          </w:pP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sz w:val="20"/>
            </w:rPr>
          </w:pPr>
          <w:r w:rsidRPr="00663E42">
            <w:rPr>
              <w:rFonts w:ascii="Verdana" w:hAnsi="Verdana"/>
              <w:sz w:val="20"/>
            </w:rPr>
            <w:t xml:space="preserve">IČ: </w:t>
          </w:r>
          <w:proofErr w:type="gramStart"/>
          <w:r w:rsidRPr="00663E42">
            <w:rPr>
              <w:rFonts w:ascii="Verdana" w:hAnsi="Verdana"/>
              <w:sz w:val="20"/>
            </w:rPr>
            <w:t>25135228  DIČ</w:t>
          </w:r>
          <w:proofErr w:type="gramEnd"/>
          <w:r w:rsidRPr="00663E42">
            <w:rPr>
              <w:rFonts w:ascii="Verdana" w:hAnsi="Verdana"/>
              <w:sz w:val="20"/>
            </w:rPr>
            <w:t>: CZ25135228</w:t>
          </w:r>
        </w:p>
      </w:tc>
    </w:tr>
    <w:bookmarkEnd w:id="2"/>
    <w:bookmarkEnd w:id="3"/>
  </w:tbl>
  <w:p w:rsidR="00412F87" w:rsidRDefault="00576356" w:rsidP="00412F87">
    <w:pPr>
      <w:pStyle w:val="Zhlav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605"/>
      <w:gridCol w:w="4605"/>
    </w:tblGrid>
    <w:tr w:rsidR="00412F87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F2AA2E8" wp14:editId="21B8A395">
                <wp:simplePos x="0" y="0"/>
                <wp:positionH relativeFrom="column">
                  <wp:posOffset>-1905</wp:posOffset>
                </wp:positionH>
                <wp:positionV relativeFrom="paragraph">
                  <wp:posOffset>-6350</wp:posOffset>
                </wp:positionV>
                <wp:extent cx="1924050" cy="828675"/>
                <wp:effectExtent l="0" t="0" r="0" b="9525"/>
                <wp:wrapNone/>
                <wp:docPr id="4" name="obrázek 4" descr="FK_Claim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K_Claim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5" w:type="dxa"/>
          <w:shd w:val="clear" w:color="auto" w:fill="auto"/>
        </w:tcPr>
        <w:p w:rsidR="00412F87" w:rsidRDefault="00576356" w:rsidP="00663E42">
          <w:pPr>
            <w:pStyle w:val="Zhlav"/>
            <w:tabs>
              <w:tab w:val="clear" w:pos="4536"/>
              <w:tab w:val="center" w:pos="9000"/>
            </w:tabs>
          </w:pP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b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b/>
              <w:sz w:val="20"/>
            </w:rPr>
          </w:pPr>
          <w:proofErr w:type="spellStart"/>
          <w:r w:rsidRPr="00663E42">
            <w:rPr>
              <w:rFonts w:ascii="Verdana" w:hAnsi="Verdana"/>
              <w:b/>
              <w:sz w:val="20"/>
            </w:rPr>
            <w:t>Fresenius</w:t>
          </w:r>
          <w:proofErr w:type="spellEnd"/>
          <w:r w:rsidRPr="00663E42">
            <w:rPr>
              <w:rFonts w:ascii="Verdana" w:hAnsi="Verdana"/>
              <w:b/>
              <w:sz w:val="20"/>
            </w:rPr>
            <w:t xml:space="preserve"> </w:t>
          </w:r>
          <w:proofErr w:type="spellStart"/>
          <w:r w:rsidRPr="00663E42">
            <w:rPr>
              <w:rFonts w:ascii="Verdana" w:hAnsi="Verdana"/>
              <w:b/>
              <w:sz w:val="20"/>
            </w:rPr>
            <w:t>Kabi</w:t>
          </w:r>
          <w:proofErr w:type="spellEnd"/>
          <w:r w:rsidRPr="00663E42">
            <w:rPr>
              <w:rFonts w:ascii="Verdana" w:hAnsi="Verdana"/>
              <w:b/>
              <w:sz w:val="20"/>
            </w:rPr>
            <w:t xml:space="preserve"> s.r.o.</w:t>
          </w: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enter" w:pos="9000"/>
            </w:tabs>
            <w:jc w:val="right"/>
            <w:rPr>
              <w:rFonts w:ascii="Verdana" w:hAnsi="Verdana"/>
              <w:sz w:val="20"/>
            </w:rPr>
          </w:pPr>
          <w:r w:rsidRPr="00663E42">
            <w:rPr>
              <w:rFonts w:ascii="Verdana" w:hAnsi="Verdana"/>
              <w:sz w:val="20"/>
            </w:rPr>
            <w:t xml:space="preserve">Želetavská 1525/1, </w:t>
          </w:r>
          <w:proofErr w:type="gramStart"/>
          <w:r w:rsidRPr="00663E42">
            <w:rPr>
              <w:rFonts w:ascii="Verdana" w:hAnsi="Verdana"/>
              <w:sz w:val="20"/>
            </w:rPr>
            <w:t>140 00  Praha</w:t>
          </w:r>
          <w:proofErr w:type="gramEnd"/>
          <w:r w:rsidRPr="00663E42">
            <w:rPr>
              <w:rFonts w:ascii="Verdana" w:hAnsi="Verdana"/>
              <w:sz w:val="20"/>
            </w:rPr>
            <w:t xml:space="preserve"> 4</w:t>
          </w: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sz w:val="20"/>
            </w:rPr>
          </w:pPr>
        </w:p>
      </w:tc>
    </w:tr>
    <w:tr w:rsidR="00412F87" w:rsidRPr="00663E42" w:rsidTr="00663E42"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rPr>
              <w:rFonts w:ascii="Verdana" w:hAnsi="Verdana"/>
              <w:sz w:val="20"/>
            </w:rPr>
          </w:pPr>
        </w:p>
      </w:tc>
      <w:tc>
        <w:tcPr>
          <w:tcW w:w="4605" w:type="dxa"/>
          <w:shd w:val="clear" w:color="auto" w:fill="auto"/>
        </w:tcPr>
        <w:p w:rsidR="00412F87" w:rsidRPr="00663E42" w:rsidRDefault="00576356" w:rsidP="00663E42">
          <w:pPr>
            <w:pStyle w:val="Zhlav"/>
            <w:tabs>
              <w:tab w:val="clear" w:pos="4536"/>
              <w:tab w:val="center" w:pos="9000"/>
            </w:tabs>
            <w:jc w:val="right"/>
            <w:rPr>
              <w:rFonts w:ascii="Verdana" w:hAnsi="Verdana"/>
              <w:sz w:val="20"/>
            </w:rPr>
          </w:pPr>
          <w:r w:rsidRPr="00663E42">
            <w:rPr>
              <w:rFonts w:ascii="Verdana" w:hAnsi="Verdana"/>
              <w:sz w:val="20"/>
            </w:rPr>
            <w:t>IČ</w:t>
          </w:r>
          <w:r>
            <w:rPr>
              <w:rFonts w:ascii="Verdana" w:hAnsi="Verdana"/>
              <w:sz w:val="20"/>
            </w:rPr>
            <w:t>O</w:t>
          </w:r>
          <w:r w:rsidRPr="00663E42">
            <w:rPr>
              <w:rFonts w:ascii="Verdana" w:hAnsi="Verdana"/>
              <w:sz w:val="20"/>
            </w:rPr>
            <w:t xml:space="preserve">: </w:t>
          </w:r>
          <w:proofErr w:type="gramStart"/>
          <w:r w:rsidRPr="00663E42">
            <w:rPr>
              <w:rFonts w:ascii="Verdana" w:hAnsi="Verdana"/>
              <w:sz w:val="20"/>
            </w:rPr>
            <w:t>25135228  DIČ</w:t>
          </w:r>
          <w:proofErr w:type="gramEnd"/>
          <w:r w:rsidRPr="00663E42">
            <w:rPr>
              <w:rFonts w:ascii="Verdana" w:hAnsi="Verdana"/>
              <w:sz w:val="20"/>
            </w:rPr>
            <w:t>: CZ25135228</w:t>
          </w:r>
        </w:p>
      </w:tc>
    </w:tr>
  </w:tbl>
  <w:p w:rsidR="00412F87" w:rsidRDefault="00576356" w:rsidP="00412F87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4AE"/>
    <w:multiLevelType w:val="hybridMultilevel"/>
    <w:tmpl w:val="1542EC40"/>
    <w:lvl w:ilvl="0" w:tplc="7D1883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456EB"/>
    <w:multiLevelType w:val="hybridMultilevel"/>
    <w:tmpl w:val="62BA0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F12"/>
    <w:multiLevelType w:val="hybridMultilevel"/>
    <w:tmpl w:val="D8B8A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72337"/>
    <w:multiLevelType w:val="hybridMultilevel"/>
    <w:tmpl w:val="D8B8A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3360B"/>
    <w:multiLevelType w:val="hybridMultilevel"/>
    <w:tmpl w:val="D8B8A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05"/>
    <w:rsid w:val="00576356"/>
    <w:rsid w:val="00671205"/>
    <w:rsid w:val="00AA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03F29-810C-459A-B699-E1AA280D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6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7635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6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7635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Halíř Miroslav</dc:creator>
  <cp:keywords/>
  <dc:description/>
  <cp:lastModifiedBy>Halíř Miroslav</cp:lastModifiedBy>
  <cp:revision>2</cp:revision>
  <dcterms:created xsi:type="dcterms:W3CDTF">2017-01-12T13:46:00Z</dcterms:created>
  <dcterms:modified xsi:type="dcterms:W3CDTF">2017-01-12T13:47:00Z</dcterms:modified>
</cp:coreProperties>
</file>