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934946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01EDF">
        <w:rPr>
          <w:rFonts w:asciiTheme="majorHAnsi" w:hAnsiTheme="majorHAnsi"/>
          <w:b/>
          <w:spacing w:val="60"/>
          <w:sz w:val="28"/>
          <w:szCs w:val="28"/>
          <w:u w:val="single"/>
        </w:rPr>
        <w:t>201</w:t>
      </w:r>
      <w:r w:rsidR="004728BF" w:rsidRPr="008A57DC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DA644F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o poskytnutí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201</w:t>
      </w:r>
      <w:r w:rsidR="004728BF" w:rsidRPr="008A57DC">
        <w:rPr>
          <w:rFonts w:asciiTheme="majorHAnsi" w:hAnsiTheme="majorHAnsi"/>
          <w:spacing w:val="60"/>
          <w:sz w:val="24"/>
          <w:szCs w:val="24"/>
        </w:rPr>
        <w:t>7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  <w:r w:rsidR="002C627F" w:rsidRPr="00CC7618">
        <w:rPr>
          <w:rFonts w:asciiTheme="majorHAnsi" w:hAnsiTheme="majorHAnsi"/>
          <w:spacing w:val="60"/>
          <w:sz w:val="24"/>
          <w:szCs w:val="24"/>
        </w:rPr>
        <w:t xml:space="preserve"> 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934946">
        <w:rPr>
          <w:b/>
        </w:rPr>
        <w:t>Oblastní spolek ČČK Karviná</w:t>
      </w:r>
    </w:p>
    <w:p w:rsidR="00FB3591" w:rsidRPr="0093494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4946">
        <w:rPr>
          <w:b/>
        </w:rPr>
        <w:t xml:space="preserve">Luďkem </w:t>
      </w:r>
      <w:proofErr w:type="spellStart"/>
      <w:r w:rsidR="00934946">
        <w:rPr>
          <w:b/>
        </w:rPr>
        <w:t>Rechbergem</w:t>
      </w:r>
      <w:proofErr w:type="spellEnd"/>
      <w:r w:rsidR="00934946">
        <w:rPr>
          <w:b/>
        </w:rPr>
        <w:t xml:space="preserve">, </w:t>
      </w:r>
      <w:r w:rsidR="00934946">
        <w:t>předsedou OS ČČK Karviná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934946" w:rsidRPr="00934946">
        <w:t xml:space="preserve">Čajkovského 2215/2a, 734 01 Karviná - </w:t>
      </w:r>
      <w:proofErr w:type="spellStart"/>
      <w:r w:rsidR="00934946" w:rsidRPr="00934946">
        <w:t>Mizerov</w:t>
      </w:r>
      <w:proofErr w:type="spellEnd"/>
    </w:p>
    <w:p w:rsidR="004728BF" w:rsidRPr="00934946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934946">
        <w:t>Pobočný spolek</w:t>
      </w:r>
    </w:p>
    <w:p w:rsidR="00CB29F5" w:rsidRPr="00934946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4946" w:rsidRPr="00934946">
        <w:t>004 264 58</w:t>
      </w:r>
    </w:p>
    <w:p w:rsidR="007966BD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934946" w:rsidRPr="00934946">
        <w:t xml:space="preserve">Komerční banka, a.s. </w:t>
      </w:r>
      <w:r w:rsidR="007966BD" w:rsidRPr="00934946">
        <w:rPr>
          <w:bCs/>
        </w:rPr>
        <w:t xml:space="preserve"> </w:t>
      </w: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934946">
        <w:rPr>
          <w:bCs/>
        </w:rPr>
        <w:t>19-3414290267/0100</w:t>
      </w: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FB3591" w:rsidRPr="00CF135A">
        <w:t xml:space="preserve"> </w:t>
      </w:r>
      <w:r w:rsidRPr="00CF135A">
        <w:t xml:space="preserve">města </w:t>
      </w:r>
      <w:r>
        <w:t>Český Těšín ze dne</w:t>
      </w:r>
      <w:r w:rsidR="004728BF">
        <w:t xml:space="preserve"> </w:t>
      </w:r>
      <w:r w:rsidR="004728BF" w:rsidRPr="00934946">
        <w:t>19. 12.</w:t>
      </w:r>
      <w:r w:rsidRPr="00934946">
        <w:t xml:space="preserve"> </w:t>
      </w:r>
      <w:r w:rsidR="00CF135A" w:rsidRPr="00934946">
        <w:t>201</w:t>
      </w:r>
      <w:r w:rsidR="004728BF" w:rsidRPr="00934946">
        <w:t>6</w:t>
      </w:r>
      <w:r w:rsidRPr="00934946">
        <w:t>, č</w:t>
      </w:r>
      <w:r>
        <w:t>.</w:t>
      </w:r>
      <w:r w:rsidR="00721EB2">
        <w:t xml:space="preserve"> </w:t>
      </w:r>
      <w:r w:rsidR="00945F37">
        <w:t>481/14.</w:t>
      </w:r>
      <w:r w:rsidR="00721EB2">
        <w:t>ZM</w:t>
      </w:r>
      <w:r w:rsidR="00FB3591">
        <w:t xml:space="preserve"> </w:t>
      </w:r>
      <w:r>
        <w:t xml:space="preserve">poskytne dotaci z rozpočtu města </w:t>
      </w:r>
      <w:r w:rsidR="00F0591E" w:rsidRPr="00F0591E">
        <w:t>na</w:t>
      </w:r>
      <w:r w:rsidR="006B552C" w:rsidRPr="00F0591E">
        <w:t xml:space="preserve"> </w:t>
      </w:r>
      <w:r w:rsidRPr="00F0591E">
        <w:t>ro</w:t>
      </w:r>
      <w:r w:rsidR="00F0591E" w:rsidRPr="00F0591E">
        <w:t>k</w:t>
      </w:r>
      <w:r w:rsidRPr="00F0591E">
        <w:t xml:space="preserve"> 20</w:t>
      </w:r>
      <w:r w:rsidR="00FB3591" w:rsidRPr="008A57DC">
        <w:t>1</w:t>
      </w:r>
      <w:r w:rsidR="004728BF" w:rsidRPr="008A57DC">
        <w:t>7</w:t>
      </w:r>
      <w:r w:rsidR="00CF135A">
        <w:t xml:space="preserve"> </w:t>
      </w:r>
      <w:r w:rsidR="00934946">
        <w:rPr>
          <w:b/>
        </w:rPr>
        <w:t>Oblastnímu spolku ČČK Karviná.</w:t>
      </w:r>
      <w:r w:rsidR="007966BD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27691B">
        <w:t xml:space="preserve"> </w:t>
      </w:r>
      <w:r w:rsidR="00934946">
        <w:rPr>
          <w:b/>
        </w:rPr>
        <w:t>450.000</w:t>
      </w:r>
      <w:r w:rsidR="00CF135A">
        <w:rPr>
          <w:b/>
        </w:rPr>
        <w:t>,-- Kč</w:t>
      </w:r>
      <w:r w:rsidR="00C95DF2" w:rsidRPr="00DD4F1D">
        <w:t>,</w:t>
      </w:r>
      <w:r w:rsidR="00DD4F1D">
        <w:t xml:space="preserve"> </w:t>
      </w:r>
      <w:r w:rsidR="00CF135A">
        <w:t xml:space="preserve">(slovy: </w:t>
      </w:r>
      <w:proofErr w:type="spellStart"/>
      <w:r w:rsidR="00934946">
        <w:t>čtyřistapadesáttisíc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934946" w:rsidRPr="00934946" w:rsidRDefault="00C95DF2" w:rsidP="00CC14F6">
      <w:pPr>
        <w:pStyle w:val="Odstavecseseznamem"/>
        <w:numPr>
          <w:ilvl w:val="0"/>
          <w:numId w:val="8"/>
        </w:numPr>
        <w:spacing w:after="0" w:line="240" w:lineRule="auto"/>
        <w:ind w:left="709"/>
        <w:jc w:val="both"/>
      </w:pPr>
      <w:r>
        <w:t xml:space="preserve"> 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934946">
        <w:rPr>
          <w:b/>
        </w:rPr>
        <w:t xml:space="preserve">a to na </w:t>
      </w:r>
      <w:r w:rsidR="008B1B23" w:rsidRPr="00934946">
        <w:rPr>
          <w:b/>
        </w:rPr>
        <w:t>částečné financování nákladů, ve formě vyrovnávací platby dle podmínek pověření,</w:t>
      </w:r>
      <w:r w:rsidR="00934946">
        <w:rPr>
          <w:b/>
        </w:rPr>
        <w:t xml:space="preserve"> souvisejících s provozem registrované sociální služby v roce 2017 (</w:t>
      </w:r>
      <w:proofErr w:type="spellStart"/>
      <w:r w:rsidR="00934946">
        <w:rPr>
          <w:b/>
        </w:rPr>
        <w:t>Gerontocentrum</w:t>
      </w:r>
      <w:proofErr w:type="spellEnd"/>
      <w:r w:rsidR="00934946">
        <w:rPr>
          <w:b/>
        </w:rPr>
        <w:t xml:space="preserve"> ČČK, ul. Střelniční 3, Český Těšín).</w:t>
      </w:r>
    </w:p>
    <w:p w:rsidR="00934946" w:rsidRPr="00934946" w:rsidRDefault="00934946" w:rsidP="00934946">
      <w:pPr>
        <w:pStyle w:val="Odstavecseseznamem"/>
        <w:rPr>
          <w:b/>
        </w:rPr>
      </w:pPr>
    </w:p>
    <w:p w:rsidR="00934946" w:rsidRDefault="00934946" w:rsidP="00934946">
      <w:pPr>
        <w:spacing w:after="0" w:line="240" w:lineRule="auto"/>
        <w:jc w:val="both"/>
      </w:pPr>
      <w:r>
        <w:rPr>
          <w:b/>
        </w:rPr>
        <w:tab/>
      </w:r>
      <w:r>
        <w:t xml:space="preserve">- </w:t>
      </w:r>
      <w:r>
        <w:tab/>
        <w:t>450.000,-- Kč (ID 2598581 – domovy pro seniory)</w:t>
      </w:r>
    </w:p>
    <w:p w:rsidR="00934946" w:rsidRDefault="00934946" w:rsidP="00934946">
      <w:pPr>
        <w:spacing w:after="0" w:line="240" w:lineRule="auto"/>
        <w:jc w:val="both"/>
      </w:pPr>
    </w:p>
    <w:p w:rsidR="00D80291" w:rsidRPr="00D80291" w:rsidRDefault="008B1B23" w:rsidP="00934946">
      <w:pPr>
        <w:spacing w:after="0" w:line="240" w:lineRule="auto"/>
        <w:jc w:val="both"/>
      </w:pPr>
      <w:r w:rsidRPr="00934946">
        <w:rPr>
          <w:b/>
        </w:rPr>
        <w:t xml:space="preserve"> </w:t>
      </w:r>
    </w:p>
    <w:p w:rsidR="00D80291" w:rsidRPr="00D80291" w:rsidRDefault="00D80291" w:rsidP="00D80291">
      <w:pPr>
        <w:spacing w:after="0" w:line="240" w:lineRule="auto"/>
        <w:ind w:left="2124"/>
        <w:jc w:val="both"/>
        <w:rPr>
          <w:b/>
        </w:rPr>
      </w:pPr>
    </w:p>
    <w:p w:rsidR="00F8533B" w:rsidRDefault="00F8533B" w:rsidP="00F8533B">
      <w:pPr>
        <w:spacing w:after="0" w:line="240" w:lineRule="auto"/>
        <w:ind w:left="360"/>
        <w:jc w:val="both"/>
      </w:pPr>
    </w:p>
    <w:p w:rsidR="00DA23BB" w:rsidRDefault="00DA23BB" w:rsidP="00F8533B">
      <w:pPr>
        <w:spacing w:after="0" w:line="240" w:lineRule="auto"/>
        <w:ind w:left="360"/>
        <w:jc w:val="both"/>
      </w:pPr>
    </w:p>
    <w:p w:rsidR="00F25494" w:rsidRDefault="00F25494" w:rsidP="00F8533B">
      <w:pPr>
        <w:spacing w:after="0" w:line="240" w:lineRule="auto"/>
        <w:ind w:left="360"/>
        <w:jc w:val="both"/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ve </w:t>
      </w:r>
      <w:r w:rsidR="00934946">
        <w:t xml:space="preserve">dvou </w:t>
      </w:r>
      <w:r w:rsidR="004728BF">
        <w:t xml:space="preserve">splátkách převody </w:t>
      </w:r>
      <w:r>
        <w:t>ve prospěch účtu příjemce</w:t>
      </w:r>
      <w:r w:rsidR="004728BF">
        <w:t xml:space="preserve"> </w:t>
      </w:r>
      <w:r w:rsidRPr="0074256C">
        <w:rPr>
          <w:b/>
        </w:rPr>
        <w:t xml:space="preserve">č. </w:t>
      </w:r>
      <w:r w:rsidR="00934946">
        <w:rPr>
          <w:b/>
        </w:rPr>
        <w:t>19-3414290267/0100</w:t>
      </w:r>
      <w:r>
        <w:t>,</w:t>
      </w:r>
      <w:r w:rsidRPr="0074256C">
        <w:rPr>
          <w:color w:val="C00000"/>
        </w:rPr>
        <w:t xml:space="preserve"> </w:t>
      </w:r>
      <w:r>
        <w:t xml:space="preserve">a to po nabytí účinnosti smlouvy takto: </w:t>
      </w:r>
      <w:r w:rsidR="00F77BA6">
        <w:t>225.000,-- Kč</w:t>
      </w:r>
      <w:r w:rsidR="00F77BA6">
        <w:br/>
        <w:t>do 31. 01. 2017 a 225.000,-- Kč do 31. 03. 2017.</w:t>
      </w:r>
      <w:r w:rsidR="005F205A">
        <w:t xml:space="preserve"> </w:t>
      </w:r>
      <w:r>
        <w:t xml:space="preserve">  </w:t>
      </w:r>
      <w:r w:rsidRPr="0074256C">
        <w:rPr>
          <w:color w:val="C00000"/>
        </w:rPr>
        <w:t xml:space="preserve"> </w:t>
      </w:r>
    </w:p>
    <w:p w:rsidR="00F77BA6" w:rsidRPr="00F77BA6" w:rsidRDefault="00F77BA6" w:rsidP="00F77BA6">
      <w:pPr>
        <w:spacing w:after="0" w:line="240" w:lineRule="auto"/>
        <w:ind w:left="360"/>
        <w:jc w:val="both"/>
        <w:rPr>
          <w:color w:val="C00000"/>
        </w:rPr>
      </w:pP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od </w:t>
      </w:r>
      <w:r w:rsidR="00593289" w:rsidRPr="00B80D5A">
        <w:rPr>
          <w:b/>
        </w:rPr>
        <w:t>01.</w:t>
      </w:r>
      <w:r w:rsidR="0042192D" w:rsidRPr="00B80D5A">
        <w:rPr>
          <w:b/>
        </w:rPr>
        <w:t xml:space="preserve"> </w:t>
      </w:r>
      <w:r w:rsidR="001C1C9E" w:rsidRPr="00B80D5A">
        <w:rPr>
          <w:b/>
        </w:rPr>
        <w:t>0</w:t>
      </w:r>
      <w:r w:rsidR="001A1AEC" w:rsidRPr="00B80D5A">
        <w:rPr>
          <w:b/>
        </w:rPr>
        <w:t>1</w:t>
      </w:r>
      <w:r w:rsidR="00593289" w:rsidRPr="00B80D5A">
        <w:rPr>
          <w:b/>
        </w:rPr>
        <w:t>.</w:t>
      </w:r>
      <w:r w:rsidR="0042192D" w:rsidRPr="00B80D5A">
        <w:rPr>
          <w:b/>
        </w:rPr>
        <w:t xml:space="preserve"> </w:t>
      </w:r>
      <w:r w:rsidR="00593289" w:rsidRPr="008A57DC">
        <w:rPr>
          <w:b/>
        </w:rPr>
        <w:t>201</w:t>
      </w:r>
      <w:r w:rsidR="004728BF" w:rsidRPr="008A57DC">
        <w:rPr>
          <w:b/>
        </w:rPr>
        <w:t>7</w:t>
      </w:r>
      <w:r w:rsidR="008A57DC">
        <w:rPr>
          <w:b/>
        </w:rPr>
        <w:br/>
      </w:r>
      <w:r w:rsidR="00C13989" w:rsidRPr="008A57DC">
        <w:t xml:space="preserve">do </w:t>
      </w:r>
      <w:r w:rsidR="00C13989" w:rsidRPr="008A57DC">
        <w:rPr>
          <w:b/>
        </w:rPr>
        <w:t>3</w:t>
      </w:r>
      <w:r w:rsidR="00F0591E" w:rsidRPr="008A57DC">
        <w:rPr>
          <w:b/>
        </w:rPr>
        <w:t>1</w:t>
      </w:r>
      <w:r w:rsidR="00C13989" w:rsidRPr="008A57DC">
        <w:rPr>
          <w:b/>
        </w:rPr>
        <w:t>.</w:t>
      </w:r>
      <w:r w:rsidR="0042192D" w:rsidRPr="008A57DC">
        <w:rPr>
          <w:b/>
        </w:rPr>
        <w:t xml:space="preserve"> </w:t>
      </w:r>
      <w:r w:rsidR="00C13989" w:rsidRPr="008A57DC">
        <w:rPr>
          <w:b/>
        </w:rPr>
        <w:t>12.</w:t>
      </w:r>
      <w:r w:rsidR="0042192D" w:rsidRPr="008A57DC">
        <w:rPr>
          <w:b/>
        </w:rPr>
        <w:t xml:space="preserve"> </w:t>
      </w:r>
      <w:r w:rsidR="00C13989" w:rsidRPr="008A57DC">
        <w:rPr>
          <w:b/>
        </w:rPr>
        <w:t>2</w:t>
      </w:r>
      <w:r w:rsidR="00593289" w:rsidRPr="008A57DC">
        <w:rPr>
          <w:b/>
        </w:rPr>
        <w:t>01</w:t>
      </w:r>
      <w:r w:rsidR="004728BF" w:rsidRPr="008A57DC">
        <w:rPr>
          <w:b/>
        </w:rPr>
        <w:t>7</w:t>
      </w:r>
      <w:r w:rsidR="008A57DC">
        <w:rPr>
          <w:b/>
        </w:rPr>
        <w:t xml:space="preserve"> </w:t>
      </w:r>
      <w:r w:rsidR="001A4822" w:rsidRPr="008A57DC">
        <w:t>a vyhovujících</w:t>
      </w:r>
      <w:r w:rsidR="001A4822">
        <w:t xml:space="preserve"> zásadám účelnosti, efektivnosti a hospodárnosti</w:t>
      </w:r>
      <w:r w:rsidR="008A57DC">
        <w:br/>
      </w:r>
      <w:r w:rsidR="001A4822">
        <w:t>dle zákona o finanční kontrole</w:t>
      </w:r>
      <w:r w:rsidR="00B80D5A">
        <w:t>,</w:t>
      </w:r>
    </w:p>
    <w:p w:rsidR="001A4822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 </w:t>
      </w:r>
      <w:r w:rsidR="001A4822">
        <w:t xml:space="preserve">oznámit a vrátit nevyčerpané finanční prostředky poskytnuté dotace zpět na účet poskytovatele dotace č. </w:t>
      </w:r>
      <w:r w:rsidR="001A4822" w:rsidRPr="00B80D5A">
        <w:rPr>
          <w:b/>
        </w:rPr>
        <w:t xml:space="preserve">86-6000330277/0100, </w:t>
      </w:r>
      <w:r w:rsidR="001A4822">
        <w:t xml:space="preserve">a to do </w:t>
      </w:r>
      <w:r w:rsidR="001A4822" w:rsidRPr="00B80D5A">
        <w:rPr>
          <w:b/>
        </w:rPr>
        <w:t xml:space="preserve">7 </w:t>
      </w:r>
      <w:r w:rsidR="001A4822">
        <w:t xml:space="preserve">kalendářních dnů ode dne předložení závěrečného vyúčtování, nejpozději však do </w:t>
      </w:r>
      <w:r w:rsidR="001A4822" w:rsidRPr="00B80D5A">
        <w:rPr>
          <w:b/>
        </w:rPr>
        <w:t xml:space="preserve">7 </w:t>
      </w:r>
      <w:r w:rsidR="001A4822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F77BA6" w:rsidRDefault="00F77BA6" w:rsidP="00F77BA6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05135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01.</w:t>
      </w:r>
      <w:r w:rsidR="0042192D">
        <w:rPr>
          <w:b/>
        </w:rPr>
        <w:t xml:space="preserve"> </w:t>
      </w:r>
      <w:r w:rsidR="001C1C9E">
        <w:rPr>
          <w:b/>
        </w:rPr>
        <w:t>0</w:t>
      </w:r>
      <w:r w:rsidR="001A1AEC">
        <w:rPr>
          <w:b/>
        </w:rPr>
        <w:t>1</w:t>
      </w:r>
      <w:r>
        <w:rPr>
          <w:b/>
        </w:rPr>
        <w:t>.</w:t>
      </w:r>
      <w:r w:rsidR="0042192D">
        <w:rPr>
          <w:b/>
        </w:rPr>
        <w:t xml:space="preserve"> </w:t>
      </w:r>
      <w:r w:rsidRPr="00B05135">
        <w:rPr>
          <w:b/>
        </w:rPr>
        <w:t>2</w:t>
      </w:r>
      <w:r w:rsidR="00593289" w:rsidRPr="00B05135">
        <w:rPr>
          <w:b/>
        </w:rPr>
        <w:t>01</w:t>
      </w:r>
      <w:r w:rsidR="004728BF" w:rsidRPr="00B05135">
        <w:rPr>
          <w:b/>
        </w:rPr>
        <w:t>7</w:t>
      </w:r>
      <w:r w:rsidRPr="00B05135">
        <w:rPr>
          <w:b/>
        </w:rPr>
        <w:t xml:space="preserve"> </w:t>
      </w:r>
      <w:r w:rsidRPr="00B05135">
        <w:t xml:space="preserve">do </w:t>
      </w:r>
      <w:r w:rsidRPr="00B05135">
        <w:rPr>
          <w:b/>
        </w:rPr>
        <w:t>3</w:t>
      </w:r>
      <w:r w:rsidR="00F0591E" w:rsidRPr="00B05135">
        <w:rPr>
          <w:b/>
        </w:rPr>
        <w:t>1</w:t>
      </w:r>
      <w:r w:rsidRPr="00B05135">
        <w:rPr>
          <w:b/>
        </w:rPr>
        <w:t>.</w:t>
      </w:r>
      <w:r w:rsidR="0042192D" w:rsidRPr="00B05135">
        <w:rPr>
          <w:b/>
        </w:rPr>
        <w:t xml:space="preserve"> </w:t>
      </w:r>
      <w:r w:rsidRPr="00B05135">
        <w:rPr>
          <w:b/>
        </w:rPr>
        <w:t>12.</w:t>
      </w:r>
      <w:r w:rsidR="0042192D" w:rsidRPr="00B05135">
        <w:rPr>
          <w:b/>
        </w:rPr>
        <w:t xml:space="preserve"> </w:t>
      </w:r>
      <w:r w:rsidRPr="00B05135">
        <w:rPr>
          <w:b/>
        </w:rPr>
        <w:t>2</w:t>
      </w:r>
      <w:r w:rsidR="00593289" w:rsidRPr="00B05135">
        <w:rPr>
          <w:b/>
        </w:rPr>
        <w:t>01</w:t>
      </w:r>
      <w:r w:rsidR="004728BF" w:rsidRPr="00B05135">
        <w:rPr>
          <w:b/>
        </w:rPr>
        <w:t>7</w:t>
      </w:r>
      <w:r w:rsidR="00C5131D" w:rsidRPr="00B05135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F77BA6" w:rsidRDefault="00F77BA6" w:rsidP="00F77BA6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1A1AEC" w:rsidRDefault="001A1AEC" w:rsidP="001A1AEC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</w:t>
      </w:r>
      <w:r w:rsidR="008A29FF">
        <w:t>ém</w:t>
      </w:r>
      <w:r>
        <w:t xml:space="preserve"> formulář</w:t>
      </w:r>
      <w:r w:rsidR="008A29FF">
        <w:t>i</w:t>
      </w:r>
      <w:r>
        <w:t xml:space="preserve">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  <w:r w:rsidR="00B05135">
        <w:t xml:space="preserve"> 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8A29FF">
        <w:t xml:space="preserve"> </w:t>
      </w:r>
      <w:r w:rsidR="00B05135">
        <w:t>Dotačního programu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4728BF" w:rsidRPr="004728BF">
        <w:rPr>
          <w:b/>
        </w:rPr>
        <w:t>19</w:t>
      </w:r>
      <w:r>
        <w:rPr>
          <w:b/>
        </w:rPr>
        <w:t>.</w:t>
      </w:r>
      <w:r w:rsidR="004728BF">
        <w:rPr>
          <w:b/>
        </w:rPr>
        <w:t xml:space="preserve"> </w:t>
      </w:r>
      <w:r>
        <w:rPr>
          <w:b/>
        </w:rPr>
        <w:t>01.</w:t>
      </w:r>
      <w:r w:rsidR="004728BF">
        <w:rPr>
          <w:b/>
        </w:rPr>
        <w:t xml:space="preserve"> </w:t>
      </w:r>
      <w:r>
        <w:rPr>
          <w:b/>
        </w:rPr>
        <w:t>2</w:t>
      </w:r>
      <w:r w:rsidR="002E2F97" w:rsidRPr="00B05135">
        <w:rPr>
          <w:b/>
        </w:rPr>
        <w:t>01</w:t>
      </w:r>
      <w:r w:rsidR="004728BF" w:rsidRPr="00B05135">
        <w:rPr>
          <w:b/>
        </w:rPr>
        <w:t>8</w:t>
      </w:r>
      <w:r w:rsidR="002E2F97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044ABB" w:rsidRPr="00B05135">
        <w:rPr>
          <w:b/>
        </w:rPr>
        <w:t>29</w:t>
      </w:r>
      <w:r w:rsidR="000978CB" w:rsidRPr="00B05135">
        <w:rPr>
          <w:b/>
        </w:rPr>
        <w:t>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03.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2</w:t>
      </w:r>
      <w:r w:rsidR="002E2F97" w:rsidRPr="00B05135">
        <w:rPr>
          <w:b/>
        </w:rPr>
        <w:t>01</w:t>
      </w:r>
      <w:r w:rsidR="00044ABB" w:rsidRPr="00B05135">
        <w:rPr>
          <w:b/>
        </w:rPr>
        <w:t>8</w:t>
      </w:r>
      <w:r w:rsidR="000978CB">
        <w:t>, popř</w:t>
      </w:r>
      <w:r w:rsidR="008A29FF">
        <w:t xml:space="preserve">. </w:t>
      </w:r>
      <w:r w:rsidR="000978CB">
        <w:t xml:space="preserve">do </w:t>
      </w:r>
      <w:r w:rsidR="000978CB" w:rsidRPr="00B05135">
        <w:rPr>
          <w:b/>
        </w:rPr>
        <w:t>1</w:t>
      </w:r>
      <w:r w:rsidR="00044ABB" w:rsidRPr="00B05135">
        <w:rPr>
          <w:b/>
        </w:rPr>
        <w:t>6</w:t>
      </w:r>
      <w:r w:rsidR="000978CB" w:rsidRPr="00B05135">
        <w:rPr>
          <w:b/>
        </w:rPr>
        <w:t>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07.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2</w:t>
      </w:r>
      <w:r w:rsidR="002E2F97" w:rsidRPr="00B05135">
        <w:rPr>
          <w:b/>
        </w:rPr>
        <w:t>01</w:t>
      </w:r>
      <w:r w:rsidR="00044ABB" w:rsidRPr="00B05135">
        <w:rPr>
          <w:b/>
        </w:rPr>
        <w:t>8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</w:t>
      </w:r>
      <w:r w:rsidR="008A29FF">
        <w:t>účetní výkaz zisku a ztrát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77BA6" w:rsidRDefault="00F77BA6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77BA6" w:rsidRDefault="00F77BA6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77BA6" w:rsidRDefault="00F77BA6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0D0A72" w:rsidRDefault="000D0A72" w:rsidP="00287694">
      <w:pPr>
        <w:pStyle w:val="Odstavecseseznamem"/>
        <w:spacing w:after="120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F0591E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C12DF9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F77BA6" w:rsidRDefault="00F77BA6" w:rsidP="00F77BA6">
      <w:pPr>
        <w:tabs>
          <w:tab w:val="left" w:pos="0"/>
          <w:tab w:val="left" w:pos="426"/>
          <w:tab w:val="left" w:pos="1134"/>
        </w:tabs>
        <w:spacing w:after="120" w:line="240" w:lineRule="auto"/>
        <w:ind w:left="360"/>
        <w:jc w:val="both"/>
      </w:pP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Pr="00DC635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  <w:r w:rsidR="000D69C5" w:rsidRPr="00DC6355">
        <w:t xml:space="preserve"> 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0D0A72" w:rsidRDefault="000D0A7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A40407" w:rsidRDefault="00A4040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3385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0E3385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 </w:t>
      </w:r>
      <w:r w:rsidR="00745B76">
        <w:t>byl vynaložen dle podmínek stanovených</w:t>
      </w:r>
      <w:r w:rsidR="00C12DF9">
        <w:t xml:space="preserve"> v písm. b), bodu 2,</w:t>
      </w:r>
      <w:r w:rsidR="00745B76">
        <w:t xml:space="preserve"> </w:t>
      </w:r>
      <w:r w:rsidR="00C12DF9">
        <w:t>čl. IV této smlouvy</w:t>
      </w:r>
      <w:r w:rsidR="00C12DF9">
        <w:br/>
        <w:t xml:space="preserve">a </w:t>
      </w:r>
      <w:r w:rsidR="00745B76">
        <w:t xml:space="preserve"> čl. VII. </w:t>
      </w:r>
      <w:r w:rsidR="00C12DF9">
        <w:t>Dotačního programu</w:t>
      </w:r>
      <w:r w:rsidR="00745B76">
        <w:t>,</w:t>
      </w:r>
    </w:p>
    <w:p w:rsidR="00697E6E" w:rsidRDefault="000E3385" w:rsidP="000E3385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 xml:space="preserve">jsou považovány za náklady neuznatelné. </w:t>
      </w:r>
    </w:p>
    <w:p w:rsidR="000D0A72" w:rsidRDefault="000D0A72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0E3385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>VI.</w:t>
      </w:r>
    </w:p>
    <w:p w:rsidR="000E3385" w:rsidRDefault="009C6D47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 xml:space="preserve">Y </w:t>
      </w:r>
    </w:p>
    <w:p w:rsidR="0063368F" w:rsidRDefault="0063368F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63368F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 xml:space="preserve">(ev. č. smlouvy </w:t>
      </w:r>
      <w:r w:rsidR="00F77BA6">
        <w:t>03457/2015/SOC</w:t>
      </w:r>
      <w:r w:rsidRPr="005F205A">
        <w:rPr>
          <w:b/>
        </w:rPr>
        <w:t>,</w:t>
      </w:r>
      <w:r w:rsidRPr="005F205A"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63368F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F77BA6" w:rsidRDefault="00F77BA6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F77BA6" w:rsidRDefault="00F77BA6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F25494" w:rsidP="00A40407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A40407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0E4DC0" w:rsidRDefault="009C6D47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0E4DC0"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="000E4DC0"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D84B39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044ABB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044ABB" w:rsidRPr="00452524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945F37">
        <w:rPr>
          <w:rFonts w:asciiTheme="minorHAnsi" w:hAnsiTheme="minorHAnsi"/>
          <w:sz w:val="22"/>
          <w:szCs w:val="22"/>
        </w:rPr>
        <w:t xml:space="preserve">481/14.ZM </w:t>
      </w:r>
      <w:bookmarkStart w:id="0" w:name="_GoBack"/>
      <w:bookmarkEnd w:id="0"/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F77BA6">
        <w:rPr>
          <w:rFonts w:asciiTheme="minorHAnsi" w:hAnsiTheme="minorHAnsi"/>
          <w:sz w:val="22"/>
          <w:szCs w:val="22"/>
        </w:rPr>
        <w:t>19. 12. 2016.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032731" w:rsidRDefault="001806A1" w:rsidP="00F77BA6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F77BA6">
        <w:rPr>
          <w:rFonts w:asciiTheme="minorHAnsi" w:hAnsiTheme="minorHAnsi"/>
          <w:sz w:val="22"/>
          <w:szCs w:val="22"/>
        </w:rPr>
        <w:tab/>
        <w:t>Z</w:t>
      </w:r>
      <w:r w:rsidR="00032731" w:rsidRPr="00032731">
        <w:rPr>
          <w:rFonts w:asciiTheme="minorHAnsi" w:hAnsiTheme="minorHAnsi"/>
          <w:sz w:val="22"/>
          <w:szCs w:val="22"/>
        </w:rPr>
        <w:t>a poskytovatele</w:t>
      </w:r>
      <w:r w:rsidR="00032731">
        <w:rPr>
          <w:rFonts w:asciiTheme="minorHAnsi" w:hAnsiTheme="minorHAnsi"/>
          <w:sz w:val="22"/>
          <w:szCs w:val="22"/>
        </w:rPr>
        <w:tab/>
      </w:r>
      <w:r w:rsidR="00032731">
        <w:rPr>
          <w:rFonts w:asciiTheme="minorHAnsi" w:hAnsiTheme="minorHAnsi"/>
          <w:sz w:val="22"/>
          <w:szCs w:val="22"/>
        </w:rPr>
        <w:tab/>
      </w:r>
      <w:r w:rsidR="00032731">
        <w:rPr>
          <w:rFonts w:asciiTheme="minorHAnsi" w:hAnsiTheme="minorHAnsi"/>
          <w:sz w:val="22"/>
          <w:szCs w:val="22"/>
        </w:rPr>
        <w:tab/>
      </w:r>
      <w:r w:rsidR="00032731">
        <w:rPr>
          <w:rFonts w:asciiTheme="minorHAnsi" w:hAnsiTheme="minorHAnsi"/>
          <w:sz w:val="22"/>
          <w:szCs w:val="22"/>
        </w:rPr>
        <w:tab/>
      </w:r>
      <w:r w:rsidR="00032731">
        <w:rPr>
          <w:rFonts w:asciiTheme="minorHAnsi" w:hAnsiTheme="minorHAnsi"/>
          <w:sz w:val="22"/>
          <w:szCs w:val="22"/>
        </w:rPr>
        <w:tab/>
      </w:r>
      <w:r w:rsidR="00032731"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7258B2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proofErr w:type="spellStart"/>
      <w:r w:rsidR="00F77BA6">
        <w:rPr>
          <w:rFonts w:asciiTheme="minorHAnsi" w:hAnsiTheme="minorHAnsi"/>
          <w:b/>
          <w:sz w:val="22"/>
          <w:szCs w:val="22"/>
        </w:rPr>
        <w:t>Luďek</w:t>
      </w:r>
      <w:proofErr w:type="spellEnd"/>
      <w:r w:rsidR="00F77BA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F77BA6">
        <w:rPr>
          <w:rFonts w:asciiTheme="minorHAnsi" w:hAnsiTheme="minorHAnsi"/>
          <w:b/>
          <w:sz w:val="22"/>
          <w:szCs w:val="22"/>
        </w:rPr>
        <w:t>Rechberg</w:t>
      </w:r>
      <w:proofErr w:type="spellEnd"/>
    </w:p>
    <w:p w:rsidR="005331CF" w:rsidRPr="00CB29F5" w:rsidRDefault="00032731" w:rsidP="00F77BA6">
      <w:pPr>
        <w:pStyle w:val="Zkladntextodsazen"/>
        <w:tabs>
          <w:tab w:val="left" w:pos="709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F77BA6">
        <w:rPr>
          <w:rFonts w:asciiTheme="minorHAnsi" w:hAnsiTheme="minorHAnsi"/>
          <w:sz w:val="22"/>
          <w:szCs w:val="22"/>
        </w:rPr>
        <w:t>předseda OS ČČK Karviná</w:t>
      </w: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5B3B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F77BA6">
        <w:rPr>
          <w:noProof/>
          <w:lang w:eastAsia="cs-CZ"/>
        </w:rPr>
        <w:drawing>
          <wp:inline distT="0" distB="0" distL="0" distR="0" wp14:anchorId="3E4C14D3" wp14:editId="07C7B920">
            <wp:extent cx="5759450" cy="86125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A6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77BA6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F77BA6">
        <w:rPr>
          <w:noProof/>
          <w:lang w:eastAsia="cs-CZ"/>
        </w:rPr>
        <w:drawing>
          <wp:inline distT="0" distB="0" distL="0" distR="0" wp14:anchorId="779EC440" wp14:editId="20DBB460">
            <wp:extent cx="5759450" cy="33936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A6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77BA6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77BA6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77BA6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77BA6" w:rsidRDefault="00F77BA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7258B2" w:rsidRDefault="007258B2" w:rsidP="009C6D47"/>
    <w:p w:rsidR="007258B2" w:rsidRDefault="007258B2" w:rsidP="009C6D47"/>
    <w:p w:rsidR="007258B2" w:rsidRDefault="007258B2" w:rsidP="009C6D47"/>
    <w:p w:rsidR="007258B2" w:rsidRPr="009C6D47" w:rsidRDefault="007258B2" w:rsidP="009C6D47"/>
    <w:p w:rsidR="009C6D47" w:rsidRDefault="009C6D47" w:rsidP="009C6D47"/>
    <w:p w:rsidR="009C6D47" w:rsidRDefault="009C6D47" w:rsidP="009C6D47">
      <w:pPr>
        <w:tabs>
          <w:tab w:val="left" w:pos="5505"/>
        </w:tabs>
      </w:pPr>
      <w:r>
        <w:tab/>
      </w:r>
    </w:p>
    <w:p w:rsidR="009C6D47" w:rsidRPr="005F205A" w:rsidRDefault="005F205A" w:rsidP="005F205A">
      <w:pPr>
        <w:tabs>
          <w:tab w:val="left" w:pos="5505"/>
        </w:tabs>
        <w:spacing w:after="0" w:line="240" w:lineRule="auto"/>
        <w:jc w:val="right"/>
      </w:pPr>
      <w:r>
        <w:t>.</w:t>
      </w:r>
      <w:r w:rsidR="009C6D47" w:rsidRPr="005F205A">
        <w:t>…………………………………………………</w:t>
      </w:r>
      <w:r w:rsidR="00A910B7" w:rsidRPr="005F205A">
        <w:t>……..</w:t>
      </w:r>
    </w:p>
    <w:p w:rsidR="009C6D47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zástupce, razítko</w:t>
      </w:r>
    </w:p>
    <w:p w:rsidR="005F205A" w:rsidRPr="005F205A" w:rsidRDefault="005F205A" w:rsidP="005F205A">
      <w:pPr>
        <w:tabs>
          <w:tab w:val="left" w:pos="5505"/>
        </w:tabs>
        <w:spacing w:after="0" w:line="240" w:lineRule="auto"/>
        <w:jc w:val="right"/>
      </w:pPr>
    </w:p>
    <w:sectPr w:rsidR="005F205A" w:rsidRPr="005F205A" w:rsidSect="00B66843">
      <w:head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F" w:rsidRDefault="00A5693F" w:rsidP="00C85B3B">
      <w:pPr>
        <w:spacing w:after="0" w:line="240" w:lineRule="auto"/>
      </w:pPr>
      <w:r>
        <w:separator/>
      </w:r>
    </w:p>
  </w:endnote>
  <w:end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C85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37">
          <w:rPr>
            <w:noProof/>
          </w:rPr>
          <w:t>6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F" w:rsidRDefault="00A5693F" w:rsidP="00C85B3B">
      <w:pPr>
        <w:spacing w:after="0" w:line="240" w:lineRule="auto"/>
      </w:pPr>
      <w:r>
        <w:separator/>
      </w:r>
    </w:p>
  </w:footnote>
  <w:foot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6C41"/>
    <w:rsid w:val="00141277"/>
    <w:rsid w:val="00142158"/>
    <w:rsid w:val="00161981"/>
    <w:rsid w:val="001806A1"/>
    <w:rsid w:val="001A1AEC"/>
    <w:rsid w:val="001A4822"/>
    <w:rsid w:val="001C1C9E"/>
    <w:rsid w:val="002114AC"/>
    <w:rsid w:val="00270610"/>
    <w:rsid w:val="0027691B"/>
    <w:rsid w:val="00287694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B2218"/>
    <w:rsid w:val="00405530"/>
    <w:rsid w:val="0042192D"/>
    <w:rsid w:val="0044078F"/>
    <w:rsid w:val="00452524"/>
    <w:rsid w:val="004728BF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E55C9"/>
    <w:rsid w:val="00706CB0"/>
    <w:rsid w:val="00721EB2"/>
    <w:rsid w:val="007258B2"/>
    <w:rsid w:val="0074256C"/>
    <w:rsid w:val="00745B76"/>
    <w:rsid w:val="00746858"/>
    <w:rsid w:val="00751598"/>
    <w:rsid w:val="0078784B"/>
    <w:rsid w:val="007966BD"/>
    <w:rsid w:val="007F7B52"/>
    <w:rsid w:val="00812AF2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8F15EB"/>
    <w:rsid w:val="00926590"/>
    <w:rsid w:val="00934946"/>
    <w:rsid w:val="00936278"/>
    <w:rsid w:val="00945F37"/>
    <w:rsid w:val="009C6D47"/>
    <w:rsid w:val="00A27965"/>
    <w:rsid w:val="00A40407"/>
    <w:rsid w:val="00A5693F"/>
    <w:rsid w:val="00A63E6F"/>
    <w:rsid w:val="00A910B7"/>
    <w:rsid w:val="00B05135"/>
    <w:rsid w:val="00B32B3D"/>
    <w:rsid w:val="00B44772"/>
    <w:rsid w:val="00B6268F"/>
    <w:rsid w:val="00B66381"/>
    <w:rsid w:val="00B66843"/>
    <w:rsid w:val="00B80D5A"/>
    <w:rsid w:val="00BC3E8A"/>
    <w:rsid w:val="00C12DF9"/>
    <w:rsid w:val="00C13989"/>
    <w:rsid w:val="00C35B3E"/>
    <w:rsid w:val="00C5131D"/>
    <w:rsid w:val="00C63F5A"/>
    <w:rsid w:val="00C76FA1"/>
    <w:rsid w:val="00C85B3B"/>
    <w:rsid w:val="00C95DF2"/>
    <w:rsid w:val="00CB29F5"/>
    <w:rsid w:val="00CC14F6"/>
    <w:rsid w:val="00CC7618"/>
    <w:rsid w:val="00CF135A"/>
    <w:rsid w:val="00CF755A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43CB3"/>
    <w:rsid w:val="00E56F06"/>
    <w:rsid w:val="00E8162F"/>
    <w:rsid w:val="00EA6E73"/>
    <w:rsid w:val="00EE32F3"/>
    <w:rsid w:val="00F02DDA"/>
    <w:rsid w:val="00F0571F"/>
    <w:rsid w:val="00F0591E"/>
    <w:rsid w:val="00F25494"/>
    <w:rsid w:val="00F36D59"/>
    <w:rsid w:val="00F77BA6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8C3E-9DE2-4AE6-B697-0AFA25C8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8</Pages>
  <Words>1672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41</cp:revision>
  <cp:lastPrinted>2015-12-08T13:26:00Z</cp:lastPrinted>
  <dcterms:created xsi:type="dcterms:W3CDTF">2015-05-06T09:01:00Z</dcterms:created>
  <dcterms:modified xsi:type="dcterms:W3CDTF">2017-01-04T09:49:00Z</dcterms:modified>
</cp:coreProperties>
</file>