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06" w:rsidRPr="00651A1C" w:rsidRDefault="00651A1C" w:rsidP="00651A1C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</w:pPr>
      <w:r>
        <w:rPr>
          <w:rFonts w:ascii="Arial" w:hAnsi="Arial" w:cs="Arial"/>
          <w:b/>
          <w:smallCaps/>
          <w:spacing w:val="20"/>
          <w:sz w:val="32"/>
          <w:szCs w:val="32"/>
        </w:rPr>
        <w:t>Dohoda o narovnání</w:t>
      </w:r>
      <w:r w:rsidR="009246A6">
        <w:rPr>
          <w:rFonts w:ascii="Arial" w:hAnsi="Arial" w:cs="Arial"/>
          <w:b/>
          <w:smallCaps/>
          <w:spacing w:val="20"/>
          <w:sz w:val="32"/>
          <w:szCs w:val="32"/>
        </w:rPr>
        <w:t xml:space="preserve"> kupní</w:t>
      </w:r>
      <w:r>
        <w:rPr>
          <w:rFonts w:ascii="Arial" w:hAnsi="Arial" w:cs="Arial"/>
          <w:b/>
          <w:smallCaps/>
          <w:spacing w:val="20"/>
          <w:sz w:val="32"/>
          <w:szCs w:val="32"/>
        </w:rPr>
        <w:t xml:space="preserve"> sml</w:t>
      </w:r>
      <w:r w:rsidR="004C6597">
        <w:rPr>
          <w:rFonts w:ascii="Arial" w:hAnsi="Arial" w:cs="Arial"/>
          <w:b/>
          <w:smallCaps/>
          <w:spacing w:val="20"/>
          <w:sz w:val="32"/>
          <w:szCs w:val="32"/>
        </w:rPr>
        <w:t xml:space="preserve">ouvy </w:t>
      </w:r>
      <w:r w:rsidR="009246A6">
        <w:rPr>
          <w:rFonts w:ascii="Arial" w:hAnsi="Arial" w:cs="Arial"/>
          <w:b/>
          <w:smallCaps/>
          <w:spacing w:val="20"/>
          <w:sz w:val="32"/>
          <w:szCs w:val="32"/>
        </w:rPr>
        <w:t>Spektrofotometr</w:t>
      </w:r>
    </w:p>
    <w:p w:rsidR="00E61D57" w:rsidRPr="00B7189D" w:rsidRDefault="00B7189D" w:rsidP="005C1006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</w:t>
      </w:r>
      <w:r>
        <w:rPr>
          <w:rFonts w:cs="Arial"/>
          <w:b/>
          <w:bCs/>
          <w:color w:val="86B918"/>
        </w:rPr>
        <w:t>____________________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2866"/>
        <w:gridCol w:w="595"/>
        <w:gridCol w:w="4239"/>
      </w:tblGrid>
      <w:tr w:rsidR="009246A6" w:rsidRPr="006F6BBE" w:rsidTr="00893DF9">
        <w:trPr>
          <w:trHeight w:val="434"/>
        </w:trPr>
        <w:tc>
          <w:tcPr>
            <w:tcW w:w="1372" w:type="dxa"/>
            <w:vAlign w:val="center"/>
          </w:tcPr>
          <w:p w:rsidR="009246A6" w:rsidRPr="00954F5E" w:rsidRDefault="009246A6" w:rsidP="00893DF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54F5E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700" w:type="dxa"/>
            <w:gridSpan w:val="3"/>
            <w:vAlign w:val="center"/>
          </w:tcPr>
          <w:p w:rsidR="009246A6" w:rsidRPr="00265DC9" w:rsidRDefault="009246A6" w:rsidP="00893DF9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265DC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Pragolab s.r.o.</w:t>
            </w:r>
          </w:p>
        </w:tc>
      </w:tr>
      <w:tr w:rsidR="009246A6" w:rsidRPr="006F6BBE" w:rsidTr="00893DF9">
        <w:tc>
          <w:tcPr>
            <w:tcW w:w="1372" w:type="dxa"/>
            <w:vAlign w:val="center"/>
          </w:tcPr>
          <w:p w:rsidR="009246A6" w:rsidRPr="009208E8" w:rsidRDefault="009246A6" w:rsidP="00893DF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700" w:type="dxa"/>
            <w:gridSpan w:val="3"/>
            <w:vAlign w:val="center"/>
          </w:tcPr>
          <w:p w:rsidR="009246A6" w:rsidRPr="009208E8" w:rsidRDefault="009246A6" w:rsidP="00893DF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Nad Krocínkou 285/55, 190  00 Praha 9</w:t>
            </w:r>
          </w:p>
        </w:tc>
      </w:tr>
      <w:tr w:rsidR="009246A6" w:rsidRPr="006F6BBE" w:rsidTr="00893DF9">
        <w:tc>
          <w:tcPr>
            <w:tcW w:w="1372" w:type="dxa"/>
            <w:vAlign w:val="center"/>
          </w:tcPr>
          <w:p w:rsidR="009246A6" w:rsidRPr="009208E8" w:rsidRDefault="009246A6" w:rsidP="00893DF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>IČ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2866" w:type="dxa"/>
            <w:vAlign w:val="center"/>
          </w:tcPr>
          <w:p w:rsidR="009246A6" w:rsidRPr="009208E8" w:rsidRDefault="009246A6" w:rsidP="00893DF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48029289</w:t>
            </w:r>
          </w:p>
        </w:tc>
        <w:tc>
          <w:tcPr>
            <w:tcW w:w="595" w:type="dxa"/>
            <w:vAlign w:val="center"/>
          </w:tcPr>
          <w:p w:rsidR="009246A6" w:rsidRPr="009208E8" w:rsidRDefault="009246A6" w:rsidP="00893DF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39" w:type="dxa"/>
            <w:vAlign w:val="center"/>
          </w:tcPr>
          <w:p w:rsidR="009246A6" w:rsidRPr="009208E8" w:rsidRDefault="009246A6" w:rsidP="00893DF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>CZ</w:t>
            </w:r>
            <w:r>
              <w:rPr>
                <w:rFonts w:ascii="Arial" w:hAnsi="Arial" w:cs="Arial"/>
                <w:sz w:val="21"/>
                <w:szCs w:val="21"/>
              </w:rPr>
              <w:t>48029289</w:t>
            </w:r>
          </w:p>
        </w:tc>
      </w:tr>
      <w:tr w:rsidR="009246A6" w:rsidRPr="006F6BBE" w:rsidTr="00893DF9">
        <w:tc>
          <w:tcPr>
            <w:tcW w:w="1372" w:type="dxa"/>
            <w:vAlign w:val="center"/>
          </w:tcPr>
          <w:p w:rsidR="009246A6" w:rsidRPr="009208E8" w:rsidRDefault="009246A6" w:rsidP="00893DF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2866" w:type="dxa"/>
            <w:vAlign w:val="center"/>
          </w:tcPr>
          <w:p w:rsidR="009246A6" w:rsidRDefault="009246A6" w:rsidP="00893DF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  <w:tc>
          <w:tcPr>
            <w:tcW w:w="595" w:type="dxa"/>
            <w:vAlign w:val="center"/>
          </w:tcPr>
          <w:p w:rsidR="009246A6" w:rsidRPr="009208E8" w:rsidRDefault="009246A6" w:rsidP="00893DF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9" w:type="dxa"/>
            <w:vAlign w:val="center"/>
          </w:tcPr>
          <w:p w:rsidR="009246A6" w:rsidRPr="009208E8" w:rsidRDefault="009246A6" w:rsidP="00893DF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6A6" w:rsidRPr="006F6BBE" w:rsidTr="00893DF9">
        <w:tc>
          <w:tcPr>
            <w:tcW w:w="1372" w:type="dxa"/>
            <w:vAlign w:val="center"/>
          </w:tcPr>
          <w:p w:rsidR="009246A6" w:rsidRPr="009208E8" w:rsidRDefault="009246A6" w:rsidP="00893DF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700" w:type="dxa"/>
            <w:gridSpan w:val="3"/>
            <w:vAlign w:val="center"/>
          </w:tcPr>
          <w:p w:rsidR="009246A6" w:rsidRPr="009208E8" w:rsidRDefault="009246A6" w:rsidP="00893DF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Ladislavem Náměstkem, prokuristou</w:t>
            </w:r>
          </w:p>
        </w:tc>
      </w:tr>
    </w:tbl>
    <w:p w:rsidR="005C1006" w:rsidRPr="00B7189D" w:rsidRDefault="005C1006" w:rsidP="005C1006">
      <w:pPr>
        <w:spacing w:after="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 w:rsidRPr="00B7189D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dále jen „pro</w:t>
      </w:r>
      <w:r w:rsidR="009246A6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dávající</w:t>
      </w:r>
      <w:r w:rsidRPr="00B7189D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“</w:t>
      </w:r>
    </w:p>
    <w:p w:rsidR="00CC4E1E" w:rsidRPr="00B7189D" w:rsidRDefault="00CC4E1E" w:rsidP="005C1006">
      <w:pPr>
        <w:spacing w:after="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</w:p>
    <w:p w:rsidR="005C1006" w:rsidRPr="00B7189D" w:rsidRDefault="005C1006" w:rsidP="005C1006">
      <w:pPr>
        <w:spacing w:after="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 w:rsidRPr="00B7189D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a</w:t>
      </w:r>
    </w:p>
    <w:p w:rsidR="00324160" w:rsidRPr="00B7189D" w:rsidRDefault="00324160" w:rsidP="005C1006">
      <w:pPr>
        <w:spacing w:after="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2918"/>
        <w:gridCol w:w="684"/>
        <w:gridCol w:w="4089"/>
      </w:tblGrid>
      <w:tr w:rsidR="00B7189D" w:rsidRPr="00B7189D" w:rsidTr="00C84A67">
        <w:trPr>
          <w:trHeight w:val="434"/>
        </w:trPr>
        <w:tc>
          <w:tcPr>
            <w:tcW w:w="1381" w:type="dxa"/>
            <w:vAlign w:val="center"/>
          </w:tcPr>
          <w:p w:rsidR="00B7189D" w:rsidRPr="00B7189D" w:rsidRDefault="00B7189D" w:rsidP="00C84A67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7189D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691" w:type="dxa"/>
            <w:gridSpan w:val="3"/>
            <w:vAlign w:val="center"/>
          </w:tcPr>
          <w:p w:rsidR="00B7189D" w:rsidRPr="00B7189D" w:rsidRDefault="00B7189D" w:rsidP="00C84A67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B7189D">
              <w:rPr>
                <w:rFonts w:ascii="Arial" w:hAnsi="Arial" w:cs="Arial"/>
                <w:b/>
                <w:sz w:val="21"/>
                <w:szCs w:val="21"/>
              </w:rPr>
              <w:t>Ústav výzkumu globální změny AV ČR, v. v. i.</w:t>
            </w:r>
          </w:p>
        </w:tc>
      </w:tr>
      <w:tr w:rsidR="00B7189D" w:rsidRPr="00B7189D" w:rsidTr="00C84A67">
        <w:tc>
          <w:tcPr>
            <w:tcW w:w="1381" w:type="dxa"/>
            <w:vAlign w:val="center"/>
          </w:tcPr>
          <w:p w:rsidR="00B7189D" w:rsidRPr="00B7189D" w:rsidRDefault="00B7189D" w:rsidP="00C84A6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7189D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691" w:type="dxa"/>
            <w:gridSpan w:val="3"/>
            <w:vAlign w:val="center"/>
          </w:tcPr>
          <w:p w:rsidR="00B7189D" w:rsidRPr="00B7189D" w:rsidRDefault="00B7189D" w:rsidP="00C84A6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7189D">
              <w:rPr>
                <w:rFonts w:ascii="Arial" w:hAnsi="Arial" w:cs="Arial"/>
                <w:sz w:val="21"/>
                <w:szCs w:val="21"/>
              </w:rPr>
              <w:t>Bělidla 986/4a, 603  00 Brno</w:t>
            </w:r>
          </w:p>
        </w:tc>
      </w:tr>
      <w:tr w:rsidR="00B7189D" w:rsidRPr="00B7189D" w:rsidTr="00C84A67">
        <w:tc>
          <w:tcPr>
            <w:tcW w:w="1381" w:type="dxa"/>
            <w:vAlign w:val="center"/>
          </w:tcPr>
          <w:p w:rsidR="00B7189D" w:rsidRPr="00B7189D" w:rsidRDefault="00B7189D" w:rsidP="00C84A6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7189D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18" w:type="dxa"/>
            <w:vAlign w:val="center"/>
          </w:tcPr>
          <w:p w:rsidR="00B7189D" w:rsidRPr="00B7189D" w:rsidRDefault="00B7189D" w:rsidP="00C84A6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7189D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4" w:type="dxa"/>
            <w:vAlign w:val="center"/>
          </w:tcPr>
          <w:p w:rsidR="00B7189D" w:rsidRPr="00B7189D" w:rsidRDefault="00B7189D" w:rsidP="00C84A6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7189D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089" w:type="dxa"/>
            <w:vAlign w:val="center"/>
          </w:tcPr>
          <w:p w:rsidR="00B7189D" w:rsidRPr="00B7189D" w:rsidRDefault="00B7189D" w:rsidP="00C84A6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7189D"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B7189D" w:rsidRPr="00B7189D" w:rsidTr="00C84A67">
        <w:tc>
          <w:tcPr>
            <w:tcW w:w="1381" w:type="dxa"/>
            <w:vAlign w:val="center"/>
          </w:tcPr>
          <w:p w:rsidR="00B7189D" w:rsidRPr="00B7189D" w:rsidRDefault="00B7189D" w:rsidP="00C84A6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7189D">
              <w:rPr>
                <w:rFonts w:ascii="Arial" w:hAnsi="Arial" w:cs="Arial"/>
                <w:sz w:val="21"/>
                <w:szCs w:val="21"/>
              </w:rPr>
              <w:t xml:space="preserve">zastoupena </w:t>
            </w:r>
          </w:p>
        </w:tc>
        <w:tc>
          <w:tcPr>
            <w:tcW w:w="7691" w:type="dxa"/>
            <w:gridSpan w:val="3"/>
            <w:vAlign w:val="center"/>
          </w:tcPr>
          <w:p w:rsidR="00B7189D" w:rsidRPr="00B7189D" w:rsidRDefault="00B7189D" w:rsidP="00C84A6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7189D">
              <w:rPr>
                <w:rFonts w:ascii="Arial" w:hAnsi="Arial" w:cs="Arial"/>
                <w:sz w:val="21"/>
                <w:szCs w:val="21"/>
              </w:rPr>
              <w:t>prof. RNDr. Ing. Michalem V. Markem, DrSc., dr. h. c., ředitelem</w:t>
            </w:r>
          </w:p>
        </w:tc>
      </w:tr>
    </w:tbl>
    <w:p w:rsidR="005C1006" w:rsidRPr="00B7189D" w:rsidRDefault="00B7189D" w:rsidP="005C1006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</w:pPr>
      <w:r w:rsidRPr="00B7189D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dále jen „</w:t>
      </w:r>
      <w:r w:rsidR="009246A6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kupující</w:t>
      </w:r>
      <w:r w:rsidR="005C1006" w:rsidRPr="00B7189D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 xml:space="preserve">“ </w:t>
      </w:r>
    </w:p>
    <w:p w:rsidR="00CC4E1E" w:rsidRPr="00B7189D" w:rsidRDefault="00CC4E1E" w:rsidP="005C1006">
      <w:pPr>
        <w:spacing w:after="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</w:p>
    <w:p w:rsidR="005C1006" w:rsidRPr="00B7189D" w:rsidRDefault="005C1006" w:rsidP="005C1006">
      <w:pPr>
        <w:spacing w:after="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 w:rsidRPr="00B7189D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 </w:t>
      </w:r>
    </w:p>
    <w:p w:rsidR="00CC4E1E" w:rsidRPr="005D6EE2" w:rsidRDefault="005C1006" w:rsidP="005D6EE2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</w:pPr>
      <w:r w:rsidRPr="00B7189D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I. Úvodní ustanovení</w:t>
      </w:r>
    </w:p>
    <w:p w:rsidR="00F65A8E" w:rsidRPr="005D6EE2" w:rsidRDefault="00B7189D" w:rsidP="005D6EE2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Smluvní strany uzavřely dne </w:t>
      </w:r>
      <w:r w:rsidR="009246A6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25. 2. 2020 kupní</w:t>
      </w:r>
      <w:r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smlouvu </w:t>
      </w:r>
      <w:r w:rsidR="009246A6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Spektrofotometr</w:t>
      </w:r>
      <w:r w:rsidR="00F65A8E"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(dále jen </w:t>
      </w:r>
      <w:r w:rsidR="00AE01CC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„</w:t>
      </w:r>
      <w:r w:rsidR="00F65A8E"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Smlouva</w:t>
      </w:r>
      <w:r w:rsidR="00AE01CC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“</w:t>
      </w:r>
      <w:r w:rsidR="00F65A8E"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).</w:t>
      </w:r>
    </w:p>
    <w:p w:rsidR="00ED6184" w:rsidRPr="009246A6" w:rsidRDefault="009246A6" w:rsidP="009246A6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V důsledku interní </w:t>
      </w:r>
      <w:r w:rsidR="000024A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kontroly kupující zjistil, že ve</w:t>
      </w: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smlouvě byl chybně uveden projekt, z kterého </w:t>
      </w:r>
      <w:r w:rsidR="000024A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je předmět koupě hrazen. Toto pochybení na straně kupujícího bylo zapříčiněno tím, že tento druh smluv je de facto pro každý </w:t>
      </w:r>
      <w:r w:rsidR="00EB7B40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nákup</w:t>
      </w:r>
      <w:r w:rsidR="000024A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</w:t>
      </w:r>
      <w:r w:rsidR="00C03613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velmi podobný</w:t>
      </w:r>
      <w:r w:rsidR="000024A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, jen se liší uv</w:t>
      </w:r>
      <w:r w:rsidR="00EB7B40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edením správného čísla projektu. V</w:t>
      </w:r>
      <w:r w:rsidR="000024A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 důsledku nepozornosti nebylo toto změněno v souladu s projektem, ačkoliv již v návrhu projektu bylo počítáno, že tento předmět koupě bude hrazen z projektu CzeCOS UPgrade a nikoliv projektu SustES, jak bylo chybně uvedeno ve smlouvě.</w:t>
      </w:r>
    </w:p>
    <w:p w:rsidR="005C1006" w:rsidRPr="00B7189D" w:rsidRDefault="005C1006" w:rsidP="005D6EE2">
      <w:pPr>
        <w:spacing w:before="120" w:after="12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 w:rsidRPr="00B7189D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 </w:t>
      </w:r>
    </w:p>
    <w:p w:rsidR="000A0E7C" w:rsidRPr="005D6EE2" w:rsidRDefault="005C1006" w:rsidP="005D6EE2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</w:pPr>
      <w:bookmarkStart w:id="0" w:name="_GoBack"/>
      <w:bookmarkEnd w:id="0"/>
      <w:r w:rsidRPr="00B7189D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 xml:space="preserve">II. </w:t>
      </w:r>
      <w:r w:rsidR="006C18B0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Narovnání S</w:t>
      </w:r>
      <w:r w:rsidR="006A2C9B" w:rsidRPr="00B7189D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mlouvy</w:t>
      </w:r>
    </w:p>
    <w:p w:rsidR="0008299F" w:rsidRDefault="009246A6" w:rsidP="00EB7B40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Kupující prohlašuje, že skutečný zdroj financování předmětu koupě, který byl zakoupen na základě této smlouvy</w:t>
      </w:r>
      <w:r w:rsidR="0096436D" w:rsidRPr="0096436D">
        <w:t xml:space="preserve"> </w:t>
      </w:r>
      <w:r w:rsidR="0096436D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je Evropský fond pro regionální rozvoj, OP V</w:t>
      </w:r>
      <w:r w:rsidR="00EB7B40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ýzkum vývoj a vzdělávání, a to projekt</w:t>
      </w: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</w:t>
      </w:r>
      <w:r w:rsidR="0096436D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CzeCOS UP</w:t>
      </w:r>
      <w:r w:rsidRPr="009246A6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grade</w:t>
      </w: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,</w:t>
      </w:r>
      <w:r w:rsidR="0096436D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registrační číslo</w:t>
      </w: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</w:t>
      </w:r>
      <w:r w:rsidRPr="009246A6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CZ.02.1.01/0.0/0.0/18_046/0016081</w:t>
      </w:r>
      <w:r w:rsidR="0096436D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.</w:t>
      </w:r>
    </w:p>
    <w:p w:rsidR="00EB7B40" w:rsidRPr="009246A6" w:rsidRDefault="00EB7B40" w:rsidP="00EB7B40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Prodávající je povinen ve smyslu této Dohody upravit fakturu, tak aby na ní byl uveden výše zmíněný název a registrační číslo projektu.</w:t>
      </w:r>
    </w:p>
    <w:p w:rsidR="005D6EE2" w:rsidRPr="005D6EE2" w:rsidRDefault="005D6EE2" w:rsidP="00EB7B40">
      <w:pPr>
        <w:pStyle w:val="Odstavecseseznamem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Pro vyloučení pochybností se smluvní strany dohodly, že žádné ze smluvních stran nenáleží náhrada újmy ani jiné nároky, které by jí mohly vzniknout v důsledku toho, že </w:t>
      </w:r>
      <w:r w:rsidR="0096436D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reálný zdroj financování byl jiný, než uvedený ve smlouvě</w:t>
      </w:r>
      <w:r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.</w:t>
      </w:r>
    </w:p>
    <w:p w:rsidR="00D20AB0" w:rsidRDefault="00D20AB0" w:rsidP="005D6EE2">
      <w:pPr>
        <w:spacing w:before="120" w:after="12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</w:p>
    <w:p w:rsidR="005D6EE2" w:rsidRDefault="005D6EE2" w:rsidP="005D6EE2">
      <w:pPr>
        <w:spacing w:before="120" w:after="12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</w:p>
    <w:p w:rsidR="005D6EE2" w:rsidRPr="00B7189D" w:rsidRDefault="005D6EE2" w:rsidP="005D6EE2">
      <w:pPr>
        <w:spacing w:before="120" w:after="12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</w:p>
    <w:p w:rsidR="000A0E7C" w:rsidRPr="00B7189D" w:rsidRDefault="000A0E7C" w:rsidP="005D6EE2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</w:pPr>
      <w:r w:rsidRPr="00B7189D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lastRenderedPageBreak/>
        <w:t>III. Vypořádání bezdůvodného obohacení</w:t>
      </w:r>
    </w:p>
    <w:p w:rsidR="0096436D" w:rsidRDefault="0096436D" w:rsidP="005D6EE2">
      <w:pPr>
        <w:pStyle w:val="Odstavecseseznamem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Vzhledem k tomu, že se v tomto případě nejednalo o platnost nebo účinnost smlouvy jako takové, nýbrž o formální změnu zdroje financování uvedenou ve smlouvě, nepojí se s touto změnou vypořádání bezdůvodného obohacení, neboť ani u jedné ze smluvních stran nedošlo k bezdůvodnému obohacení.</w:t>
      </w:r>
    </w:p>
    <w:p w:rsidR="008B75E6" w:rsidRPr="00B7189D" w:rsidRDefault="008B75E6" w:rsidP="005D6EE2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</w:pPr>
    </w:p>
    <w:p w:rsidR="000F4C0F" w:rsidRPr="005D6EE2" w:rsidRDefault="000A0E7C" w:rsidP="005D6EE2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</w:pPr>
      <w:r w:rsidRPr="00B7189D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IV</w:t>
      </w:r>
      <w:r w:rsidR="000F4C0F" w:rsidRPr="00B7189D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. Závěrečná ustanovení</w:t>
      </w:r>
    </w:p>
    <w:p w:rsidR="00F65A8E" w:rsidRPr="005D6EE2" w:rsidRDefault="0099617D" w:rsidP="005D6EE2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T</w:t>
      </w:r>
      <w:r w:rsidR="00C22844"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uto</w:t>
      </w:r>
      <w:r w:rsidR="00F65A8E"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</w:t>
      </w:r>
      <w:r w:rsidR="00C22844"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Dohodu</w:t>
      </w:r>
      <w:r w:rsidR="00F65A8E"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lze měnit pouze písemně. </w:t>
      </w:r>
    </w:p>
    <w:p w:rsidR="00F65A8E" w:rsidRPr="005D6EE2" w:rsidRDefault="00C22844" w:rsidP="005D6EE2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Tato</w:t>
      </w:r>
      <w:r w:rsidR="00F65A8E"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</w:t>
      </w:r>
      <w:r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Dohoda</w:t>
      </w:r>
      <w:r w:rsidR="00F65A8E"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se vyhotovuje ve dvou stejnopisech, z nichž každé ze smluvních stran náleží jeden stejnopis.</w:t>
      </w:r>
    </w:p>
    <w:p w:rsidR="00F65A8E" w:rsidRPr="005D6EE2" w:rsidRDefault="00F65A8E" w:rsidP="005D6EE2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Smluvní </w:t>
      </w:r>
      <w:r w:rsidR="0099617D"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strany berou na vědomí, že t</w:t>
      </w:r>
      <w:r w:rsidR="00C22844"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a</w:t>
      </w:r>
      <w:r w:rsidR="0099617D"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to</w:t>
      </w:r>
      <w:r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</w:t>
      </w:r>
      <w:r w:rsidR="00C22844"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Dohoda</w:t>
      </w:r>
      <w:r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naplňuje požadavky, uvedené v zákoně č. 340/2015 Sb. a podléhá tímto povinnosti zveřejnění v registru smluv, a s tímto uveřejněním v zákonném rozsahu souhlasí. Zadat </w:t>
      </w:r>
      <w:r w:rsidR="00C22844"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Dohodu</w:t>
      </w:r>
      <w:r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do registru smluv v zákonné lhůtě se zavazuje </w:t>
      </w:r>
      <w:r w:rsidR="000024A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kupující</w:t>
      </w:r>
      <w:r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, který na vyžádání </w:t>
      </w:r>
      <w:r w:rsidR="000024A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prodávajícího</w:t>
      </w:r>
      <w:r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zašle </w:t>
      </w:r>
      <w:r w:rsidR="00B36B23"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pro</w:t>
      </w:r>
      <w:r w:rsidR="000024A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dávajícímu</w:t>
      </w:r>
      <w:r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potvrzení o uveřejnění </w:t>
      </w:r>
      <w:r w:rsidR="00C22844"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Dohody</w:t>
      </w:r>
      <w:r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.</w:t>
      </w:r>
    </w:p>
    <w:p w:rsidR="005C1006" w:rsidRPr="00B7189D" w:rsidRDefault="005C1006" w:rsidP="005C1006">
      <w:pPr>
        <w:spacing w:after="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B7189D" w:rsidRPr="006F6BBE" w:rsidTr="00C84A67">
        <w:tc>
          <w:tcPr>
            <w:tcW w:w="4503" w:type="dxa"/>
            <w:vAlign w:val="center"/>
          </w:tcPr>
          <w:p w:rsidR="00B7189D" w:rsidRDefault="00B7189D" w:rsidP="00C84A67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  <w:p w:rsidR="00B7189D" w:rsidRPr="006F6BBE" w:rsidRDefault="00B7189D" w:rsidP="009246A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9246A6">
              <w:rPr>
                <w:rFonts w:ascii="Arial" w:hAnsi="Arial" w:cs="Arial"/>
                <w:sz w:val="21"/>
                <w:szCs w:val="21"/>
              </w:rPr>
              <w:t>Praze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7189D" w:rsidRPr="006F6BBE" w:rsidRDefault="00B7189D" w:rsidP="00C84A67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 Brně dne </w:t>
            </w:r>
          </w:p>
        </w:tc>
      </w:tr>
      <w:tr w:rsidR="00B7189D" w:rsidRPr="006F6BBE" w:rsidTr="00C84A67">
        <w:trPr>
          <w:trHeight w:val="811"/>
        </w:trPr>
        <w:tc>
          <w:tcPr>
            <w:tcW w:w="4503" w:type="dxa"/>
            <w:vAlign w:val="center"/>
          </w:tcPr>
          <w:p w:rsidR="00B7189D" w:rsidRPr="006F6BBE" w:rsidRDefault="00B7189D" w:rsidP="00C84A67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B7189D" w:rsidRPr="006F6BBE" w:rsidRDefault="00B7189D" w:rsidP="00C84A67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189D" w:rsidRPr="006F6BBE" w:rsidTr="00C84A67">
        <w:tc>
          <w:tcPr>
            <w:tcW w:w="4503" w:type="dxa"/>
            <w:vAlign w:val="center"/>
          </w:tcPr>
          <w:p w:rsidR="00B7189D" w:rsidRDefault="00B7189D" w:rsidP="00C84A67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9246A6">
              <w:rPr>
                <w:rFonts w:ascii="Arial" w:hAnsi="Arial" w:cs="Arial"/>
                <w:sz w:val="21"/>
                <w:szCs w:val="21"/>
              </w:rPr>
              <w:t>Ladislav Náměstek</w:t>
            </w:r>
          </w:p>
          <w:p w:rsidR="00B7189D" w:rsidRPr="006F6BBE" w:rsidRDefault="00EB7B40" w:rsidP="00C84A67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prokurista</w:t>
            </w:r>
          </w:p>
        </w:tc>
        <w:tc>
          <w:tcPr>
            <w:tcW w:w="5103" w:type="dxa"/>
            <w:vAlign w:val="center"/>
          </w:tcPr>
          <w:p w:rsidR="00B7189D" w:rsidRDefault="00B7189D" w:rsidP="00C84A67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  <w:p w:rsidR="00B7189D" w:rsidRPr="006F6BBE" w:rsidRDefault="00B7189D" w:rsidP="00C84A67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B7189D" w:rsidRPr="006F6BBE" w:rsidTr="00C84A67">
        <w:tc>
          <w:tcPr>
            <w:tcW w:w="4503" w:type="dxa"/>
            <w:vAlign w:val="center"/>
          </w:tcPr>
          <w:p w:rsidR="00B7189D" w:rsidRPr="006F6BBE" w:rsidRDefault="009246A6" w:rsidP="00C84A67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Pragolab s.r.o.</w:t>
            </w:r>
          </w:p>
        </w:tc>
        <w:tc>
          <w:tcPr>
            <w:tcW w:w="5103" w:type="dxa"/>
            <w:vAlign w:val="center"/>
          </w:tcPr>
          <w:p w:rsidR="00B7189D" w:rsidRPr="006F6BBE" w:rsidRDefault="00B7189D" w:rsidP="00C84A67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804851" w:rsidRPr="00F65A8E" w:rsidRDefault="00804851" w:rsidP="00F65A8E">
      <w:pPr>
        <w:rPr>
          <w:rFonts w:ascii="Times New Roman" w:eastAsia="Times New Roman" w:hAnsi="Times New Roman" w:cs="Arial"/>
          <w:i/>
          <w:iCs/>
          <w:color w:val="000000"/>
          <w:sz w:val="24"/>
          <w:szCs w:val="20"/>
          <w:lang w:eastAsia="cs-CZ"/>
        </w:rPr>
      </w:pPr>
    </w:p>
    <w:sectPr w:rsidR="00804851" w:rsidRPr="00F65A8E" w:rsidSect="00B7189D">
      <w:headerReference w:type="default" r:id="rId8"/>
      <w:footerReference w:type="default" r:id="rId9"/>
      <w:headerReference w:type="first" r:id="rId10"/>
      <w:footerReference w:type="first" r:id="rId11"/>
      <w:pgSz w:w="11906" w:h="16837"/>
      <w:pgMar w:top="1134" w:right="1134" w:bottom="851" w:left="1134" w:header="70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38" w:rsidRDefault="00C73B38">
      <w:pPr>
        <w:spacing w:after="0" w:line="240" w:lineRule="auto"/>
      </w:pPr>
      <w:r>
        <w:separator/>
      </w:r>
    </w:p>
  </w:endnote>
  <w:endnote w:type="continuationSeparator" w:id="0">
    <w:p w:rsidR="00C73B38" w:rsidRDefault="00C7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07" w:rsidRDefault="009A4F0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613">
      <w:rPr>
        <w:noProof/>
      </w:rPr>
      <w:t>2</w:t>
    </w:r>
    <w:r>
      <w:fldChar w:fldCharType="end"/>
    </w:r>
  </w:p>
  <w:p w:rsidR="009A4F07" w:rsidRDefault="009A4F07">
    <w:pPr>
      <w:pStyle w:val="Normal"/>
      <w:jc w:val="right"/>
      <w:rPr>
        <w:rFonts w:ascii="Courier New" w:eastAsia="Courier New" w:hAnsi="Courier Ne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07" w:rsidRDefault="009A4F07" w:rsidP="00E25E79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C73B38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C73B38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:rsidR="009A4F07" w:rsidRDefault="009A4F07">
    <w:pPr>
      <w:pStyle w:val="Normal"/>
      <w:jc w:val="right"/>
      <w:rPr>
        <w:rFonts w:ascii="Courier New" w:eastAsia="Courier New" w:hAnsi="Courier Ne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38" w:rsidRDefault="00C73B38">
      <w:pPr>
        <w:spacing w:after="0" w:line="240" w:lineRule="auto"/>
      </w:pPr>
      <w:r>
        <w:separator/>
      </w:r>
    </w:p>
  </w:footnote>
  <w:footnote w:type="continuationSeparator" w:id="0">
    <w:p w:rsidR="00C73B38" w:rsidRDefault="00C7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9D" w:rsidRDefault="004C6597" w:rsidP="00B7189D">
    <w:pPr>
      <w:pStyle w:val="Zhlav"/>
    </w:pPr>
    <w:r>
      <w:rPr>
        <w:noProof/>
        <w:lang w:eastAsia="cs-CZ"/>
      </w:rPr>
      <w:t>Dohoda o narovnání</w:t>
    </w:r>
    <w:r w:rsidR="004E7149">
      <w:rPr>
        <w:noProof/>
        <w:lang w:eastAsia="cs-CZ"/>
      </w:rPr>
      <w:t xml:space="preserve"> – </w:t>
    </w:r>
    <w:r w:rsidR="009246A6">
      <w:rPr>
        <w:noProof/>
        <w:lang w:eastAsia="cs-CZ"/>
      </w:rPr>
      <w:t>Pragolab</w:t>
    </w:r>
  </w:p>
  <w:p w:rsidR="00B7189D" w:rsidRDefault="00B7189D" w:rsidP="00B7189D">
    <w:pPr>
      <w:pStyle w:val="Zhlav"/>
      <w:jc w:val="center"/>
    </w:pPr>
    <w:r w:rsidRPr="00606B8A">
      <w:rPr>
        <w:rFonts w:cs="Arial"/>
        <w:b/>
        <w:bCs/>
        <w:color w:val="004894"/>
      </w:rPr>
      <w:t>________________________________________________________________________________</w:t>
    </w:r>
    <w:r>
      <w:rPr>
        <w:rFonts w:cs="Arial"/>
        <w:b/>
        <w:bCs/>
        <w:color w:val="004894"/>
      </w:rPr>
      <w:t>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9D" w:rsidRDefault="00B7189D" w:rsidP="00B7189D">
    <w:pPr>
      <w:pStyle w:val="Zhlav"/>
      <w:jc w:val="center"/>
    </w:pPr>
    <w:r>
      <w:rPr>
        <w:noProof/>
        <w:lang w:eastAsia="cs-CZ"/>
      </w:rPr>
      <w:drawing>
        <wp:inline distT="0" distB="0" distL="0" distR="0" wp14:anchorId="5EDC3448" wp14:editId="40CE9435">
          <wp:extent cx="14401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42"/>
                  <a:stretch/>
                </pic:blipFill>
                <pic:spPr bwMode="auto">
                  <a:xfrm>
                    <a:off x="0" y="0"/>
                    <a:ext cx="14401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246A6" w:rsidRDefault="009246A6" w:rsidP="00B7189D">
    <w:pPr>
      <w:pStyle w:val="Zhlav"/>
      <w:jc w:val="center"/>
    </w:pPr>
    <w:r w:rsidRPr="00592ABC">
      <w:rPr>
        <w:rFonts w:cs="Arial"/>
        <w:noProof/>
        <w:lang w:eastAsia="cs-CZ"/>
      </w:rPr>
      <w:drawing>
        <wp:inline distT="0" distB="0" distL="0" distR="0" wp14:anchorId="278E86A9" wp14:editId="21D0C0B6">
          <wp:extent cx="5760720" cy="1280795"/>
          <wp:effectExtent l="0" t="0" r="0" b="0"/>
          <wp:docPr id="8" name="Obrázek 8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89D" w:rsidRDefault="00B7189D" w:rsidP="00B7189D">
    <w:pPr>
      <w:pStyle w:val="Zhlav"/>
      <w:jc w:val="center"/>
    </w:pPr>
    <w:r w:rsidRPr="00606B8A">
      <w:rPr>
        <w:rFonts w:cs="Arial"/>
        <w:b/>
        <w:bCs/>
        <w:color w:val="004894"/>
      </w:rPr>
      <w:t>_________________________________________________________________________________</w:t>
    </w:r>
    <w:r>
      <w:rPr>
        <w:rFonts w:cs="Arial"/>
        <w:b/>
        <w:bCs/>
        <w:color w:val="004894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3F4B"/>
    <w:multiLevelType w:val="hybridMultilevel"/>
    <w:tmpl w:val="DF1CE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1EB3"/>
    <w:multiLevelType w:val="hybridMultilevel"/>
    <w:tmpl w:val="E5FA2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D5054"/>
    <w:multiLevelType w:val="hybridMultilevel"/>
    <w:tmpl w:val="C0A4C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7A45"/>
    <w:multiLevelType w:val="hybridMultilevel"/>
    <w:tmpl w:val="5B987188"/>
    <w:lvl w:ilvl="0" w:tplc="807EE7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75E7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4BF24494"/>
    <w:multiLevelType w:val="hybridMultilevel"/>
    <w:tmpl w:val="795063EA"/>
    <w:lvl w:ilvl="0" w:tplc="EE723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67111"/>
    <w:multiLevelType w:val="hybridMultilevel"/>
    <w:tmpl w:val="BEB00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95815"/>
    <w:multiLevelType w:val="hybridMultilevel"/>
    <w:tmpl w:val="D7904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207DB"/>
    <w:multiLevelType w:val="hybridMultilevel"/>
    <w:tmpl w:val="0DC6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06"/>
    <w:rsid w:val="000024A2"/>
    <w:rsid w:val="00021A53"/>
    <w:rsid w:val="0002506D"/>
    <w:rsid w:val="00033204"/>
    <w:rsid w:val="00033406"/>
    <w:rsid w:val="000430C2"/>
    <w:rsid w:val="00054B20"/>
    <w:rsid w:val="00066ED9"/>
    <w:rsid w:val="000720F7"/>
    <w:rsid w:val="00074995"/>
    <w:rsid w:val="0008299F"/>
    <w:rsid w:val="000A0E7C"/>
    <w:rsid w:val="000A2603"/>
    <w:rsid w:val="000B46F2"/>
    <w:rsid w:val="000B78BE"/>
    <w:rsid w:val="000C154C"/>
    <w:rsid w:val="000C6F9E"/>
    <w:rsid w:val="000D3C51"/>
    <w:rsid w:val="000F4C0F"/>
    <w:rsid w:val="001029A3"/>
    <w:rsid w:val="00104618"/>
    <w:rsid w:val="00111D86"/>
    <w:rsid w:val="00123778"/>
    <w:rsid w:val="00141867"/>
    <w:rsid w:val="0016243C"/>
    <w:rsid w:val="001825DC"/>
    <w:rsid w:val="001971D2"/>
    <w:rsid w:val="001A2B30"/>
    <w:rsid w:val="001B5CC2"/>
    <w:rsid w:val="001C7770"/>
    <w:rsid w:val="001D411D"/>
    <w:rsid w:val="001F6BA8"/>
    <w:rsid w:val="00200A08"/>
    <w:rsid w:val="002227F2"/>
    <w:rsid w:val="00223ED8"/>
    <w:rsid w:val="00254564"/>
    <w:rsid w:val="00254BA8"/>
    <w:rsid w:val="00256542"/>
    <w:rsid w:val="0027042E"/>
    <w:rsid w:val="002C700F"/>
    <w:rsid w:val="002E3AE4"/>
    <w:rsid w:val="002F0E33"/>
    <w:rsid w:val="003035AA"/>
    <w:rsid w:val="00312D8C"/>
    <w:rsid w:val="003148AA"/>
    <w:rsid w:val="00324160"/>
    <w:rsid w:val="00325237"/>
    <w:rsid w:val="00346467"/>
    <w:rsid w:val="00346F70"/>
    <w:rsid w:val="00355BD5"/>
    <w:rsid w:val="00355F8F"/>
    <w:rsid w:val="00392D45"/>
    <w:rsid w:val="00395E03"/>
    <w:rsid w:val="00397BBF"/>
    <w:rsid w:val="003B0F24"/>
    <w:rsid w:val="003E1B3A"/>
    <w:rsid w:val="003F20B8"/>
    <w:rsid w:val="003F3434"/>
    <w:rsid w:val="003F7705"/>
    <w:rsid w:val="00401CE5"/>
    <w:rsid w:val="00412AE5"/>
    <w:rsid w:val="00423931"/>
    <w:rsid w:val="00474821"/>
    <w:rsid w:val="00486665"/>
    <w:rsid w:val="00497FC8"/>
    <w:rsid w:val="004C3DDA"/>
    <w:rsid w:val="004C6597"/>
    <w:rsid w:val="004D5894"/>
    <w:rsid w:val="004D7F92"/>
    <w:rsid w:val="004E7149"/>
    <w:rsid w:val="00500D4F"/>
    <w:rsid w:val="0051221A"/>
    <w:rsid w:val="00522FC2"/>
    <w:rsid w:val="00535211"/>
    <w:rsid w:val="00541593"/>
    <w:rsid w:val="00552C7F"/>
    <w:rsid w:val="005A6450"/>
    <w:rsid w:val="005C1006"/>
    <w:rsid w:val="005D2DAD"/>
    <w:rsid w:val="005D6EE2"/>
    <w:rsid w:val="005D7E6A"/>
    <w:rsid w:val="005E3DD7"/>
    <w:rsid w:val="0060368E"/>
    <w:rsid w:val="006054BC"/>
    <w:rsid w:val="00616E61"/>
    <w:rsid w:val="00651A1C"/>
    <w:rsid w:val="00655105"/>
    <w:rsid w:val="00664A21"/>
    <w:rsid w:val="00684310"/>
    <w:rsid w:val="00691B15"/>
    <w:rsid w:val="006926FB"/>
    <w:rsid w:val="006A2C9B"/>
    <w:rsid w:val="006A609D"/>
    <w:rsid w:val="006A6BA7"/>
    <w:rsid w:val="006B5FBD"/>
    <w:rsid w:val="006C18B0"/>
    <w:rsid w:val="006C38AB"/>
    <w:rsid w:val="006C497D"/>
    <w:rsid w:val="006E0026"/>
    <w:rsid w:val="006E06ED"/>
    <w:rsid w:val="00712D00"/>
    <w:rsid w:val="00720A7D"/>
    <w:rsid w:val="00723B3E"/>
    <w:rsid w:val="00724926"/>
    <w:rsid w:val="0072556F"/>
    <w:rsid w:val="007546C1"/>
    <w:rsid w:val="00754FD1"/>
    <w:rsid w:val="007661DE"/>
    <w:rsid w:val="00771A14"/>
    <w:rsid w:val="00776F1A"/>
    <w:rsid w:val="00782C32"/>
    <w:rsid w:val="00791EBE"/>
    <w:rsid w:val="007C6E7A"/>
    <w:rsid w:val="007E1513"/>
    <w:rsid w:val="007F7F52"/>
    <w:rsid w:val="00804851"/>
    <w:rsid w:val="00813658"/>
    <w:rsid w:val="00815C20"/>
    <w:rsid w:val="0084109E"/>
    <w:rsid w:val="00842F16"/>
    <w:rsid w:val="008450CE"/>
    <w:rsid w:val="00846FE2"/>
    <w:rsid w:val="008530D1"/>
    <w:rsid w:val="00871D18"/>
    <w:rsid w:val="00880EFB"/>
    <w:rsid w:val="008A31DF"/>
    <w:rsid w:val="008A6AB0"/>
    <w:rsid w:val="008A7D2E"/>
    <w:rsid w:val="008B75E6"/>
    <w:rsid w:val="00902220"/>
    <w:rsid w:val="00911D8B"/>
    <w:rsid w:val="00913440"/>
    <w:rsid w:val="00913A95"/>
    <w:rsid w:val="009246A6"/>
    <w:rsid w:val="00926B8B"/>
    <w:rsid w:val="00937834"/>
    <w:rsid w:val="0096436D"/>
    <w:rsid w:val="00970832"/>
    <w:rsid w:val="009708DB"/>
    <w:rsid w:val="009776A8"/>
    <w:rsid w:val="00985B3A"/>
    <w:rsid w:val="00992446"/>
    <w:rsid w:val="0099617D"/>
    <w:rsid w:val="009A4D91"/>
    <w:rsid w:val="009A4F07"/>
    <w:rsid w:val="009C18C7"/>
    <w:rsid w:val="009D0C77"/>
    <w:rsid w:val="009D1274"/>
    <w:rsid w:val="009F6200"/>
    <w:rsid w:val="00A21894"/>
    <w:rsid w:val="00A45447"/>
    <w:rsid w:val="00A57F8D"/>
    <w:rsid w:val="00A61452"/>
    <w:rsid w:val="00A638E4"/>
    <w:rsid w:val="00A7763A"/>
    <w:rsid w:val="00AA3377"/>
    <w:rsid w:val="00AC67DC"/>
    <w:rsid w:val="00AD31BE"/>
    <w:rsid w:val="00AE01CC"/>
    <w:rsid w:val="00B07DA6"/>
    <w:rsid w:val="00B22089"/>
    <w:rsid w:val="00B24011"/>
    <w:rsid w:val="00B36B23"/>
    <w:rsid w:val="00B44202"/>
    <w:rsid w:val="00B7189D"/>
    <w:rsid w:val="00B7589A"/>
    <w:rsid w:val="00BB0FFE"/>
    <w:rsid w:val="00BD23FA"/>
    <w:rsid w:val="00BD536B"/>
    <w:rsid w:val="00C03613"/>
    <w:rsid w:val="00C04CB1"/>
    <w:rsid w:val="00C22844"/>
    <w:rsid w:val="00C2385F"/>
    <w:rsid w:val="00C25B0F"/>
    <w:rsid w:val="00C34BEB"/>
    <w:rsid w:val="00C37100"/>
    <w:rsid w:val="00C43051"/>
    <w:rsid w:val="00C515C0"/>
    <w:rsid w:val="00C73B38"/>
    <w:rsid w:val="00C823A4"/>
    <w:rsid w:val="00CA3A97"/>
    <w:rsid w:val="00CA5A0F"/>
    <w:rsid w:val="00CB2AE3"/>
    <w:rsid w:val="00CB4C5E"/>
    <w:rsid w:val="00CC4E1E"/>
    <w:rsid w:val="00CD6667"/>
    <w:rsid w:val="00CE1A66"/>
    <w:rsid w:val="00CF010C"/>
    <w:rsid w:val="00CF4035"/>
    <w:rsid w:val="00D05A90"/>
    <w:rsid w:val="00D12A4C"/>
    <w:rsid w:val="00D2079D"/>
    <w:rsid w:val="00D20AB0"/>
    <w:rsid w:val="00D23E6B"/>
    <w:rsid w:val="00D526AC"/>
    <w:rsid w:val="00D5345D"/>
    <w:rsid w:val="00D702DC"/>
    <w:rsid w:val="00DB4CFE"/>
    <w:rsid w:val="00DD1071"/>
    <w:rsid w:val="00E0105A"/>
    <w:rsid w:val="00E01B6C"/>
    <w:rsid w:val="00E02366"/>
    <w:rsid w:val="00E024CF"/>
    <w:rsid w:val="00E0292F"/>
    <w:rsid w:val="00E11F29"/>
    <w:rsid w:val="00E23678"/>
    <w:rsid w:val="00E25E79"/>
    <w:rsid w:val="00E31E36"/>
    <w:rsid w:val="00E354D5"/>
    <w:rsid w:val="00E4356B"/>
    <w:rsid w:val="00E61D57"/>
    <w:rsid w:val="00E72140"/>
    <w:rsid w:val="00E75FA1"/>
    <w:rsid w:val="00EA1BC2"/>
    <w:rsid w:val="00EA3790"/>
    <w:rsid w:val="00EB0F25"/>
    <w:rsid w:val="00EB7B40"/>
    <w:rsid w:val="00ED1ECD"/>
    <w:rsid w:val="00ED423F"/>
    <w:rsid w:val="00ED6184"/>
    <w:rsid w:val="00F1257A"/>
    <w:rsid w:val="00F145C6"/>
    <w:rsid w:val="00F344A1"/>
    <w:rsid w:val="00F35D0C"/>
    <w:rsid w:val="00F468E8"/>
    <w:rsid w:val="00F61B09"/>
    <w:rsid w:val="00F65A8E"/>
    <w:rsid w:val="00F67CA2"/>
    <w:rsid w:val="00F7083B"/>
    <w:rsid w:val="00F73514"/>
    <w:rsid w:val="00F747CD"/>
    <w:rsid w:val="00F816B7"/>
    <w:rsid w:val="00F90C9B"/>
    <w:rsid w:val="00FA0ED1"/>
    <w:rsid w:val="00FD72A8"/>
    <w:rsid w:val="00FE3CC1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DE9AC"/>
  <w15:docId w15:val="{F46D3607-4C84-488F-BF62-3B587D6C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C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006"/>
  </w:style>
  <w:style w:type="paragraph" w:customStyle="1" w:styleId="Normal">
    <w:name w:val="[Normal]"/>
    <w:rsid w:val="005C1006"/>
    <w:pPr>
      <w:spacing w:after="0" w:line="240" w:lineRule="auto"/>
    </w:pPr>
    <w:rPr>
      <w:rFonts w:ascii="Arial" w:eastAsia="Arial" w:hAnsi="Arial" w:cs="Arial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3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1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E79"/>
  </w:style>
  <w:style w:type="table" w:styleId="Mkatabulky">
    <w:name w:val="Table Grid"/>
    <w:basedOn w:val="Normlntabulka"/>
    <w:rsid w:val="0020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body text"/>
    <w:basedOn w:val="Normln"/>
    <w:link w:val="ZkladntextChar"/>
    <w:rsid w:val="00B7189D"/>
    <w:pPr>
      <w:spacing w:before="120" w:after="113" w:line="240" w:lineRule="auto"/>
      <w:ind w:left="425" w:hanging="42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B7189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2853-A876-4BBF-BD57-F737879B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Vilémov</dc:creator>
  <cp:lastModifiedBy>Michal Minařík</cp:lastModifiedBy>
  <cp:revision>28</cp:revision>
  <cp:lastPrinted>2018-02-07T13:13:00Z</cp:lastPrinted>
  <dcterms:created xsi:type="dcterms:W3CDTF">2020-03-16T08:14:00Z</dcterms:created>
  <dcterms:modified xsi:type="dcterms:W3CDTF">2020-04-09T11:54:00Z</dcterms:modified>
</cp:coreProperties>
</file>