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F234F" w14:textId="77777777" w:rsidR="006C0C42" w:rsidRPr="00FF7558" w:rsidRDefault="00C50310" w:rsidP="003B5D7F">
      <w:pPr>
        <w:pStyle w:val="Nzev"/>
      </w:pPr>
      <w:r w:rsidRPr="00FF7558">
        <w:t>S</w:t>
      </w:r>
      <w:r w:rsidR="00566D8B" w:rsidRPr="00FF7558">
        <w:t xml:space="preserve">mlouva o poskytování </w:t>
      </w:r>
      <w:r w:rsidR="00C609AF" w:rsidRPr="00FF7558">
        <w:t xml:space="preserve">servisních a konzultačních </w:t>
      </w:r>
      <w:r w:rsidR="00566D8B" w:rsidRPr="00FF7558">
        <w:t>služeb</w:t>
      </w:r>
    </w:p>
    <w:p w14:paraId="134A63A5" w14:textId="77777777" w:rsidR="00C602DB" w:rsidRPr="00FF7558" w:rsidRDefault="00C602DB" w:rsidP="00C602DB"/>
    <w:p w14:paraId="27DD7188" w14:textId="77777777" w:rsidR="00566D8B" w:rsidRPr="00FF7558" w:rsidRDefault="00566D8B" w:rsidP="001B0DF5">
      <w:pPr>
        <w:jc w:val="both"/>
      </w:pPr>
      <w:r w:rsidRPr="00FF7558">
        <w:t xml:space="preserve">uzavřená </w:t>
      </w:r>
      <w:r w:rsidR="001B0DF5" w:rsidRPr="00FF7558">
        <w:t xml:space="preserve">dle </w:t>
      </w:r>
      <w:proofErr w:type="spellStart"/>
      <w:r w:rsidR="001B0DF5" w:rsidRPr="00FF7558">
        <w:t>ust</w:t>
      </w:r>
      <w:proofErr w:type="spellEnd"/>
      <w:r w:rsidR="001B0DF5" w:rsidRPr="00FF7558">
        <w:t xml:space="preserve">. § 1746 odst. 2 zákona č. 89/2012Sb., občanský zákoník, ve znění pozdějších předpisů a příslušných </w:t>
      </w:r>
      <w:proofErr w:type="spellStart"/>
      <w:r w:rsidR="001B0DF5" w:rsidRPr="00FF7558">
        <w:t>ust</w:t>
      </w:r>
      <w:proofErr w:type="spellEnd"/>
      <w:r w:rsidR="001B0DF5" w:rsidRPr="00FF7558">
        <w:t>. zákona č. 121/2000 Sb., o právu autorském, o právech souvisejících s právem autorským a o změně některých zákonů (autorský zákon), v platném znění (dále jen „Autorský zákon“), tuto Smlouvu o poskytování servisních a konzultačních služeb (dále jen "Smlouva"):</w:t>
      </w:r>
    </w:p>
    <w:p w14:paraId="755937E8" w14:textId="77777777" w:rsidR="00566D8B" w:rsidRPr="00FF7558" w:rsidRDefault="00566D8B" w:rsidP="00566D8B">
      <w:pPr>
        <w:rPr>
          <w:lang w:eastAsia="cs-CZ"/>
        </w:rPr>
      </w:pPr>
    </w:p>
    <w:p w14:paraId="7AC2C6C0" w14:textId="77777777" w:rsidR="00566D8B" w:rsidRPr="00FF7558" w:rsidRDefault="00566D8B" w:rsidP="00566D8B">
      <w:pPr>
        <w:rPr>
          <w:lang w:eastAsia="cs-CZ"/>
        </w:rPr>
      </w:pPr>
      <w:r w:rsidRPr="00FF7558">
        <w:rPr>
          <w:lang w:eastAsia="cs-CZ"/>
        </w:rPr>
        <w:t>Účastníci smlouvy</w:t>
      </w:r>
    </w:p>
    <w:p w14:paraId="1D4F9D2D" w14:textId="77777777" w:rsidR="00566D8B" w:rsidRPr="00FF7558" w:rsidRDefault="00566D8B" w:rsidP="00566D8B">
      <w:pPr>
        <w:rPr>
          <w:b/>
          <w:lang w:eastAsia="cs-CZ"/>
        </w:rPr>
      </w:pPr>
      <w:r w:rsidRPr="00FF7558">
        <w:rPr>
          <w:b/>
          <w:lang w:eastAsia="cs-CZ"/>
        </w:rPr>
        <w:t>TRASK SOLUTIONS a.s.</w:t>
      </w:r>
    </w:p>
    <w:p w14:paraId="124D90B5" w14:textId="1D8EBE8D" w:rsidR="00566D8B" w:rsidRPr="00FF7558" w:rsidRDefault="00566D8B" w:rsidP="00566D8B">
      <w:pPr>
        <w:rPr>
          <w:lang w:eastAsia="cs-CZ"/>
        </w:rPr>
      </w:pPr>
      <w:r w:rsidRPr="00FF7558">
        <w:rPr>
          <w:lang w:eastAsia="cs-CZ"/>
        </w:rPr>
        <w:t>sídlem Milevská 2095/5, Krč, PSČ: 140 00 Praha 4, IČ: 62419641</w:t>
      </w:r>
      <w:r w:rsidR="00C602DB" w:rsidRPr="00FF7558">
        <w:rPr>
          <w:lang w:eastAsia="cs-CZ"/>
        </w:rPr>
        <w:br/>
      </w:r>
      <w:r w:rsidRPr="00FF7558">
        <w:rPr>
          <w:lang w:eastAsia="cs-CZ"/>
        </w:rPr>
        <w:t xml:space="preserve">zastoupená </w:t>
      </w:r>
      <w:proofErr w:type="spellStart"/>
      <w:r w:rsidR="007208F4">
        <w:rPr>
          <w:highlight w:val="black"/>
          <w:lang w:eastAsia="cs-CZ"/>
        </w:rPr>
        <w:t>xxxxxxxxxxx</w:t>
      </w:r>
      <w:proofErr w:type="spellEnd"/>
      <w:r w:rsidR="00C602DB" w:rsidRPr="00FF7558">
        <w:rPr>
          <w:lang w:eastAsia="cs-CZ"/>
        </w:rPr>
        <w:br/>
      </w:r>
      <w:r w:rsidRPr="00FF7558">
        <w:rPr>
          <w:lang w:eastAsia="cs-CZ"/>
        </w:rPr>
        <w:t xml:space="preserve">zapsaná v Obchodním rejstříku vedeném Městským soudem v Praze </w:t>
      </w:r>
      <w:proofErr w:type="spellStart"/>
      <w:r w:rsidRPr="00FF7558">
        <w:rPr>
          <w:lang w:eastAsia="cs-CZ"/>
        </w:rPr>
        <w:t>sp</w:t>
      </w:r>
      <w:proofErr w:type="spellEnd"/>
      <w:r w:rsidRPr="00FF7558">
        <w:rPr>
          <w:lang w:eastAsia="cs-CZ"/>
        </w:rPr>
        <w:t>. zn. B/16212</w:t>
      </w:r>
    </w:p>
    <w:p w14:paraId="44B51C90" w14:textId="0E72EF3C" w:rsidR="00C602DB" w:rsidRPr="00FF7558" w:rsidRDefault="00566D8B" w:rsidP="00566D8B">
      <w:pPr>
        <w:rPr>
          <w:lang w:eastAsia="cs-CZ"/>
        </w:rPr>
      </w:pPr>
      <w:r w:rsidRPr="00FF7558">
        <w:rPr>
          <w:lang w:eastAsia="cs-CZ"/>
        </w:rPr>
        <w:t>(dále jen „</w:t>
      </w:r>
      <w:r w:rsidR="0056252E" w:rsidRPr="00FF7558">
        <w:rPr>
          <w:lang w:eastAsia="cs-CZ"/>
        </w:rPr>
        <w:t>Poskytovatel</w:t>
      </w:r>
      <w:r w:rsidRPr="00FF7558">
        <w:rPr>
          <w:lang w:eastAsia="cs-CZ"/>
        </w:rPr>
        <w:t>“)</w:t>
      </w:r>
    </w:p>
    <w:p w14:paraId="73158B9D" w14:textId="77777777" w:rsidR="00C602DB" w:rsidRPr="00FF7558" w:rsidRDefault="00C602DB" w:rsidP="00566D8B">
      <w:pPr>
        <w:rPr>
          <w:lang w:eastAsia="cs-CZ"/>
        </w:rPr>
      </w:pPr>
      <w:r w:rsidRPr="00FF7558">
        <w:rPr>
          <w:lang w:eastAsia="cs-CZ"/>
        </w:rPr>
        <w:t>a</w:t>
      </w:r>
    </w:p>
    <w:p w14:paraId="1C99F4EE" w14:textId="79F74D19" w:rsidR="00566D8B" w:rsidRPr="00FF7558" w:rsidRDefault="00C008D5" w:rsidP="00566D8B">
      <w:pPr>
        <w:rPr>
          <w:b/>
          <w:lang w:eastAsia="cs-CZ"/>
        </w:rPr>
      </w:pPr>
      <w:r w:rsidRPr="00FF7558">
        <w:rPr>
          <w:b/>
          <w:lang w:eastAsia="cs-CZ"/>
        </w:rPr>
        <w:t>RBP, zdravotní pojišťovna</w:t>
      </w:r>
    </w:p>
    <w:p w14:paraId="595621B4" w14:textId="60845F2E" w:rsidR="00566D8B" w:rsidRDefault="001B0DF5" w:rsidP="00925C70">
      <w:pPr>
        <w:spacing w:after="0"/>
        <w:rPr>
          <w:lang w:eastAsia="cs-CZ"/>
        </w:rPr>
      </w:pPr>
      <w:r w:rsidRPr="00FF7558">
        <w:t xml:space="preserve">se sídlem: </w:t>
      </w:r>
      <w:bookmarkStart w:id="0" w:name="_Hlk27508320"/>
      <w:r w:rsidR="008A7BC2" w:rsidRPr="00FF7558">
        <w:t>Michálkovická 967/108</w:t>
      </w:r>
      <w:r w:rsidR="00B26D68">
        <w:t>,</w:t>
      </w:r>
      <w:r w:rsidR="008A7BC2">
        <w:t xml:space="preserve"> </w:t>
      </w:r>
      <w:r w:rsidR="00C008D5" w:rsidRPr="00FF7558">
        <w:t>Slezská Ostrava</w:t>
      </w:r>
      <w:r w:rsidRPr="00FF7558">
        <w:t xml:space="preserve">, </w:t>
      </w:r>
      <w:r w:rsidR="00C008D5" w:rsidRPr="00FF7558">
        <w:t>710 00</w:t>
      </w:r>
      <w:r w:rsidR="008A7BC2">
        <w:t xml:space="preserve"> Ostrava</w:t>
      </w:r>
      <w:bookmarkEnd w:id="0"/>
      <w:r w:rsidRPr="00FF7558">
        <w:t xml:space="preserve">, IČ: </w:t>
      </w:r>
      <w:r w:rsidR="00C008D5" w:rsidRPr="00FF7558">
        <w:rPr>
          <w:rStyle w:val="nowrap"/>
        </w:rPr>
        <w:t>47673036</w:t>
      </w:r>
      <w:r w:rsidR="00C602DB" w:rsidRPr="00FF7558">
        <w:rPr>
          <w:lang w:eastAsia="cs-CZ"/>
        </w:rPr>
        <w:br/>
      </w:r>
      <w:r w:rsidRPr="00FF7558">
        <w:rPr>
          <w:lang w:eastAsia="cs-CZ"/>
        </w:rPr>
        <w:t>zas</w:t>
      </w:r>
      <w:r w:rsidR="00C008D5" w:rsidRPr="00FF7558">
        <w:rPr>
          <w:lang w:eastAsia="cs-CZ"/>
        </w:rPr>
        <w:t>t</w:t>
      </w:r>
      <w:r w:rsidRPr="00FF7558">
        <w:rPr>
          <w:lang w:eastAsia="cs-CZ"/>
        </w:rPr>
        <w:t>oupená</w:t>
      </w:r>
      <w:r w:rsidR="00C008D5" w:rsidRPr="00FF7558">
        <w:rPr>
          <w:lang w:eastAsia="cs-CZ"/>
        </w:rPr>
        <w:t xml:space="preserve"> Ing. Antonínem Klimšou, MBA, výkonným ředitelem</w:t>
      </w:r>
      <w:r w:rsidR="00C602DB" w:rsidRPr="00FF7558">
        <w:rPr>
          <w:lang w:eastAsia="cs-CZ"/>
        </w:rPr>
        <w:br/>
      </w:r>
      <w:r w:rsidRPr="00FF7558">
        <w:t xml:space="preserve">zapsaná v obchodním rejstříku </w:t>
      </w:r>
      <w:r w:rsidR="00C008D5" w:rsidRPr="00FF7558">
        <w:rPr>
          <w:bCs/>
          <w:noProof/>
          <w:lang w:eastAsia="cs-CZ"/>
        </w:rPr>
        <w:t>vedeném Krajským soudem v Ostravě sp. zn. AXIV 554</w:t>
      </w:r>
      <w:r w:rsidR="00C602DB" w:rsidRPr="00FF7558">
        <w:rPr>
          <w:lang w:eastAsia="cs-CZ"/>
        </w:rPr>
        <w:br/>
      </w:r>
      <w:r w:rsidR="00566D8B" w:rsidRPr="00FF7558">
        <w:rPr>
          <w:lang w:eastAsia="cs-CZ"/>
        </w:rPr>
        <w:t xml:space="preserve">bankovní spojení: </w:t>
      </w:r>
      <w:proofErr w:type="spellStart"/>
      <w:r w:rsidR="007208F4">
        <w:rPr>
          <w:highlight w:val="black"/>
          <w:lang w:eastAsia="cs-CZ"/>
        </w:rPr>
        <w:t>xxxxxxxxxxx</w:t>
      </w:r>
      <w:proofErr w:type="spellEnd"/>
    </w:p>
    <w:p w14:paraId="3EF3B85D" w14:textId="18E82725" w:rsidR="008A7BC2" w:rsidRPr="00FF7558" w:rsidRDefault="008A7BC2" w:rsidP="00925C70">
      <w:pPr>
        <w:spacing w:after="0"/>
        <w:rPr>
          <w:lang w:eastAsia="cs-CZ"/>
        </w:rPr>
      </w:pPr>
      <w:bookmarkStart w:id="1" w:name="_Hlk27508385"/>
      <w:r>
        <w:rPr>
          <w:lang w:eastAsia="cs-CZ"/>
        </w:rPr>
        <w:t xml:space="preserve">číslo účtu: </w:t>
      </w:r>
      <w:proofErr w:type="spellStart"/>
      <w:r w:rsidR="007208F4">
        <w:rPr>
          <w:highlight w:val="black"/>
          <w:lang w:eastAsia="cs-CZ"/>
        </w:rPr>
        <w:t>xxxxxxxxxxx</w:t>
      </w:r>
      <w:proofErr w:type="spellEnd"/>
    </w:p>
    <w:bookmarkEnd w:id="1"/>
    <w:p w14:paraId="5857EF06" w14:textId="5000B9AA" w:rsidR="00566D8B" w:rsidRPr="00FF7558" w:rsidRDefault="00566D8B" w:rsidP="00C602DB">
      <w:pPr>
        <w:rPr>
          <w:lang w:eastAsia="cs-CZ"/>
        </w:rPr>
      </w:pPr>
      <w:r w:rsidRPr="00FF7558">
        <w:rPr>
          <w:lang w:eastAsia="cs-CZ"/>
        </w:rPr>
        <w:t xml:space="preserve">(dále </w:t>
      </w:r>
      <w:r w:rsidR="0056252E" w:rsidRPr="00FF7558">
        <w:rPr>
          <w:lang w:eastAsia="cs-CZ"/>
        </w:rPr>
        <w:t>též</w:t>
      </w:r>
      <w:r w:rsidRPr="00FF7558">
        <w:rPr>
          <w:lang w:eastAsia="cs-CZ"/>
        </w:rPr>
        <w:t xml:space="preserve"> „</w:t>
      </w:r>
      <w:r w:rsidR="0056252E" w:rsidRPr="00FF7558">
        <w:rPr>
          <w:lang w:eastAsia="cs-CZ"/>
        </w:rPr>
        <w:t>RBP</w:t>
      </w:r>
      <w:r w:rsidRPr="00FF7558">
        <w:rPr>
          <w:lang w:eastAsia="cs-CZ"/>
        </w:rPr>
        <w:t>“</w:t>
      </w:r>
      <w:r w:rsidR="0056252E" w:rsidRPr="00FF7558">
        <w:rPr>
          <w:lang w:eastAsia="cs-CZ"/>
        </w:rPr>
        <w:t xml:space="preserve"> nebo Zákazník)</w:t>
      </w:r>
    </w:p>
    <w:p w14:paraId="15939B43" w14:textId="77777777" w:rsidR="00C0436E" w:rsidRPr="00FF7558" w:rsidRDefault="00196D1D" w:rsidP="007C5E17">
      <w:pPr>
        <w:pStyle w:val="Nadpis1"/>
      </w:pPr>
      <w:r w:rsidRPr="00FF7558">
        <w:t>Smluvní strany</w:t>
      </w:r>
    </w:p>
    <w:p w14:paraId="5AB82817" w14:textId="2DF76727" w:rsidR="00196D1D" w:rsidRPr="00FF7558" w:rsidRDefault="00196D1D" w:rsidP="00196D1D">
      <w:pPr>
        <w:pStyle w:val="Nadpis2"/>
        <w:jc w:val="both"/>
        <w:rPr>
          <w:rStyle w:val="Siln"/>
          <w:b w:val="0"/>
        </w:rPr>
      </w:pPr>
      <w:r w:rsidRPr="00FF7558">
        <w:rPr>
          <w:rStyle w:val="Siln"/>
          <w:b w:val="0"/>
        </w:rPr>
        <w:t xml:space="preserve">Zákazník prohlašuje, že je </w:t>
      </w:r>
      <w:bookmarkStart w:id="2" w:name="_Hlk27508423"/>
      <w:r w:rsidR="008A7BC2">
        <w:rPr>
          <w:rStyle w:val="Siln"/>
          <w:b w:val="0"/>
        </w:rPr>
        <w:t>zaměstnaneckou zdravotní pojišťovnou</w:t>
      </w:r>
      <w:r w:rsidRPr="00FF7558">
        <w:rPr>
          <w:rStyle w:val="Siln"/>
          <w:b w:val="0"/>
        </w:rPr>
        <w:t xml:space="preserve"> </w:t>
      </w:r>
      <w:bookmarkEnd w:id="2"/>
      <w:r w:rsidRPr="00FF7558">
        <w:rPr>
          <w:rStyle w:val="Siln"/>
          <w:b w:val="0"/>
        </w:rPr>
        <w:t>řádně založenou a existující v souladu s právním řádem České republiky a jakožto takový má právo tuto Smlouvu uzavřít.</w:t>
      </w:r>
    </w:p>
    <w:p w14:paraId="65E6D085" w14:textId="77777777" w:rsidR="00196D1D" w:rsidRPr="00FF7558" w:rsidRDefault="00196D1D" w:rsidP="00196D1D">
      <w:pPr>
        <w:pStyle w:val="Nadpis2"/>
        <w:jc w:val="both"/>
        <w:rPr>
          <w:rStyle w:val="Siln"/>
          <w:b w:val="0"/>
        </w:rPr>
      </w:pPr>
      <w:r w:rsidRPr="00FF7558">
        <w:rPr>
          <w:rStyle w:val="Siln"/>
          <w:b w:val="0"/>
        </w:rPr>
        <w:t xml:space="preserve">Obchodní společnost TRASK SOLUTIONS a.s. (dále též jako „Trask“ nebo „Poskytovatel“), prohlašuje, že je obchodní společností řádně založenou a zapsanou podle českého právního řádu v obchodním rejstříku vedeném Městským soudem v Praze, oddíl B, číslo vložky 16212, a že splňuje veškeré podmínky a požadavky v této Smlouvě stanovené a je oprávněna tuto Smlouvu uzavřít a řádně plnit závazky v ní obsažené. </w:t>
      </w:r>
    </w:p>
    <w:p w14:paraId="62DA7A2C" w14:textId="4ED92C4A" w:rsidR="00196D1D" w:rsidRPr="00FF7558" w:rsidRDefault="00196D1D" w:rsidP="00196D1D">
      <w:pPr>
        <w:pStyle w:val="Nadpis2"/>
        <w:jc w:val="both"/>
        <w:rPr>
          <w:rStyle w:val="Siln"/>
          <w:b w:val="0"/>
        </w:rPr>
      </w:pPr>
      <w:r w:rsidRPr="00FF7558">
        <w:rPr>
          <w:rStyle w:val="Siln"/>
          <w:b w:val="0"/>
        </w:rPr>
        <w:t xml:space="preserve">Smluvní strany uzavřely dne </w:t>
      </w:r>
      <w:r w:rsidR="00F243AF">
        <w:rPr>
          <w:rStyle w:val="Siln"/>
          <w:b w:val="0"/>
        </w:rPr>
        <w:t>2</w:t>
      </w:r>
      <w:r w:rsidR="006C307A">
        <w:rPr>
          <w:rStyle w:val="Siln"/>
          <w:b w:val="0"/>
        </w:rPr>
        <w:t>1</w:t>
      </w:r>
      <w:r w:rsidR="00F243AF">
        <w:rPr>
          <w:rStyle w:val="Siln"/>
          <w:b w:val="0"/>
        </w:rPr>
        <w:t xml:space="preserve">. </w:t>
      </w:r>
      <w:r w:rsidR="006C307A">
        <w:rPr>
          <w:rStyle w:val="Siln"/>
          <w:b w:val="0"/>
        </w:rPr>
        <w:t>2</w:t>
      </w:r>
      <w:r w:rsidR="00F243AF">
        <w:rPr>
          <w:rStyle w:val="Siln"/>
          <w:b w:val="0"/>
        </w:rPr>
        <w:t xml:space="preserve">. 2020 </w:t>
      </w:r>
      <w:r w:rsidRPr="00FF7558">
        <w:rPr>
          <w:rStyle w:val="Siln"/>
          <w:b w:val="0"/>
        </w:rPr>
        <w:t xml:space="preserve">Smlouvu o dílo a licenční smlouvu Implementace Trask ZenID" (dále jen "Smlouva o Dílo"), na </w:t>
      </w:r>
      <w:proofErr w:type="gramStart"/>
      <w:r w:rsidRPr="00FF7558">
        <w:rPr>
          <w:rStyle w:val="Siln"/>
          <w:b w:val="0"/>
        </w:rPr>
        <w:t>základě</w:t>
      </w:r>
      <w:proofErr w:type="gramEnd"/>
      <w:r w:rsidRPr="00FF7558">
        <w:rPr>
          <w:rStyle w:val="Siln"/>
          <w:b w:val="0"/>
        </w:rPr>
        <w:t xml:space="preserve"> které Poskytovatel zhotovil a předal Zákazníkovi dílo, jak je toto ve Smlouvě o Dílo definované (dále jen "Dílo"). Vybraná ust</w:t>
      </w:r>
      <w:r w:rsidR="00FF7558" w:rsidRPr="00FF7558">
        <w:rPr>
          <w:rStyle w:val="Siln"/>
          <w:b w:val="0"/>
        </w:rPr>
        <w:t>anovení</w:t>
      </w:r>
      <w:r w:rsidRPr="00FF7558">
        <w:rPr>
          <w:rStyle w:val="Siln"/>
          <w:b w:val="0"/>
        </w:rPr>
        <w:t xml:space="preserve"> Smlouvy o Dílo platí i pro účely této Smlouvy, jak je níže výslovně uvedeno.</w:t>
      </w:r>
    </w:p>
    <w:p w14:paraId="728DCD7D" w14:textId="77777777" w:rsidR="00196D1D" w:rsidRPr="00FF7558" w:rsidRDefault="00196D1D" w:rsidP="00196D1D">
      <w:pPr>
        <w:pStyle w:val="Nadpis1"/>
      </w:pPr>
      <w:r w:rsidRPr="00FF7558">
        <w:t>Předmět smlouvy</w:t>
      </w:r>
    </w:p>
    <w:p w14:paraId="451116A4" w14:textId="77777777" w:rsidR="00196D1D" w:rsidRPr="00FF7558" w:rsidRDefault="00196D1D" w:rsidP="00C008D5">
      <w:pPr>
        <w:pStyle w:val="Nadpis2"/>
        <w:jc w:val="both"/>
        <w:rPr>
          <w:rStyle w:val="Siln"/>
          <w:b w:val="0"/>
        </w:rPr>
      </w:pPr>
      <w:r w:rsidRPr="00FF7558">
        <w:rPr>
          <w:rStyle w:val="Siln"/>
          <w:b w:val="0"/>
        </w:rPr>
        <w:t xml:space="preserve">Předmětem této Smlouvy je závazek Poskytovatele poskytovat Zákazníkovi za úplatu a za dále stanovených podmínek servisní a konzultační služby a licenci k užití Díla, to vše specifikované v Příloze č.1, a to pro předmět podpory specifikovaný v Příloze č. 4 této Smlouvy. Zákazník pověřuje </w:t>
      </w:r>
      <w:r w:rsidRPr="00FF7558">
        <w:rPr>
          <w:rStyle w:val="Siln"/>
          <w:b w:val="0"/>
        </w:rPr>
        <w:lastRenderedPageBreak/>
        <w:t xml:space="preserve">Poskytovatele poskytováním servisních a konzultačních služeb za podmínek stanovených touto Smlouvou. Poskytovatel souhlasí s poskytováním těchto služeb za podmínek stanovených touto Smlouvou. </w:t>
      </w:r>
    </w:p>
    <w:p w14:paraId="484F30C0" w14:textId="20AF5700" w:rsidR="00196D1D" w:rsidRPr="00FF7558" w:rsidRDefault="00196D1D" w:rsidP="00C008D5">
      <w:pPr>
        <w:pStyle w:val="Nadpis2"/>
        <w:jc w:val="both"/>
        <w:rPr>
          <w:rStyle w:val="Siln"/>
          <w:b w:val="0"/>
        </w:rPr>
      </w:pPr>
      <w:r w:rsidRPr="00FF7558">
        <w:rPr>
          <w:rStyle w:val="Siln"/>
          <w:b w:val="0"/>
        </w:rPr>
        <w:t xml:space="preserve">Poskytovatel prohlašuje, že má pro řádné plnění této Smlouvy zajištěné dostatečné odborné personální kapacity. </w:t>
      </w:r>
    </w:p>
    <w:p w14:paraId="210E0374" w14:textId="619010DD" w:rsidR="00196D1D" w:rsidRPr="00FF7558" w:rsidRDefault="00196D1D" w:rsidP="00196D1D">
      <w:pPr>
        <w:pStyle w:val="Nadpis1"/>
      </w:pPr>
      <w:r w:rsidRPr="00FF7558">
        <w:t>Poskytované služby</w:t>
      </w:r>
    </w:p>
    <w:p w14:paraId="31A73A7B" w14:textId="77777777" w:rsidR="00196D1D" w:rsidRPr="00FF7558" w:rsidRDefault="00196D1D" w:rsidP="00196D1D">
      <w:pPr>
        <w:pStyle w:val="Nadpis2"/>
        <w:jc w:val="both"/>
        <w:rPr>
          <w:lang w:eastAsia="cs-CZ"/>
        </w:rPr>
      </w:pPr>
      <w:r w:rsidRPr="00FF7558">
        <w:rPr>
          <w:lang w:eastAsia="cs-CZ"/>
        </w:rPr>
        <w:t xml:space="preserve">Služby Poskytovatele budou poskytovány pro Systém specifikovaný v Příloze č. 4 této Smlouvy. Způsob poskytování a doba odezvy pro jednotlivé Služby je součástí Přílohy č. 1 této Smlouvy. </w:t>
      </w:r>
    </w:p>
    <w:p w14:paraId="777B4324" w14:textId="5D98E809" w:rsidR="00196D1D" w:rsidRPr="00FF7558" w:rsidRDefault="00196D1D" w:rsidP="00196D1D">
      <w:pPr>
        <w:pStyle w:val="Nadpis2"/>
        <w:jc w:val="both"/>
        <w:rPr>
          <w:lang w:eastAsia="cs-CZ"/>
        </w:rPr>
      </w:pPr>
      <w:r w:rsidRPr="00FF7558">
        <w:rPr>
          <w:lang w:eastAsia="cs-CZ"/>
        </w:rPr>
        <w:t xml:space="preserve">3Poskytovatel bude poskytovat servisní a konzultační služby a licenci k užití Díla v rozsahu a </w:t>
      </w:r>
      <w:r w:rsidR="00C008D5" w:rsidRPr="00FF7558">
        <w:rPr>
          <w:lang w:eastAsia="cs-CZ"/>
        </w:rPr>
        <w:br/>
      </w:r>
      <w:r w:rsidRPr="00FF7558">
        <w:rPr>
          <w:lang w:eastAsia="cs-CZ"/>
        </w:rPr>
        <w:t xml:space="preserve">v době uvedené v Příloze č. 1 této Smlouvy, kdy poskytování servisních a konzultačních služeb bude prováděno s výjimkou státních svátků oficiálně vyhlášených na území České republiky. </w:t>
      </w:r>
    </w:p>
    <w:p w14:paraId="4ECBC0B3" w14:textId="77777777" w:rsidR="00196D1D" w:rsidRPr="00FF7558" w:rsidRDefault="00196D1D" w:rsidP="00196D1D">
      <w:pPr>
        <w:pStyle w:val="Nadpis2"/>
        <w:jc w:val="both"/>
        <w:rPr>
          <w:lang w:eastAsia="cs-CZ"/>
        </w:rPr>
      </w:pPr>
      <w:r w:rsidRPr="00FF7558">
        <w:rPr>
          <w:lang w:eastAsia="cs-CZ"/>
        </w:rPr>
        <w:t>Za účelem prokázání poskytnutých prací bude Poskytovatel provádět úplnou a přesnou evidenci všech poskytnutých servisních a konzultačních služeb. Poskytovatel je povinen na vyžádání Zákazníka předložit potřebnou dokumentaci o provedených pracích.</w:t>
      </w:r>
    </w:p>
    <w:p w14:paraId="79AC8058" w14:textId="4E0A9230" w:rsidR="00196D1D" w:rsidRPr="00FF7558" w:rsidRDefault="00196D1D" w:rsidP="00196D1D">
      <w:pPr>
        <w:pStyle w:val="Nadpis2"/>
        <w:jc w:val="both"/>
        <w:rPr>
          <w:lang w:eastAsia="cs-CZ"/>
        </w:rPr>
      </w:pPr>
      <w:r w:rsidRPr="00FF7558">
        <w:rPr>
          <w:lang w:eastAsia="cs-CZ"/>
        </w:rPr>
        <w:t xml:space="preserve">Kontaktní osoby zákazníka, oprávněné objednávat a potvrzovat servisní a konzultační služby, jsou uvedeny v Příloze č. 3 této Smlouvy. Způsob, jakým lze jednotlivé služby objednávat, je uveden </w:t>
      </w:r>
      <w:r w:rsidR="00C008D5" w:rsidRPr="00FF7558">
        <w:rPr>
          <w:lang w:eastAsia="cs-CZ"/>
        </w:rPr>
        <w:br/>
      </w:r>
      <w:r w:rsidRPr="00FF7558">
        <w:rPr>
          <w:lang w:eastAsia="cs-CZ"/>
        </w:rPr>
        <w:t>v Příloze č. 4 této Smlouvy.</w:t>
      </w:r>
    </w:p>
    <w:p w14:paraId="69C4B0B1" w14:textId="77777777" w:rsidR="00196D1D" w:rsidRPr="00FF7558" w:rsidRDefault="00196D1D" w:rsidP="00196D1D">
      <w:pPr>
        <w:pStyle w:val="Nadpis2"/>
        <w:jc w:val="both"/>
        <w:rPr>
          <w:lang w:eastAsia="cs-CZ"/>
        </w:rPr>
      </w:pPr>
      <w:r w:rsidRPr="00FF7558">
        <w:rPr>
          <w:lang w:eastAsia="cs-CZ"/>
        </w:rPr>
        <w:t>Bez ohledu na cokoliv v této Smlouvě stanovené smluvní strany sjednávají, že Poskytovatel je oprávněn využít pro plnění předmětu této smlouvy své stálé subdodavatele v postavení pracovníků, se kterými spolupracuje mimo pracovněprávní vztah, a kteří se pro účely této Smlouvy nepovažují za třetí osoby ve vztahu k Poskytovateli. V případě, že Poskytovatel bude při plnění smluvních závazků z této Smlouvy mu vyplývajících využívat takové pracovníky, odpovídá Zákazníkovi v plném rozsahu, jako by plnil sám.</w:t>
      </w:r>
    </w:p>
    <w:p w14:paraId="77955DD6" w14:textId="383DD5DA" w:rsidR="004F1CC5" w:rsidRPr="00FF7558" w:rsidRDefault="004F1CC5" w:rsidP="00196D1D">
      <w:pPr>
        <w:pStyle w:val="Nadpis1"/>
      </w:pPr>
      <w:r w:rsidRPr="00FF7558">
        <w:t>Cena a platební podmínky</w:t>
      </w:r>
    </w:p>
    <w:p w14:paraId="15FA38F4" w14:textId="7739E49F" w:rsidR="004F1CC5" w:rsidRPr="00FF7558" w:rsidRDefault="004F1CC5" w:rsidP="004F1CC5">
      <w:pPr>
        <w:pStyle w:val="Nadpis2"/>
        <w:jc w:val="both"/>
        <w:rPr>
          <w:lang w:eastAsia="cs-CZ"/>
        </w:rPr>
      </w:pPr>
      <w:r w:rsidRPr="00FF7558">
        <w:rPr>
          <w:lang w:eastAsia="cs-CZ"/>
        </w:rPr>
        <w:t xml:space="preserve">Cena za servisní a konzultační služby a licenci k užití Díla a cena za celkový počet vytěžených dokladů, jakož i pravidla jejich účtování, jsou stanoveny v Příloze č. 2 této Smlouvy. </w:t>
      </w:r>
    </w:p>
    <w:p w14:paraId="3B6799DE" w14:textId="32C7A920" w:rsidR="004F1CC5" w:rsidRPr="00FF7558" w:rsidRDefault="004F1CC5" w:rsidP="004F1CC5">
      <w:pPr>
        <w:pStyle w:val="Nadpis2"/>
        <w:jc w:val="both"/>
        <w:rPr>
          <w:lang w:eastAsia="cs-CZ"/>
        </w:rPr>
      </w:pPr>
      <w:r w:rsidRPr="00FF7558">
        <w:rPr>
          <w:lang w:eastAsia="cs-CZ"/>
        </w:rPr>
        <w:t>Poplatky za Služby jsou splatné na základě faktury – daňového dokladu vystaveného Poskytovatelem v měsíci bezprostředně následujícím po kalendářním měsíci, za které budou fakturovány, nebo v případě ceny licence k užití Díla a ceny za celkový počet vytěžených dokladů je splatnost stanovena dle Přílohy č. 2, pokud se smluvní strany nedohodnou jinak.</w:t>
      </w:r>
    </w:p>
    <w:p w14:paraId="1086C074" w14:textId="641F7257" w:rsidR="004F1CC5" w:rsidRPr="00FF7558" w:rsidRDefault="004F1CC5" w:rsidP="004F1CC5">
      <w:pPr>
        <w:pStyle w:val="Nadpis2"/>
        <w:jc w:val="both"/>
        <w:rPr>
          <w:lang w:eastAsia="cs-CZ"/>
        </w:rPr>
      </w:pPr>
      <w:r w:rsidRPr="00FF7558">
        <w:rPr>
          <w:lang w:eastAsia="cs-CZ"/>
        </w:rPr>
        <w:t xml:space="preserve">Všechny faktury – daňové doklady vystavené Poskytovatelem jsou splatné ve lhůtě do 30 dnů po jejich doručení elektronicky na adresu </w:t>
      </w:r>
      <w:proofErr w:type="spellStart"/>
      <w:r w:rsidR="007208F4">
        <w:rPr>
          <w:highlight w:val="black"/>
          <w:lang w:eastAsia="cs-CZ"/>
        </w:rPr>
        <w:t>xxxxxxxxxxx</w:t>
      </w:r>
      <w:proofErr w:type="spellEnd"/>
      <w:r w:rsidR="002278F1">
        <w:t>.</w:t>
      </w:r>
    </w:p>
    <w:p w14:paraId="1C91DDB6" w14:textId="16828FF1" w:rsidR="004F1CC5" w:rsidRPr="00FF7558" w:rsidRDefault="004F1CC5" w:rsidP="004F1CC5">
      <w:pPr>
        <w:pStyle w:val="Nadpis2"/>
        <w:jc w:val="both"/>
        <w:rPr>
          <w:lang w:eastAsia="cs-CZ"/>
        </w:rPr>
      </w:pPr>
      <w:r w:rsidRPr="00FF7558">
        <w:rPr>
          <w:lang w:eastAsia="cs-CZ"/>
        </w:rPr>
        <w:t>Dnem zaplacení se rozumí den odepsání příslušné částky z účtu Zákazníka. Poskytovatel se zavazuje na každé faktuře uvádět údaj o splatnosti faktury v souladu s touto Smlouvou; v případě rozporu v údajích má přednost znění této Smlouvy.</w:t>
      </w:r>
    </w:p>
    <w:p w14:paraId="22F3521B" w14:textId="06970B04" w:rsidR="004F1CC5" w:rsidRPr="00FF7558" w:rsidRDefault="004F1CC5" w:rsidP="004F1CC5">
      <w:pPr>
        <w:pStyle w:val="Nadpis2"/>
        <w:jc w:val="both"/>
        <w:rPr>
          <w:lang w:eastAsia="cs-CZ"/>
        </w:rPr>
      </w:pPr>
      <w:r w:rsidRPr="00FF7558">
        <w:rPr>
          <w:lang w:eastAsia="cs-CZ"/>
        </w:rPr>
        <w:t xml:space="preserve">Každá faktura musí splňovat náležitosti daňového dokladu dle platných právních předpisů a musí obsahovat též evidenční číslo této Smlouvy, pod kterým je vedena u Zákazníka. V případě, že faktura nebude splňovat uvedené náležitosti daňového dokladu, vrátí ji Zákazník Poskytovateli </w:t>
      </w:r>
      <w:r w:rsidR="00C008D5" w:rsidRPr="00FF7558">
        <w:rPr>
          <w:lang w:eastAsia="cs-CZ"/>
        </w:rPr>
        <w:br/>
      </w:r>
      <w:r w:rsidRPr="00FF7558">
        <w:rPr>
          <w:lang w:eastAsia="cs-CZ"/>
        </w:rPr>
        <w:t>k přepracování. Lhůta splatnosti v tomto případě počíná běžet dnem doručení přepracované faktury.</w:t>
      </w:r>
    </w:p>
    <w:p w14:paraId="6BA1981E" w14:textId="6B8E482E" w:rsidR="004F1CC5" w:rsidRPr="00FF7558" w:rsidRDefault="004F1CC5" w:rsidP="004F1CC5">
      <w:pPr>
        <w:pStyle w:val="Nadpis2"/>
        <w:jc w:val="both"/>
        <w:rPr>
          <w:lang w:eastAsia="cs-CZ"/>
        </w:rPr>
      </w:pPr>
      <w:r w:rsidRPr="00FF7558">
        <w:rPr>
          <w:lang w:eastAsia="cs-CZ"/>
        </w:rPr>
        <w:lastRenderedPageBreak/>
        <w:t xml:space="preserve">Všechny ceny, poplatky a další odvody splatné podle této Smlouvy jsou uvedeny bez daně </w:t>
      </w:r>
      <w:r w:rsidR="00C008D5" w:rsidRPr="00FF7558">
        <w:rPr>
          <w:lang w:eastAsia="cs-CZ"/>
        </w:rPr>
        <w:br/>
      </w:r>
      <w:r w:rsidRPr="00FF7558">
        <w:rPr>
          <w:lang w:eastAsia="cs-CZ"/>
        </w:rPr>
        <w:t xml:space="preserve">z přidané hodnoty (dále jen „DPH“), pokud není stanoveno jinak. DPH bude účtováno a připočteno k ceně podle platných právních předpisů. </w:t>
      </w:r>
    </w:p>
    <w:p w14:paraId="3155AD96" w14:textId="4C740199" w:rsidR="004F1CC5" w:rsidRPr="00FF7558" w:rsidRDefault="004F1CC5" w:rsidP="004F1CC5">
      <w:pPr>
        <w:pStyle w:val="Nadpis2"/>
        <w:jc w:val="both"/>
        <w:rPr>
          <w:lang w:eastAsia="cs-CZ"/>
        </w:rPr>
      </w:pPr>
      <w:r w:rsidRPr="00FF7558">
        <w:rPr>
          <w:lang w:eastAsia="cs-CZ"/>
        </w:rPr>
        <w:t xml:space="preserve">V případě, že bude Poskytovatel uveden v seznamu tzv. nespolehlivých plátců ve smyslu ustanovení § 106a zákona č. 235/2004 Sb., o dani z přidané hodnoty, v platném znění (dále jen „Zákon o DPH“), je Zákazník oprávněn uhradit část Ceny, odpovídající dani z přidané hodnoty </w:t>
      </w:r>
      <w:r w:rsidR="00C008D5" w:rsidRPr="00FF7558">
        <w:rPr>
          <w:lang w:eastAsia="cs-CZ"/>
        </w:rPr>
        <w:br/>
      </w:r>
      <w:r w:rsidRPr="00FF7558">
        <w:rPr>
          <w:lang w:eastAsia="cs-CZ"/>
        </w:rPr>
        <w:t>v zákonné výši uplatněné Poskytovatelem v rámci příslušné faktury, přímo na účet příslušného správce daně Poskytovatele. Obdobně je Zákazník oprávněn postupovat také v případě, že Poskytovatel, který je plátcem DPH, neposkytne Zákazníkovi pro úhradu své pohledávky bankovní účet zveřejněný správcem daně ve smyslu ustanovení § 98 písm. d) Zákona o DPH. Pro vyloučení případných pochybností smluvní strany prohlašují, že úhrada na účet správce daně provedená Zákazníkem ve výše uvedených případech je pro účely této Smlouvy považována za uhrazení příslušné části závazku vůči Poskytovateli ze strany Zákazníkem.</w:t>
      </w:r>
    </w:p>
    <w:p w14:paraId="3741D075" w14:textId="084F7317" w:rsidR="004F1CC5" w:rsidRPr="00FF7558" w:rsidRDefault="004F1CC5" w:rsidP="004F1CC5">
      <w:pPr>
        <w:pStyle w:val="Nadpis2"/>
        <w:jc w:val="both"/>
        <w:rPr>
          <w:lang w:eastAsia="cs-CZ"/>
        </w:rPr>
      </w:pPr>
      <w:r w:rsidRPr="00FF7558">
        <w:rPr>
          <w:lang w:eastAsia="cs-CZ"/>
        </w:rPr>
        <w:t>Ceny a poplatky dle Přílohy č. 2 této Smlouvy je Poskytovatel oprávněn každoročně jednostranně zvýšit o míry inflace v předcházejícím kalendářním roce oficiálně zveřejněné Českým statistickým úřadem nebo jiným úřadem nebo orgánem Český statistický úřad nahrazujícím (a to vždy s účinností od 1. ledna příslušného kalendářního roku). Základem pro toto zvýšení je výše cen placených Zákazníkem v předchozím kalendářním roce. Toto zvýšení bude provedeno tak, že poté, co bude zveřejněna míra inflace za předcházející kalendářní rok, Poskytovatel vystaví jednostranným úkonem nové aktualizované znění Přílohy č. 2 této Smlouvy, které se stane její součástí, a dále fakturu – daňový doklad na částku ve výši rozdílu mezi příslušným peněžním plněním, které již Zákazník v průběhu kalendářního roku zaplatil a novou výší příslušného peněžního plnění, které má být hrazeno od 1. ledna daného roku po zvýšení o inflační nárůst. Tuto částku je Zákazník povinen uhradit do 14 dnů ode dne vystavení takové faktury. Další platby pak již budou ve výši po zvýšení o inflaci, jak uvedeno shora. Uvedený postup zvýšení cen se poprvé uplatní po uplynutí roku 2020.</w:t>
      </w:r>
    </w:p>
    <w:p w14:paraId="66152787" w14:textId="5238B378" w:rsidR="00980437" w:rsidRPr="00FF7558" w:rsidRDefault="00980437" w:rsidP="00196D1D">
      <w:pPr>
        <w:pStyle w:val="Nadpis1"/>
      </w:pPr>
      <w:r w:rsidRPr="00FF7558">
        <w:t>Místo plnění</w:t>
      </w:r>
    </w:p>
    <w:p w14:paraId="1FDC1858" w14:textId="25CF405C" w:rsidR="00980437" w:rsidRPr="00FF7558" w:rsidRDefault="00980437" w:rsidP="00980437">
      <w:pPr>
        <w:pStyle w:val="Nadpis2"/>
        <w:jc w:val="both"/>
        <w:rPr>
          <w:lang w:eastAsia="cs-CZ"/>
        </w:rPr>
      </w:pPr>
      <w:r w:rsidRPr="00FF7558">
        <w:rPr>
          <w:lang w:eastAsia="cs-CZ"/>
        </w:rPr>
        <w:t>Servisní a konzultační služby budou poskytovány v sídle Poskytovatele nebo v sídle Zákazníka.</w:t>
      </w:r>
    </w:p>
    <w:p w14:paraId="599EB392" w14:textId="403576AA" w:rsidR="00980437" w:rsidRPr="00FF7558" w:rsidRDefault="00980437" w:rsidP="00980437">
      <w:pPr>
        <w:pStyle w:val="Nadpis2"/>
        <w:jc w:val="both"/>
        <w:rPr>
          <w:lang w:eastAsia="cs-CZ"/>
        </w:rPr>
      </w:pPr>
      <w:r w:rsidRPr="00FF7558">
        <w:rPr>
          <w:lang w:eastAsia="cs-CZ"/>
        </w:rPr>
        <w:t>Veškerý servisní personál i všichni ostatní zaměstnanci či zástupci Poskytovatele, kteří se budou podílet na plnění předmětu této Smlouvy, jsou povinni dodržovat interní předpisy Zákazníka, týkající se bezpečnosti a důvěrného charakteru informací, tvořících předmět obchodního tajemství Zákazníka, s nimiž při plnění závazků vyplývajících z této Smlouvy přijdou do styku.</w:t>
      </w:r>
    </w:p>
    <w:p w14:paraId="385BCC72" w14:textId="196E3236" w:rsidR="00980437" w:rsidRPr="00FF7558" w:rsidRDefault="00980437" w:rsidP="00980437">
      <w:pPr>
        <w:pStyle w:val="Nadpis2"/>
        <w:jc w:val="both"/>
        <w:rPr>
          <w:lang w:eastAsia="cs-CZ"/>
        </w:rPr>
      </w:pPr>
      <w:r w:rsidRPr="00FF7558">
        <w:rPr>
          <w:lang w:eastAsia="cs-CZ"/>
        </w:rPr>
        <w:t xml:space="preserve">Servisní personál a ostatní osoby Poskytovatele, podílející se na plnění této smlouvy, jsou oprávněni vstupovat v objektech Zákazníka pouze do míst, která budou dohodnuta mezi kontaktními osobami smluvních stran. Poskytovatel se zavazuje řídit se při plnění této Smlouvy </w:t>
      </w:r>
      <w:r w:rsidR="00C008D5" w:rsidRPr="00FF7558">
        <w:rPr>
          <w:lang w:eastAsia="cs-CZ"/>
        </w:rPr>
        <w:br/>
      </w:r>
      <w:r w:rsidRPr="00FF7558">
        <w:rPr>
          <w:lang w:eastAsia="cs-CZ"/>
        </w:rPr>
        <w:t>v objektech Zákazníka jeho interními předpisy a dodržovat interní bezpečnostní pravidla a opatření, která jsou Poskytovateli známa v souvislosti s jeho působením u Zákazníka na základě dříve uzavřených smluv Poskytovatel souhlasí též se sledováním a zaznamenáváním své činnosti při plnění této Smlouvy.</w:t>
      </w:r>
    </w:p>
    <w:p w14:paraId="2687FE0D" w14:textId="77777777" w:rsidR="000F3E28" w:rsidRPr="00FF7558" w:rsidRDefault="00980437" w:rsidP="000F3E28">
      <w:pPr>
        <w:pStyle w:val="Nadpis2"/>
        <w:jc w:val="both"/>
        <w:rPr>
          <w:lang w:eastAsia="cs-CZ"/>
        </w:rPr>
      </w:pPr>
      <w:r w:rsidRPr="00FF7558">
        <w:rPr>
          <w:lang w:eastAsia="cs-CZ"/>
        </w:rPr>
        <w:t>Zákazník je povinen zabezpečit vstupní poučení servisního personálu a ostatních osob Poskytovatele o dodržování interních bezpečnostních opatřeních platných při pobytu ve svých objektech.</w:t>
      </w:r>
    </w:p>
    <w:p w14:paraId="21052E5C" w14:textId="65A282FD" w:rsidR="00980437" w:rsidRPr="00FF7558" w:rsidRDefault="00980437" w:rsidP="00C008D5">
      <w:pPr>
        <w:pStyle w:val="Nadpis1"/>
        <w:keepNext/>
        <w:ind w:left="357" w:hanging="357"/>
      </w:pPr>
      <w:r w:rsidRPr="00FF7558">
        <w:lastRenderedPageBreak/>
        <w:t>Záruka</w:t>
      </w:r>
    </w:p>
    <w:p w14:paraId="787591CF" w14:textId="75C26AEA" w:rsidR="00980437" w:rsidRPr="00FF7558" w:rsidRDefault="00980437" w:rsidP="00980437">
      <w:pPr>
        <w:pStyle w:val="Nadpis2"/>
        <w:jc w:val="both"/>
        <w:rPr>
          <w:lang w:eastAsia="cs-CZ"/>
        </w:rPr>
      </w:pPr>
      <w:r w:rsidRPr="00FF7558">
        <w:rPr>
          <w:lang w:eastAsia="cs-CZ"/>
        </w:rPr>
        <w:t xml:space="preserve">Poskytovatel zaručuje, že každá služba, kterou Poskytovatel poskytuje na základě této Smlouvy, bude provedena s vynaložením přiměřené odborné péče, znalostí a dovedností a bude odpovídat aktuálnímu popisu příslušné služby (včetně kritérií plnění) obsaženému ve Smlouvě, její příloze nebo jiném příslušném dokumentu vyhotoveném v souvislosti se Smlouvou či na jejím základě. </w:t>
      </w:r>
    </w:p>
    <w:p w14:paraId="5167B433" w14:textId="6F721A0F" w:rsidR="00980437" w:rsidRPr="00FF7558" w:rsidRDefault="00980437" w:rsidP="00980437">
      <w:pPr>
        <w:pStyle w:val="Nadpis2"/>
        <w:jc w:val="both"/>
        <w:rPr>
          <w:lang w:eastAsia="cs-CZ"/>
        </w:rPr>
      </w:pPr>
      <w:r w:rsidRPr="00FF7558">
        <w:rPr>
          <w:lang w:eastAsia="cs-CZ"/>
        </w:rPr>
        <w:t>Poskytovatel poskytuje na služby, které jsou předmětem této Smlouvy, záruku v délce tří měsíců od poskytnutí služby, tzn. v případě, pokud služba bude poskytnuta vadně, má Zákazník právo požadovat od Poskytovatele bezplatnou nápravu.</w:t>
      </w:r>
    </w:p>
    <w:p w14:paraId="7DFC77D0" w14:textId="0A8A091D" w:rsidR="00980437" w:rsidRPr="00FF7558" w:rsidRDefault="00980437" w:rsidP="00980437">
      <w:pPr>
        <w:pStyle w:val="Nadpis2"/>
        <w:jc w:val="both"/>
        <w:rPr>
          <w:lang w:eastAsia="cs-CZ"/>
        </w:rPr>
      </w:pPr>
      <w:r w:rsidRPr="00FF7558">
        <w:rPr>
          <w:lang w:eastAsia="cs-CZ"/>
        </w:rPr>
        <w:t>Při plnění smluvních závazků z této Smlouvy vyplývajících se Poskytovatel zavazuje postupovat tak, aby nedošlo k poškození dobrého jména Zákazníka, a to ani v případě, že plnění Smlouvy bude částečně zajišťováno prostřednictvím jeho subdodavatelů.</w:t>
      </w:r>
    </w:p>
    <w:p w14:paraId="0555F5E2" w14:textId="4DC6A516" w:rsidR="00D544D2" w:rsidRPr="00FF7558" w:rsidRDefault="00980437" w:rsidP="00196D1D">
      <w:pPr>
        <w:pStyle w:val="Nadpis1"/>
      </w:pPr>
      <w:r w:rsidRPr="00FF7558">
        <w:t>Práva a povinnosti smluvních stran</w:t>
      </w:r>
    </w:p>
    <w:p w14:paraId="3D1ECF36" w14:textId="13BAD50E" w:rsidR="00B35559" w:rsidRPr="00FF7558" w:rsidRDefault="00B35559" w:rsidP="006F6B29">
      <w:pPr>
        <w:pStyle w:val="Nadpis2"/>
        <w:jc w:val="both"/>
        <w:rPr>
          <w:lang w:eastAsia="cs-CZ"/>
        </w:rPr>
      </w:pPr>
      <w:r w:rsidRPr="00FF7558">
        <w:rPr>
          <w:lang w:eastAsia="cs-CZ"/>
        </w:rPr>
        <w:t>Poskytovatel se zavazuje připravovat report včetně výkazu práce (dále jen „Výkaz“), který bude obsahovat:</w:t>
      </w:r>
    </w:p>
    <w:p w14:paraId="62000D4D" w14:textId="04BB8220" w:rsidR="00B35559" w:rsidRPr="00FF7558" w:rsidRDefault="00B35559" w:rsidP="00F120C7">
      <w:pPr>
        <w:pStyle w:val="Odstavecseseznamem"/>
        <w:numPr>
          <w:ilvl w:val="0"/>
          <w:numId w:val="4"/>
        </w:numPr>
        <w:jc w:val="both"/>
        <w:rPr>
          <w:lang w:eastAsia="cs-CZ"/>
        </w:rPr>
      </w:pPr>
      <w:r w:rsidRPr="00FF7558">
        <w:rPr>
          <w:lang w:eastAsia="cs-CZ"/>
        </w:rPr>
        <w:t>seznam všech poskytnutých služeb dle Přílohy č. 1 této Smlouvy,</w:t>
      </w:r>
    </w:p>
    <w:p w14:paraId="370B3623" w14:textId="2D00318D" w:rsidR="00B35559" w:rsidRPr="00FF7558" w:rsidRDefault="00B35559" w:rsidP="00F120C7">
      <w:pPr>
        <w:pStyle w:val="Odstavecseseznamem"/>
        <w:numPr>
          <w:ilvl w:val="0"/>
          <w:numId w:val="4"/>
        </w:numPr>
        <w:jc w:val="both"/>
        <w:rPr>
          <w:lang w:eastAsia="cs-CZ"/>
        </w:rPr>
      </w:pPr>
      <w:r w:rsidRPr="00FF7558">
        <w:rPr>
          <w:lang w:eastAsia="cs-CZ"/>
        </w:rPr>
        <w:t>informace o hodinách vyčerpaných na plnění dle této Smlouvy v průběhu každého kalendářního měsíce. Výkaz musí obsahovat informace o pracnosti služeb poskytnutých dle této Smlouvy pro každý jednotlivý požadavek.</w:t>
      </w:r>
    </w:p>
    <w:p w14:paraId="4428BD86" w14:textId="12A42BBC" w:rsidR="00B35559" w:rsidRPr="00FF7558" w:rsidRDefault="00B35559" w:rsidP="006F6B29">
      <w:pPr>
        <w:pStyle w:val="Nadpis2"/>
        <w:jc w:val="both"/>
        <w:rPr>
          <w:lang w:eastAsia="cs-CZ"/>
        </w:rPr>
      </w:pPr>
      <w:r w:rsidRPr="00FF7558">
        <w:rPr>
          <w:lang w:eastAsia="cs-CZ"/>
        </w:rPr>
        <w:t>Výkaz bude vyhotoven a zaslán Zákazníkovi do 10 pracovních dnů po konci příslušného kalendářního měsíce ke schválení. Zákazník má právo rozporovat jednotlivé položky výkazu do 10 pracovních dnů po obdržení výkazu Poskytovatelem, po marném uplynutí této lhůty toto právo ztrácí a Výkaz je dále považován za odsouhlasený Zákazníkem. Zákazník a Poskytovatel jsou povinni výkaz práce schválit nejpozději do konce měsíce následujícího po konci příslušného kalendářního měsíce. Výkaz je považován za schválený vyjádřením souhlasu elektronickou odpovědí oprávněnými osobami uvedenými v příloze č. 3 této Smlouvy. Rozpor jednotlivých položek Výkazu Zákazníkem nemá odkladný účinek na fakturaci pravidelné měsíční paušální ceny Služby ve smyslu Přílohy č. 2, odst. 1.</w:t>
      </w:r>
    </w:p>
    <w:p w14:paraId="69FB8B3A" w14:textId="5B8D5043" w:rsidR="00B35559" w:rsidRPr="00FF7558" w:rsidRDefault="00B35559" w:rsidP="006F6B29">
      <w:pPr>
        <w:pStyle w:val="Nadpis2"/>
        <w:jc w:val="both"/>
        <w:rPr>
          <w:lang w:eastAsia="cs-CZ"/>
        </w:rPr>
      </w:pPr>
      <w:r w:rsidRPr="00FF7558">
        <w:rPr>
          <w:lang w:eastAsia="cs-CZ"/>
        </w:rPr>
        <w:t>Zákazník se zavazuje:</w:t>
      </w:r>
    </w:p>
    <w:p w14:paraId="72193032" w14:textId="021C73E5" w:rsidR="00B35559" w:rsidRPr="00FF7558" w:rsidRDefault="00B35559" w:rsidP="00F120C7">
      <w:pPr>
        <w:pStyle w:val="Odstavecseseznamem"/>
        <w:numPr>
          <w:ilvl w:val="0"/>
          <w:numId w:val="5"/>
        </w:numPr>
        <w:jc w:val="both"/>
        <w:rPr>
          <w:lang w:eastAsia="cs-CZ"/>
        </w:rPr>
      </w:pPr>
      <w:r w:rsidRPr="00FF7558">
        <w:rPr>
          <w:lang w:eastAsia="cs-CZ"/>
        </w:rPr>
        <w:t>poskytnout Poskytovateli nutnou součinnost při provádění služeb dle této Smlouvy zejména v rozsahu požadovaných logů, konfigurací, výpisů z provozních deníků;</w:t>
      </w:r>
    </w:p>
    <w:p w14:paraId="4B5ADF3B" w14:textId="6C7A8C02" w:rsidR="00B35559" w:rsidRPr="00FF7558" w:rsidRDefault="00B35559" w:rsidP="00F120C7">
      <w:pPr>
        <w:pStyle w:val="Odstavecseseznamem"/>
        <w:numPr>
          <w:ilvl w:val="0"/>
          <w:numId w:val="5"/>
        </w:numPr>
        <w:jc w:val="both"/>
        <w:rPr>
          <w:lang w:eastAsia="cs-CZ"/>
        </w:rPr>
      </w:pPr>
      <w:r w:rsidRPr="00FF7558">
        <w:rPr>
          <w:lang w:eastAsia="cs-CZ"/>
        </w:rPr>
        <w:t>poskytnout Poskytovateli na jeho vyžádání přístup do prostor či k zařízením Zákazníka, pokud je to potřebné pro řádné provedení služeb dle této Smlouvy, přičemž Poskytovatel bude dodržovat bezpečnostní předpisy Zákazníka;</w:t>
      </w:r>
    </w:p>
    <w:p w14:paraId="7832B804" w14:textId="522FB93C" w:rsidR="00B35559" w:rsidRPr="00FF7558" w:rsidRDefault="00B35559" w:rsidP="00F120C7">
      <w:pPr>
        <w:pStyle w:val="Odstavecseseznamem"/>
        <w:numPr>
          <w:ilvl w:val="0"/>
          <w:numId w:val="5"/>
        </w:numPr>
        <w:jc w:val="both"/>
        <w:rPr>
          <w:lang w:eastAsia="cs-CZ"/>
        </w:rPr>
      </w:pPr>
      <w:r w:rsidRPr="00FF7558">
        <w:rPr>
          <w:lang w:eastAsia="cs-CZ"/>
        </w:rPr>
        <w:t>neprodleně informovat Poskytovatele o všech skutečnostech, které mohou mít vliv na provedení služby řádně a včas;</w:t>
      </w:r>
    </w:p>
    <w:p w14:paraId="4CCA6CA3" w14:textId="79EEDC2D" w:rsidR="00B35559" w:rsidRPr="00FF7558" w:rsidRDefault="00B35559" w:rsidP="00F120C7">
      <w:pPr>
        <w:pStyle w:val="Odstavecseseznamem"/>
        <w:numPr>
          <w:ilvl w:val="0"/>
          <w:numId w:val="5"/>
        </w:numPr>
        <w:jc w:val="both"/>
        <w:rPr>
          <w:lang w:eastAsia="cs-CZ"/>
        </w:rPr>
      </w:pPr>
      <w:r w:rsidRPr="00FF7558">
        <w:rPr>
          <w:lang w:eastAsia="cs-CZ"/>
        </w:rPr>
        <w:t xml:space="preserve">poskytnout účty pracovníkům Poskytovatele pro přihlášení do produkčního a testovacího prostředí pro realizaci aktivit nezbytných pro plnění služeb dle této Smlouvy. </w:t>
      </w:r>
    </w:p>
    <w:p w14:paraId="0CB6745F" w14:textId="18D4B0D5" w:rsidR="00B35559" w:rsidRPr="00FF7558" w:rsidRDefault="00B35559" w:rsidP="00F120C7">
      <w:pPr>
        <w:pStyle w:val="Odstavecseseznamem"/>
        <w:numPr>
          <w:ilvl w:val="0"/>
          <w:numId w:val="5"/>
        </w:numPr>
        <w:jc w:val="both"/>
        <w:rPr>
          <w:lang w:eastAsia="cs-CZ"/>
        </w:rPr>
      </w:pPr>
      <w:r w:rsidRPr="00FF7558">
        <w:rPr>
          <w:lang w:eastAsia="cs-CZ"/>
        </w:rPr>
        <w:t>poskytnout vzdálený přístup pracovníkům Poskytovatele do produkčního a testovacího prostředí pomocí VPN přístupu přes internet.</w:t>
      </w:r>
    </w:p>
    <w:p w14:paraId="58B8097E" w14:textId="72FB28BB" w:rsidR="00D544D2" w:rsidRPr="00FF7558" w:rsidRDefault="00B35559" w:rsidP="00F120C7">
      <w:pPr>
        <w:pStyle w:val="Odstavecseseznamem"/>
        <w:numPr>
          <w:ilvl w:val="0"/>
          <w:numId w:val="5"/>
        </w:numPr>
        <w:jc w:val="both"/>
        <w:rPr>
          <w:lang w:eastAsia="cs-CZ"/>
        </w:rPr>
      </w:pPr>
      <w:r w:rsidRPr="00FF7558">
        <w:rPr>
          <w:lang w:eastAsia="cs-CZ"/>
        </w:rPr>
        <w:t>provádět hlášení veškerých požadavků (Incident, Problém, Servisní požadavek, Změnový požadavek) pomocí portálu podpory a pravidel uvedených v této Smlouvě.</w:t>
      </w:r>
    </w:p>
    <w:p w14:paraId="1EDAF2A8" w14:textId="509BCCE7" w:rsidR="006F6B29" w:rsidRPr="00FF7558" w:rsidRDefault="006F6B29" w:rsidP="00196D1D">
      <w:pPr>
        <w:pStyle w:val="Nadpis1"/>
      </w:pPr>
      <w:r w:rsidRPr="00FF7558">
        <w:lastRenderedPageBreak/>
        <w:t>Pravidla při poskytování služeb</w:t>
      </w:r>
    </w:p>
    <w:p w14:paraId="2CB5D7D8" w14:textId="5C0AD3A8" w:rsidR="006F6B29" w:rsidRPr="00FF7558" w:rsidRDefault="006F6B29" w:rsidP="006F6B29">
      <w:pPr>
        <w:pStyle w:val="Nadpis2"/>
        <w:jc w:val="both"/>
        <w:rPr>
          <w:lang w:eastAsia="cs-CZ"/>
        </w:rPr>
      </w:pPr>
      <w:r w:rsidRPr="00FF7558">
        <w:rPr>
          <w:lang w:eastAsia="cs-CZ"/>
        </w:rPr>
        <w:t xml:space="preserve">Poskytovatel poskytuje Zákazníkovi servisní služby úrovně 3rd level support (dále jen „L3“), Zákazník zajišťuje svými pracovníky úrovně 1st level support a 2nd level support. </w:t>
      </w:r>
    </w:p>
    <w:p w14:paraId="572652A2" w14:textId="20239C5B" w:rsidR="006F6B29" w:rsidRPr="00FF7558" w:rsidRDefault="006F6B29" w:rsidP="006F6B29">
      <w:pPr>
        <w:pStyle w:val="Nadpis3"/>
        <w:jc w:val="both"/>
        <w:rPr>
          <w:lang w:eastAsia="cs-CZ"/>
        </w:rPr>
      </w:pPr>
      <w:r w:rsidRPr="00FF7558">
        <w:rPr>
          <w:lang w:eastAsia="cs-CZ"/>
        </w:rPr>
        <w:t xml:space="preserve">1st Level Support přitom představuje uživatelskou podporu, která zajišťuje přebírání, řešení běžných zdokumentovaných incidentů, problémů a dotazů od koncových uživatelů. Úkolem 1st level supportu je získání informací od koncového uživatele, na základě, kterých lze příčinu incidentu, problému rovnou odstranit nebo v případě nevyřešení předat na řešení do 2nd level supportu. </w:t>
      </w:r>
    </w:p>
    <w:p w14:paraId="743CF088" w14:textId="2AABAA29" w:rsidR="006F6B29" w:rsidRPr="00FF7558" w:rsidRDefault="006F6B29" w:rsidP="006F6B29">
      <w:pPr>
        <w:pStyle w:val="Nadpis3"/>
        <w:jc w:val="both"/>
        <w:rPr>
          <w:lang w:eastAsia="cs-CZ"/>
        </w:rPr>
      </w:pPr>
      <w:r w:rsidRPr="00FF7558">
        <w:rPr>
          <w:lang w:eastAsia="cs-CZ"/>
        </w:rPr>
        <w:t>2nd Level Support představuje uživatelskou podporu, která zajišťuje řešení incidentů a problémů, které nebylo možné vyřešit na úrovni 1st level supportu, protože tato úroveň nedisponuje potřebnými znalostmi. Podpora této úrovně vyžaduje detailnější technické či procesní znalosti a tato úroveň má provozní odpovědnost k provozovanému systému.</w:t>
      </w:r>
    </w:p>
    <w:p w14:paraId="60E48FE2" w14:textId="7DF3099C" w:rsidR="006F6B29" w:rsidRPr="00FF7558" w:rsidRDefault="006F6B29" w:rsidP="006F6B29">
      <w:pPr>
        <w:pStyle w:val="Nadpis3"/>
        <w:jc w:val="both"/>
        <w:rPr>
          <w:lang w:eastAsia="cs-CZ"/>
        </w:rPr>
      </w:pPr>
      <w:r w:rsidRPr="00FF7558">
        <w:rPr>
          <w:lang w:eastAsia="cs-CZ"/>
        </w:rPr>
        <w:t>3rd Level Support představuje podporu, která zajišťuje řešení incidentů, problémů a požadavků, které nebylo možné vyřešit na úrovni 2nd Level Support a vyžaduje hluboké technické či procesní znalosti.</w:t>
      </w:r>
    </w:p>
    <w:p w14:paraId="3B70C252" w14:textId="41F27BEC" w:rsidR="006F6B29" w:rsidRPr="00FF7558" w:rsidRDefault="006F6B29" w:rsidP="006F6B29">
      <w:pPr>
        <w:pStyle w:val="Nadpis2"/>
        <w:jc w:val="both"/>
        <w:rPr>
          <w:lang w:eastAsia="cs-CZ"/>
        </w:rPr>
      </w:pPr>
      <w:r w:rsidRPr="00FF7558">
        <w:rPr>
          <w:lang w:eastAsia="cs-CZ"/>
        </w:rPr>
        <w:t>Dohodnuté komunikační prostředky pro hlášení požadavků Zákazníka Poskytovateli na služby jsou:</w:t>
      </w:r>
    </w:p>
    <w:p w14:paraId="6FDB88DF" w14:textId="2B11A2F0" w:rsidR="006F6B29" w:rsidRPr="00FF7558" w:rsidRDefault="006F6B29" w:rsidP="00F120C7">
      <w:pPr>
        <w:pStyle w:val="Odstavecseseznamem"/>
        <w:numPr>
          <w:ilvl w:val="0"/>
          <w:numId w:val="6"/>
        </w:numPr>
        <w:jc w:val="both"/>
        <w:rPr>
          <w:lang w:eastAsia="cs-CZ"/>
        </w:rPr>
      </w:pPr>
      <w:r w:rsidRPr="00FF7558">
        <w:rPr>
          <w:lang w:eastAsia="cs-CZ"/>
        </w:rPr>
        <w:t>portál podpory (JIRA) Poskytovatele na adrese https://support.trask.cz</w:t>
      </w:r>
    </w:p>
    <w:p w14:paraId="0108A1FD" w14:textId="4D649A28" w:rsidR="006F6B29" w:rsidRPr="00FF7558" w:rsidRDefault="006F6B29" w:rsidP="00F120C7">
      <w:pPr>
        <w:pStyle w:val="Odstavecseseznamem"/>
        <w:numPr>
          <w:ilvl w:val="0"/>
          <w:numId w:val="6"/>
        </w:numPr>
        <w:jc w:val="both"/>
        <w:rPr>
          <w:lang w:eastAsia="cs-CZ"/>
        </w:rPr>
      </w:pPr>
      <w:r w:rsidRPr="00FF7558">
        <w:rPr>
          <w:lang w:eastAsia="cs-CZ"/>
        </w:rPr>
        <w:t xml:space="preserve">emailová adresa centra podpory Poskytovatele – support@trask.cz </w:t>
      </w:r>
    </w:p>
    <w:p w14:paraId="3A9199A5" w14:textId="49774E6E" w:rsidR="006F6B29" w:rsidRPr="00FF7558" w:rsidRDefault="006F6B29" w:rsidP="00F120C7">
      <w:pPr>
        <w:pStyle w:val="Odstavecseseznamem"/>
        <w:numPr>
          <w:ilvl w:val="0"/>
          <w:numId w:val="6"/>
        </w:numPr>
        <w:jc w:val="both"/>
        <w:rPr>
          <w:lang w:eastAsia="cs-CZ"/>
        </w:rPr>
      </w:pPr>
      <w:r w:rsidRPr="00FF7558">
        <w:rPr>
          <w:lang w:eastAsia="cs-CZ"/>
        </w:rPr>
        <w:t>telefonní číslo Poskytovatele -   800 101 218</w:t>
      </w:r>
    </w:p>
    <w:p w14:paraId="7EC02F72" w14:textId="7F6D6661" w:rsidR="006F6B29" w:rsidRPr="00FF7558" w:rsidRDefault="006F6B29" w:rsidP="006F6B29">
      <w:pPr>
        <w:pStyle w:val="Nadpis2"/>
        <w:jc w:val="both"/>
        <w:rPr>
          <w:lang w:eastAsia="cs-CZ"/>
        </w:rPr>
      </w:pPr>
      <w:r w:rsidRPr="00FF7558">
        <w:rPr>
          <w:lang w:eastAsia="cs-CZ"/>
        </w:rPr>
        <w:t>Konkrétní požadavky na poskytování služeb dle této Smlouvy, jakož i všechny doplňující informace, bude Zákazník zasílat prostřednictvím portálu podpory Poskytovatele. V požadavku Zákazníka musí být vždy uveden konkrétní předmět požadavku (některá činnost popsaná v Příloze č. 1 této Smlouvy) a případně předpokládaný rozsah a požadovaný termín poskytnutí Služby. Uživatelská příručka popisující pravidla pro zadávání a průběh řešení jednotlivých případů je uvedena v Support handbooku, který je k dispozici na adrese https://support.trask.cz/Trask_Support_Handbook_2018.pdf a Poskytovatel si vyhrazuje právo úpravy příručky bez předchozího upozornění Zákazníka.</w:t>
      </w:r>
    </w:p>
    <w:p w14:paraId="64830A3F" w14:textId="3068D469" w:rsidR="006F6B29" w:rsidRPr="00FF7558" w:rsidRDefault="006F6B29" w:rsidP="00F120C7">
      <w:pPr>
        <w:pStyle w:val="Nadpis2"/>
        <w:jc w:val="both"/>
        <w:rPr>
          <w:lang w:eastAsia="cs-CZ"/>
        </w:rPr>
      </w:pPr>
      <w:r w:rsidRPr="00FF7558">
        <w:rPr>
          <w:lang w:eastAsia="cs-CZ"/>
        </w:rPr>
        <w:t xml:space="preserve">V případě nedostupnosti portálu podpory budou požadavky hlášeny elektronickou poštou nebo telefonicky, a to na e-mailovou adresu nebo telefonní číslo uvedené v bodě 8.2. </w:t>
      </w:r>
    </w:p>
    <w:p w14:paraId="122D096D" w14:textId="31BB67F8" w:rsidR="006F6B29" w:rsidRPr="00FF7558" w:rsidRDefault="006F6B29" w:rsidP="006F6B29">
      <w:pPr>
        <w:pStyle w:val="Nadpis2"/>
        <w:jc w:val="both"/>
        <w:rPr>
          <w:lang w:eastAsia="cs-CZ"/>
        </w:rPr>
      </w:pPr>
      <w:r w:rsidRPr="00FF7558">
        <w:rPr>
          <w:lang w:eastAsia="cs-CZ"/>
        </w:rPr>
        <w:t>Požadavky priority A definované v Příloze č. 1 musí být vždy hlášeny prostřednictvím telefonu uvedeného v bodu 8.2 a zadány do portálu podpory.</w:t>
      </w:r>
    </w:p>
    <w:p w14:paraId="64CF5BB5" w14:textId="7986C33A" w:rsidR="006F6B29" w:rsidRPr="00FF7558" w:rsidRDefault="006F6B29" w:rsidP="006F6B29">
      <w:pPr>
        <w:pStyle w:val="Nadpis2"/>
        <w:jc w:val="both"/>
        <w:rPr>
          <w:lang w:eastAsia="cs-CZ"/>
        </w:rPr>
      </w:pPr>
      <w:r w:rsidRPr="00FF7558">
        <w:rPr>
          <w:lang w:eastAsia="cs-CZ"/>
        </w:rPr>
        <w:t>V případě nahlášení požadavku telefonicky je Zákazník povinen vždy následně neprodleně zadat požadavek do portálu podpory.</w:t>
      </w:r>
    </w:p>
    <w:p w14:paraId="01FE290A" w14:textId="18327337" w:rsidR="006F6B29" w:rsidRPr="00FF7558" w:rsidRDefault="006F6B29" w:rsidP="00F120C7">
      <w:pPr>
        <w:pStyle w:val="Nadpis2"/>
        <w:jc w:val="both"/>
      </w:pPr>
      <w:r w:rsidRPr="00FF7558">
        <w:t xml:space="preserve">Služby dle této Smlouvy jsou prioritně poskytovány ze sídla Poskytovatele formou vzdálené konzultace a řešení po telefonu nebo s využitím </w:t>
      </w:r>
      <w:r w:rsidR="00C008D5" w:rsidRPr="00FF7558">
        <w:t>internetu</w:t>
      </w:r>
      <w:r w:rsidRPr="00FF7558">
        <w:t xml:space="preserve"> (vzdáleného přístupu). V případě, že poskytnutí služeb ze sídla Poskytovatele nebude z povahy řešeného požadavku možné, budou služby provedeny v sídle Zákazníka.</w:t>
      </w:r>
    </w:p>
    <w:p w14:paraId="59229EE0" w14:textId="62451540" w:rsidR="006F6B29" w:rsidRPr="00FF7558" w:rsidRDefault="006F6B29" w:rsidP="00F120C7">
      <w:pPr>
        <w:pStyle w:val="Nadpis2"/>
        <w:jc w:val="both"/>
      </w:pPr>
      <w:r w:rsidRPr="00FF7558">
        <w:t xml:space="preserve">Vytváření datových záloh (kopií) a obnova dat z těchto záloh není předmětem plnění dle této Smlouvy a Poskytovatel nenese žádnou odpovědnost za poškození či ztrátu uživatelských dat, ledaže k nim došlo v důsledku porušení závazků či vadného plnění Poskytovatele. Zákazník je povinen sám a na vlastní náklady zajišťovat datové zálohování a obnovu funkčnosti systému, adekvátně vlastním požadavkům na dostupnost systému, ledaže by potřeba obnovy funkčnosti systému vznikla v důsledku porušení závazků či vadného plnění Poskytovatele (v takovém případě </w:t>
      </w:r>
      <w:r w:rsidRPr="00FF7558">
        <w:lastRenderedPageBreak/>
        <w:t xml:space="preserve">nese náklady související s obnovou funkčnosti systému Poskytovatel). V případě vyžádání si součinnosti Zákazníkem od Poskytovatele, je Poskytovatel povinen poskytnout nezbytnou součinnost v rámci služby </w:t>
      </w:r>
      <w:proofErr w:type="spellStart"/>
      <w:r w:rsidRPr="00FF7558">
        <w:t>Problem</w:t>
      </w:r>
      <w:proofErr w:type="spellEnd"/>
      <w:r w:rsidRPr="00FF7558">
        <w:t xml:space="preserve"> Management.</w:t>
      </w:r>
    </w:p>
    <w:p w14:paraId="4EAD39DD" w14:textId="4AD01C12" w:rsidR="006F6B29" w:rsidRPr="00FF7558" w:rsidRDefault="006F6B29" w:rsidP="006F6B29">
      <w:pPr>
        <w:pStyle w:val="Nadpis2"/>
        <w:jc w:val="both"/>
        <w:rPr>
          <w:lang w:eastAsia="cs-CZ"/>
        </w:rPr>
      </w:pPr>
      <w:r w:rsidRPr="00FF7558">
        <w:rPr>
          <w:lang w:eastAsia="cs-CZ"/>
        </w:rPr>
        <w:t>Zákazník bere na vědomí, že pro řádné poskytování služeb dle této Smlouvy potřebuje Poskytovatel mít k dispozici vzdálený přístup k systému. Dostupnost vzdáleného připojení je považováno za nezbytnou součinnost Zákazníka.</w:t>
      </w:r>
    </w:p>
    <w:p w14:paraId="6691B0A5" w14:textId="2D6AA4B6" w:rsidR="006F6B29" w:rsidRPr="00FF7558" w:rsidRDefault="006F6B29" w:rsidP="006F6B29">
      <w:pPr>
        <w:pStyle w:val="Nadpis1"/>
        <w:jc w:val="both"/>
      </w:pPr>
      <w:r w:rsidRPr="00FF7558">
        <w:t>Sankce a náhrada škody</w:t>
      </w:r>
    </w:p>
    <w:p w14:paraId="7E329037" w14:textId="7502527E" w:rsidR="006F6B29" w:rsidRPr="00FF7558" w:rsidRDefault="006F6B29" w:rsidP="006F6B29">
      <w:pPr>
        <w:pStyle w:val="Nadpis2"/>
        <w:jc w:val="both"/>
        <w:rPr>
          <w:lang w:eastAsia="cs-CZ"/>
        </w:rPr>
      </w:pPr>
      <w:r w:rsidRPr="00FF7558">
        <w:rPr>
          <w:lang w:eastAsia="cs-CZ"/>
        </w:rPr>
        <w:t>V případě prodlení Poskytovatele s plněním parametrů poskytování služeb části Servisní služby – Incident Management stanovených v Příloze č. 1 této smlouvy, je Zákazník vůči Poskytovateli oprávněn uplatnit smluvní pokutu z měsíčního paušální ceny za každou i započatou hodinu prodlení v rámci dostupnosti služby ve výši stanovené níže:</w:t>
      </w:r>
    </w:p>
    <w:tbl>
      <w:tblPr>
        <w:tblStyle w:val="TRASK1"/>
        <w:tblW w:w="8788" w:type="dxa"/>
        <w:tblInd w:w="284" w:type="dxa"/>
        <w:tblLook w:val="0480" w:firstRow="0" w:lastRow="0" w:firstColumn="1" w:lastColumn="0" w:noHBand="0" w:noVBand="1"/>
      </w:tblPr>
      <w:tblGrid>
        <w:gridCol w:w="2015"/>
        <w:gridCol w:w="6773"/>
      </w:tblGrid>
      <w:tr w:rsidR="006F6B29" w:rsidRPr="00FF7558" w14:paraId="76EBBD08" w14:textId="77777777" w:rsidTr="007F147F">
        <w:trPr>
          <w:trHeight w:val="80"/>
        </w:trPr>
        <w:tc>
          <w:tcPr>
            <w:cnfStyle w:val="001000000000" w:firstRow="0" w:lastRow="0" w:firstColumn="1" w:lastColumn="0" w:oddVBand="0" w:evenVBand="0" w:oddHBand="0" w:evenHBand="0" w:firstRowFirstColumn="0" w:firstRowLastColumn="0" w:lastRowFirstColumn="0" w:lastRowLastColumn="0"/>
            <w:tcW w:w="2015" w:type="dxa"/>
          </w:tcPr>
          <w:p w14:paraId="0FDB3246" w14:textId="77777777" w:rsidR="006F6B29" w:rsidRPr="00FF7558" w:rsidRDefault="006F6B29" w:rsidP="00FB4723">
            <w:pPr>
              <w:pStyle w:val="Bezmezer"/>
            </w:pPr>
            <w:r w:rsidRPr="00FF7558">
              <w:t>Priorita</w:t>
            </w:r>
          </w:p>
        </w:tc>
        <w:tc>
          <w:tcPr>
            <w:tcW w:w="6773" w:type="dxa"/>
          </w:tcPr>
          <w:p w14:paraId="67244EB1" w14:textId="77777777" w:rsidR="006F6B29" w:rsidRPr="00FF7558" w:rsidRDefault="006F6B29" w:rsidP="00FB4723">
            <w:pPr>
              <w:pStyle w:val="Bezmezer"/>
              <w:jc w:val="right"/>
              <w:cnfStyle w:val="000000000000" w:firstRow="0" w:lastRow="0" w:firstColumn="0" w:lastColumn="0" w:oddVBand="0" w:evenVBand="0" w:oddHBand="0" w:evenHBand="0" w:firstRowFirstColumn="0" w:firstRowLastColumn="0" w:lastRowFirstColumn="0" w:lastRowLastColumn="0"/>
            </w:pPr>
            <w:r w:rsidRPr="00FF7558">
              <w:t>Smluvní pokuta za překročení parametru Čas na reakci</w:t>
            </w:r>
          </w:p>
        </w:tc>
      </w:tr>
      <w:tr w:rsidR="006F6B29" w:rsidRPr="00FF7558" w14:paraId="4E327CB3" w14:textId="77777777" w:rsidTr="007F147F">
        <w:trPr>
          <w:trHeight w:val="80"/>
        </w:trPr>
        <w:tc>
          <w:tcPr>
            <w:cnfStyle w:val="001000000000" w:firstRow="0" w:lastRow="0" w:firstColumn="1" w:lastColumn="0" w:oddVBand="0" w:evenVBand="0" w:oddHBand="0" w:evenHBand="0" w:firstRowFirstColumn="0" w:firstRowLastColumn="0" w:lastRowFirstColumn="0" w:lastRowLastColumn="0"/>
            <w:tcW w:w="2015" w:type="dxa"/>
          </w:tcPr>
          <w:p w14:paraId="4CBFC8DA" w14:textId="77777777" w:rsidR="006F6B29" w:rsidRPr="00FF7558" w:rsidRDefault="006F6B29" w:rsidP="00FB4723">
            <w:pPr>
              <w:pStyle w:val="Bezmezer"/>
            </w:pPr>
            <w:r w:rsidRPr="00FF7558">
              <w:t>Priorita A</w:t>
            </w:r>
          </w:p>
        </w:tc>
        <w:tc>
          <w:tcPr>
            <w:tcW w:w="6773" w:type="dxa"/>
          </w:tcPr>
          <w:p w14:paraId="7489313A" w14:textId="77777777" w:rsidR="006F6B29" w:rsidRPr="00FF7558" w:rsidRDefault="006F6B29" w:rsidP="00FB4723">
            <w:pPr>
              <w:pStyle w:val="Bezmezer"/>
              <w:jc w:val="right"/>
              <w:cnfStyle w:val="000000000000" w:firstRow="0" w:lastRow="0" w:firstColumn="0" w:lastColumn="0" w:oddVBand="0" w:evenVBand="0" w:oddHBand="0" w:evenHBand="0" w:firstRowFirstColumn="0" w:firstRowLastColumn="0" w:lastRowFirstColumn="0" w:lastRowLastColumn="0"/>
            </w:pPr>
            <w:r w:rsidRPr="00FF7558">
              <w:rPr>
                <w:rStyle w:val="Siln"/>
                <w:szCs w:val="18"/>
              </w:rPr>
              <w:t>1 %</w:t>
            </w:r>
          </w:p>
        </w:tc>
      </w:tr>
      <w:tr w:rsidR="006F6B29" w:rsidRPr="00FF7558" w14:paraId="42CCA27E" w14:textId="77777777" w:rsidTr="007F147F">
        <w:trPr>
          <w:trHeight w:val="80"/>
        </w:trPr>
        <w:tc>
          <w:tcPr>
            <w:cnfStyle w:val="001000000000" w:firstRow="0" w:lastRow="0" w:firstColumn="1" w:lastColumn="0" w:oddVBand="0" w:evenVBand="0" w:oddHBand="0" w:evenHBand="0" w:firstRowFirstColumn="0" w:firstRowLastColumn="0" w:lastRowFirstColumn="0" w:lastRowLastColumn="0"/>
            <w:tcW w:w="2015" w:type="dxa"/>
          </w:tcPr>
          <w:p w14:paraId="01E6B7F9" w14:textId="77777777" w:rsidR="006F6B29" w:rsidRPr="00FF7558" w:rsidRDefault="006F6B29" w:rsidP="00FB4723">
            <w:pPr>
              <w:pStyle w:val="Bezmezer"/>
            </w:pPr>
            <w:r w:rsidRPr="00FF7558">
              <w:t>Priorita B, B</w:t>
            </w:r>
            <w:r w:rsidRPr="00FF7558">
              <w:rPr>
                <w:rStyle w:val="Siln"/>
                <w:szCs w:val="18"/>
              </w:rPr>
              <w:t>+</w:t>
            </w:r>
          </w:p>
        </w:tc>
        <w:tc>
          <w:tcPr>
            <w:tcW w:w="6773" w:type="dxa"/>
          </w:tcPr>
          <w:p w14:paraId="0B2C6FE0" w14:textId="77777777" w:rsidR="006F6B29" w:rsidRPr="00FF7558" w:rsidRDefault="006F6B29" w:rsidP="00FB4723">
            <w:pPr>
              <w:pStyle w:val="Bezmezer"/>
              <w:jc w:val="right"/>
              <w:cnfStyle w:val="000000000000" w:firstRow="0" w:lastRow="0" w:firstColumn="0" w:lastColumn="0" w:oddVBand="0" w:evenVBand="0" w:oddHBand="0" w:evenHBand="0" w:firstRowFirstColumn="0" w:firstRowLastColumn="0" w:lastRowFirstColumn="0" w:lastRowLastColumn="0"/>
            </w:pPr>
            <w:r w:rsidRPr="00FF7558">
              <w:rPr>
                <w:rStyle w:val="Siln"/>
                <w:szCs w:val="18"/>
              </w:rPr>
              <w:t>0,75 %</w:t>
            </w:r>
          </w:p>
        </w:tc>
      </w:tr>
      <w:tr w:rsidR="006F6B29" w:rsidRPr="00FF7558" w14:paraId="60781AE5" w14:textId="77777777" w:rsidTr="007F147F">
        <w:trPr>
          <w:trHeight w:val="298"/>
        </w:trPr>
        <w:tc>
          <w:tcPr>
            <w:cnfStyle w:val="001000000000" w:firstRow="0" w:lastRow="0" w:firstColumn="1" w:lastColumn="0" w:oddVBand="0" w:evenVBand="0" w:oddHBand="0" w:evenHBand="0" w:firstRowFirstColumn="0" w:firstRowLastColumn="0" w:lastRowFirstColumn="0" w:lastRowLastColumn="0"/>
            <w:tcW w:w="2015" w:type="dxa"/>
          </w:tcPr>
          <w:p w14:paraId="3F829C7F" w14:textId="77777777" w:rsidR="006F6B29" w:rsidRPr="00FF7558" w:rsidRDefault="006F6B29" w:rsidP="00FB4723">
            <w:pPr>
              <w:pStyle w:val="Bezmezer"/>
            </w:pPr>
            <w:r w:rsidRPr="00FF7558">
              <w:t>Priorita C, C</w:t>
            </w:r>
            <w:r w:rsidRPr="00FF7558">
              <w:rPr>
                <w:rStyle w:val="Siln"/>
                <w:szCs w:val="18"/>
              </w:rPr>
              <w:t>+</w:t>
            </w:r>
          </w:p>
        </w:tc>
        <w:tc>
          <w:tcPr>
            <w:tcW w:w="6773" w:type="dxa"/>
          </w:tcPr>
          <w:p w14:paraId="10BA91CD" w14:textId="77777777" w:rsidR="006F6B29" w:rsidRPr="00FF7558" w:rsidRDefault="006F6B29" w:rsidP="00FB4723">
            <w:pPr>
              <w:pStyle w:val="Bezmezer"/>
              <w:jc w:val="right"/>
              <w:cnfStyle w:val="000000000000" w:firstRow="0" w:lastRow="0" w:firstColumn="0" w:lastColumn="0" w:oddVBand="0" w:evenVBand="0" w:oddHBand="0" w:evenHBand="0" w:firstRowFirstColumn="0" w:firstRowLastColumn="0" w:lastRowFirstColumn="0" w:lastRowLastColumn="0"/>
            </w:pPr>
            <w:r w:rsidRPr="00FF7558">
              <w:rPr>
                <w:rStyle w:val="Siln"/>
                <w:szCs w:val="18"/>
              </w:rPr>
              <w:t>0,5 %</w:t>
            </w:r>
          </w:p>
        </w:tc>
      </w:tr>
    </w:tbl>
    <w:p w14:paraId="4053733F" w14:textId="50337313" w:rsidR="006F6B29" w:rsidRPr="00FF7558" w:rsidRDefault="006F6B29" w:rsidP="006F6B29">
      <w:pPr>
        <w:pStyle w:val="Nadpis2"/>
        <w:jc w:val="both"/>
        <w:rPr>
          <w:lang w:eastAsia="cs-CZ"/>
        </w:rPr>
      </w:pPr>
      <w:r w:rsidRPr="00FF7558">
        <w:rPr>
          <w:lang w:eastAsia="cs-CZ"/>
        </w:rPr>
        <w:t>Smluvní pokuty je možné aplikovat kumulativně. Celková částka smluvních pokut je v součtu omezena částkou ve výši měsíční paušální ceny Poskytovatele pro daný měsíc, a to pro veškeré případy během každého jednotlivého měsíce.</w:t>
      </w:r>
    </w:p>
    <w:p w14:paraId="08979D0A" w14:textId="5B27C942" w:rsidR="006F6B29" w:rsidRPr="00FF7558" w:rsidRDefault="006F6B29" w:rsidP="006F6B29">
      <w:pPr>
        <w:pStyle w:val="Nadpis2"/>
        <w:jc w:val="both"/>
        <w:rPr>
          <w:lang w:eastAsia="cs-CZ"/>
        </w:rPr>
      </w:pPr>
      <w:r w:rsidRPr="00FF7558">
        <w:rPr>
          <w:lang w:eastAsia="cs-CZ"/>
        </w:rPr>
        <w:t>Celková částka smluvních pokut pro daný měsíc bude po vzájemném odsouhlasení vypořádána v rámci měsíční paušální ceny za období, v kterém je smluvní pokuta Zákazníkem uplatňována.</w:t>
      </w:r>
    </w:p>
    <w:p w14:paraId="3EF44178" w14:textId="3D996E7C" w:rsidR="006F6B29" w:rsidRPr="00FF7558" w:rsidRDefault="006F6B29" w:rsidP="006F6B29">
      <w:pPr>
        <w:pStyle w:val="Nadpis2"/>
        <w:jc w:val="both"/>
        <w:rPr>
          <w:lang w:eastAsia="cs-CZ"/>
        </w:rPr>
      </w:pPr>
      <w:r w:rsidRPr="00FF7558">
        <w:rPr>
          <w:lang w:eastAsia="cs-CZ"/>
        </w:rPr>
        <w:t>Výpočet penalizace se provádí v době dostupnosti služby dle poskytování služeb Incident Managementu stanovených v Příloze č. 1 této Smlouvy.</w:t>
      </w:r>
    </w:p>
    <w:p w14:paraId="50ADF4F5" w14:textId="77777777" w:rsidR="006F6B29" w:rsidRPr="00FF7558" w:rsidRDefault="006F6B29" w:rsidP="006F6B29">
      <w:pPr>
        <w:pStyle w:val="Nadpis2"/>
        <w:jc w:val="both"/>
        <w:rPr>
          <w:lang w:eastAsia="cs-CZ"/>
        </w:rPr>
      </w:pPr>
      <w:r w:rsidRPr="00FF7558">
        <w:rPr>
          <w:lang w:eastAsia="cs-CZ"/>
        </w:rPr>
        <w:t xml:space="preserve">Smluvní strany se dále dohodly, že odpovědnost Poskytovatele k náhradě škody či nemajetkové újmy jím způsobené nikoliv úmyslně, z hrubé nedbalosti či na přirozených právech člověka porušením jakýchkoliv jeho závazků sjednaných touto Smlouvou či vyplývajících pro něj ze zákona v souvislosti s touto Smlouvou je omezena částkou 500 000,- Kč, kteroužto částku smluvní strany ve smyslu </w:t>
      </w:r>
      <w:proofErr w:type="spellStart"/>
      <w:r w:rsidRPr="00FF7558">
        <w:rPr>
          <w:lang w:eastAsia="cs-CZ"/>
        </w:rPr>
        <w:t>ust</w:t>
      </w:r>
      <w:proofErr w:type="spellEnd"/>
      <w:r w:rsidRPr="00FF7558">
        <w:rPr>
          <w:lang w:eastAsia="cs-CZ"/>
        </w:rPr>
        <w:t>. § 2898 zákona č. 89/2012 Sb., občanský zákoník, v platném znění, shodně považují a prohlašují za maximální částku náhrady škody či nemajetkové újmy, za kterou odpovídá Poskytovatel a kterou bude případně povinen uhradit.</w:t>
      </w:r>
    </w:p>
    <w:p w14:paraId="7AA533D5" w14:textId="23B422F6" w:rsidR="006F6B29" w:rsidRPr="00FF7558" w:rsidRDefault="006F6B29" w:rsidP="006F6B29">
      <w:pPr>
        <w:pStyle w:val="Nadpis1"/>
      </w:pPr>
      <w:r w:rsidRPr="00FF7558">
        <w:t>Kontaktní osoby</w:t>
      </w:r>
    </w:p>
    <w:p w14:paraId="643932A7" w14:textId="59DB5A59" w:rsidR="006F6B29" w:rsidRPr="00FF7558" w:rsidRDefault="006F6B29" w:rsidP="00FD7D5E">
      <w:pPr>
        <w:pStyle w:val="Nadpis2"/>
        <w:jc w:val="both"/>
        <w:rPr>
          <w:lang w:eastAsia="cs-CZ"/>
        </w:rPr>
      </w:pPr>
      <w:r w:rsidRPr="00FF7558">
        <w:rPr>
          <w:lang w:eastAsia="cs-CZ"/>
        </w:rPr>
        <w:t>Kontaktní osoby pověřené vedením věcných jednání, včetně kontaktních spojení, jsou uvedeny v Příloze č. 3 této Smlouvy.</w:t>
      </w:r>
    </w:p>
    <w:p w14:paraId="7AD2CA1F" w14:textId="2EE6757E" w:rsidR="006F6B29" w:rsidRPr="00FF7558" w:rsidRDefault="006F6B29" w:rsidP="00FD7D5E">
      <w:pPr>
        <w:pStyle w:val="Nadpis2"/>
        <w:jc w:val="both"/>
        <w:rPr>
          <w:lang w:eastAsia="cs-CZ"/>
        </w:rPr>
      </w:pPr>
      <w:r w:rsidRPr="00FF7558">
        <w:rPr>
          <w:lang w:eastAsia="cs-CZ"/>
        </w:rPr>
        <w:t>Změna kontaktních osob bude provedena písemným oznámením druhé smluvní straně bez nutnosti vyhotovení písemného dodatku k této Smlouvě.</w:t>
      </w:r>
    </w:p>
    <w:p w14:paraId="3E6C0EA3" w14:textId="7E22DE26" w:rsidR="006F6B29" w:rsidRPr="00FF7558" w:rsidRDefault="006F6B29" w:rsidP="00C008D5">
      <w:pPr>
        <w:pStyle w:val="Nadpis1"/>
        <w:keepNext/>
        <w:ind w:left="357" w:hanging="357"/>
        <w:jc w:val="both"/>
      </w:pPr>
      <w:r w:rsidRPr="00FF7558">
        <w:t>Ukončení Smlouvy</w:t>
      </w:r>
    </w:p>
    <w:p w14:paraId="23803766" w14:textId="4906F167" w:rsidR="006F6B29" w:rsidRPr="00FF7558" w:rsidRDefault="006F6B29" w:rsidP="00FD7D5E">
      <w:pPr>
        <w:pStyle w:val="Nadpis2"/>
        <w:jc w:val="both"/>
        <w:rPr>
          <w:lang w:eastAsia="cs-CZ"/>
        </w:rPr>
      </w:pPr>
      <w:r w:rsidRPr="00FF7558">
        <w:rPr>
          <w:lang w:eastAsia="cs-CZ"/>
        </w:rPr>
        <w:t xml:space="preserve">Tato Smlouva se uzavírá na bodu určitou v trvání 1 roku, kdy tato doba trvání Smlouvy se automaticky prodlužuje o další rok, pokud kterákoli ze stran neoznámí nejméně 3 měsíce před </w:t>
      </w:r>
      <w:r w:rsidRPr="00FF7558">
        <w:rPr>
          <w:lang w:eastAsia="cs-CZ"/>
        </w:rPr>
        <w:lastRenderedPageBreak/>
        <w:t>uplynutím sjednané (i prodloužené) doby trvání této Smlouvy druhé straně, že si nepřeje prodloužení doby trvání Smlouvy. Tuto Smlouvu lze ukončit:</w:t>
      </w:r>
    </w:p>
    <w:p w14:paraId="3BACAF9F" w14:textId="0485EE2A" w:rsidR="006F6B29" w:rsidRPr="00FF7558" w:rsidRDefault="006F6B29" w:rsidP="00F120C7">
      <w:pPr>
        <w:pStyle w:val="Odstavecseseznamem"/>
        <w:numPr>
          <w:ilvl w:val="0"/>
          <w:numId w:val="7"/>
        </w:numPr>
        <w:jc w:val="both"/>
        <w:rPr>
          <w:lang w:eastAsia="cs-CZ"/>
        </w:rPr>
      </w:pPr>
      <w:r w:rsidRPr="00FF7558">
        <w:rPr>
          <w:lang w:eastAsia="cs-CZ"/>
        </w:rPr>
        <w:t xml:space="preserve">písemnou dohodou smluvních stran, jejíž součástí bude též vypořádání vzájemných závazků ze Smlouvy vyplývajících </w:t>
      </w:r>
    </w:p>
    <w:p w14:paraId="4F58035D" w14:textId="74E0391A" w:rsidR="006F6B29" w:rsidRPr="00FF7558" w:rsidRDefault="006F6B29" w:rsidP="00F120C7">
      <w:pPr>
        <w:pStyle w:val="Odstavecseseznamem"/>
        <w:numPr>
          <w:ilvl w:val="0"/>
          <w:numId w:val="7"/>
        </w:numPr>
        <w:jc w:val="both"/>
        <w:rPr>
          <w:lang w:eastAsia="cs-CZ"/>
        </w:rPr>
      </w:pPr>
      <w:r w:rsidRPr="00FF7558">
        <w:rPr>
          <w:lang w:eastAsia="cs-CZ"/>
        </w:rPr>
        <w:t xml:space="preserve">odstoupením kterékoliv ze smluvních stran pro podstatné porušení smluvních povinností druhou smluvní stranou, pokud toto porušení trvá i poté, co byla smluvní strana, která závazek porušila, o porušení písemně informována druhou smluvní stranou a písemnou výzvou s náhradní lhůtou ke zjednání nápravy v trvání alespoň jednoho kalendářního měsíce vyzvána k nápravě.  </w:t>
      </w:r>
    </w:p>
    <w:p w14:paraId="18603B8B" w14:textId="77777777" w:rsidR="006F6B29" w:rsidRPr="00FF7558" w:rsidRDefault="006F6B29" w:rsidP="00FD7D5E">
      <w:pPr>
        <w:pStyle w:val="Nadpis2"/>
        <w:jc w:val="both"/>
        <w:rPr>
          <w:lang w:eastAsia="cs-CZ"/>
        </w:rPr>
      </w:pPr>
      <w:r w:rsidRPr="00FF7558">
        <w:rPr>
          <w:lang w:eastAsia="cs-CZ"/>
        </w:rPr>
        <w:t>Za podstatné porušení smluvních povinností ze strany Poskytovatele se pro účely této Smlouvy považuje:</w:t>
      </w:r>
    </w:p>
    <w:p w14:paraId="6F46BFF8" w14:textId="535FAC42" w:rsidR="006F6B29" w:rsidRPr="00FF7558" w:rsidRDefault="006F6B29" w:rsidP="00FD7D5E">
      <w:pPr>
        <w:pStyle w:val="Nadpis2"/>
        <w:numPr>
          <w:ilvl w:val="0"/>
          <w:numId w:val="0"/>
        </w:numPr>
        <w:ind w:left="792"/>
        <w:jc w:val="both"/>
        <w:rPr>
          <w:lang w:eastAsia="cs-CZ"/>
        </w:rPr>
      </w:pPr>
      <w:r w:rsidRPr="00FF7558">
        <w:rPr>
          <w:lang w:eastAsia="cs-CZ"/>
        </w:rPr>
        <w:t xml:space="preserve">v oblasti Incident Managementu překročení garantovaného času na reakci uvedené v Příloze č. 1 této Smlouvy: </w:t>
      </w:r>
    </w:p>
    <w:p w14:paraId="083F83B5" w14:textId="2453C275" w:rsidR="006F6B29" w:rsidRPr="00FF7558" w:rsidRDefault="006F6B29" w:rsidP="00F120C7">
      <w:pPr>
        <w:pStyle w:val="Odstavecseseznamem"/>
        <w:numPr>
          <w:ilvl w:val="0"/>
          <w:numId w:val="8"/>
        </w:numPr>
        <w:jc w:val="both"/>
        <w:rPr>
          <w:lang w:eastAsia="cs-CZ"/>
        </w:rPr>
      </w:pPr>
      <w:r w:rsidRPr="00FF7558">
        <w:rPr>
          <w:lang w:eastAsia="cs-CZ"/>
        </w:rPr>
        <w:t xml:space="preserve">v případě priority A o dobu 2 pracovních dnů v rámci dostupnosti služby </w:t>
      </w:r>
    </w:p>
    <w:p w14:paraId="07AC7EEA" w14:textId="1139F2D1" w:rsidR="006F6B29" w:rsidRPr="00FF7558" w:rsidRDefault="006F6B29" w:rsidP="00F120C7">
      <w:pPr>
        <w:pStyle w:val="Odstavecseseznamem"/>
        <w:numPr>
          <w:ilvl w:val="0"/>
          <w:numId w:val="8"/>
        </w:numPr>
        <w:jc w:val="both"/>
        <w:rPr>
          <w:lang w:eastAsia="cs-CZ"/>
        </w:rPr>
      </w:pPr>
      <w:r w:rsidRPr="00FF7558">
        <w:rPr>
          <w:lang w:eastAsia="cs-CZ"/>
        </w:rPr>
        <w:t>v případě priority B o dobu 5 pracovních dnů v rámci dostupnosti služby</w:t>
      </w:r>
    </w:p>
    <w:p w14:paraId="71535E3A" w14:textId="7C1BF556" w:rsidR="006F6B29" w:rsidRPr="00FF7558" w:rsidRDefault="006F6B29" w:rsidP="00FD7D5E">
      <w:pPr>
        <w:pStyle w:val="Nadpis2"/>
        <w:jc w:val="both"/>
        <w:rPr>
          <w:lang w:eastAsia="cs-CZ"/>
        </w:rPr>
      </w:pPr>
      <w:r w:rsidRPr="00FF7558">
        <w:rPr>
          <w:lang w:eastAsia="cs-CZ"/>
        </w:rPr>
        <w:t>Za podstatné porušení smluvních povinností ze strany Zákazníka se pro účely této Smlouvy považuje zejména:</w:t>
      </w:r>
    </w:p>
    <w:p w14:paraId="7390AE05" w14:textId="2862A553" w:rsidR="006F6B29" w:rsidRPr="00FF7558" w:rsidRDefault="006F6B29" w:rsidP="00F120C7">
      <w:pPr>
        <w:pStyle w:val="Odstavecseseznamem"/>
        <w:numPr>
          <w:ilvl w:val="0"/>
          <w:numId w:val="9"/>
        </w:numPr>
        <w:jc w:val="both"/>
        <w:rPr>
          <w:lang w:eastAsia="cs-CZ"/>
        </w:rPr>
      </w:pPr>
      <w:r w:rsidRPr="00FF7558">
        <w:rPr>
          <w:lang w:eastAsia="cs-CZ"/>
        </w:rPr>
        <w:t>prodlení s úhradou faktury v délce minimálně 60 pracovních dní</w:t>
      </w:r>
    </w:p>
    <w:p w14:paraId="1070DECB" w14:textId="53D4099D" w:rsidR="006F6B29" w:rsidRPr="00FF7558" w:rsidRDefault="006F6B29" w:rsidP="00F120C7">
      <w:pPr>
        <w:pStyle w:val="Odstavecseseznamem"/>
        <w:numPr>
          <w:ilvl w:val="0"/>
          <w:numId w:val="9"/>
        </w:numPr>
        <w:jc w:val="both"/>
        <w:rPr>
          <w:lang w:eastAsia="cs-CZ"/>
        </w:rPr>
      </w:pPr>
      <w:r w:rsidRPr="00FF7558">
        <w:rPr>
          <w:lang w:eastAsia="cs-CZ"/>
        </w:rPr>
        <w:t>opakované neplnění nezbytné součinnosti, která byla vyžádána a následně urgována Poskytovatelem.</w:t>
      </w:r>
    </w:p>
    <w:p w14:paraId="5681E5A6" w14:textId="43DFE74F" w:rsidR="006F6B29" w:rsidRPr="00FF7558" w:rsidRDefault="006F6B29" w:rsidP="00FD7D5E">
      <w:pPr>
        <w:pStyle w:val="Nadpis2"/>
        <w:jc w:val="both"/>
        <w:rPr>
          <w:lang w:eastAsia="cs-CZ"/>
        </w:rPr>
      </w:pPr>
      <w:r w:rsidRPr="00FF7558">
        <w:rPr>
          <w:lang w:eastAsia="cs-CZ"/>
        </w:rPr>
        <w:t>Smlouvu je možno ukončit i z dalších důvodů neuvedených výše, pokud vyplývají z obecně závazných právních předpisů.</w:t>
      </w:r>
    </w:p>
    <w:p w14:paraId="41A10D91" w14:textId="28A89779" w:rsidR="006F6B29" w:rsidRPr="00FF7558" w:rsidRDefault="006F6B29" w:rsidP="00FD7D5E">
      <w:pPr>
        <w:pStyle w:val="Nadpis1"/>
        <w:jc w:val="both"/>
      </w:pPr>
      <w:r w:rsidRPr="00FF7558">
        <w:t>Ochrana osobních údajů</w:t>
      </w:r>
    </w:p>
    <w:p w14:paraId="3A669785" w14:textId="574734B9" w:rsidR="00FD7D5E" w:rsidRPr="00FF7558" w:rsidRDefault="006F6B29" w:rsidP="00FD7D5E">
      <w:pPr>
        <w:pStyle w:val="Nadpis2"/>
        <w:jc w:val="both"/>
        <w:rPr>
          <w:lang w:eastAsia="cs-CZ"/>
        </w:rPr>
      </w:pPr>
      <w:r w:rsidRPr="00FF7558">
        <w:rPr>
          <w:lang w:eastAsia="cs-CZ"/>
        </w:rPr>
        <w:t>Pro případ, že by jedna ze smluvních stran v průběhu plnění této Smlouvy pro druhou smluvní stranu zpracovávala osobní údaje fyzických osob, uzavírají smluvní strany současně touto smlouvou smlouvu o zpracování osobních údajů ve smyslu zákona č. 110/2019  Sb., o zpracování osobních údajů, v platném znění (dále jen „ZZOU“) a NAŘÍZENÍ EVROPSKÉHO PARLAMENTU A RADY (EU) 2016/679 ze dne 27.4.2016 o ochraně fyzických osob v souvislosti se zpracováním osobních údajů a o volném pohybu těchto údajů a o zrušení směrnice 95/46/ES (obecné nařízení o ochraně osobních údajů) (dále jen „GDPR“).</w:t>
      </w:r>
    </w:p>
    <w:p w14:paraId="6722A867" w14:textId="40C50AF9" w:rsidR="00FD7D5E" w:rsidRPr="00FF7558" w:rsidRDefault="006F6B29" w:rsidP="00FD7D5E">
      <w:pPr>
        <w:pStyle w:val="Nadpis2"/>
        <w:jc w:val="both"/>
        <w:rPr>
          <w:lang w:eastAsia="cs-CZ"/>
        </w:rPr>
      </w:pPr>
      <w:r w:rsidRPr="00FF7558">
        <w:rPr>
          <w:lang w:eastAsia="cs-CZ"/>
        </w:rPr>
        <w:t>Smluvní strana poskytující osobní údaje má pro účely ochrany osobních údajů postavení správce osobních údajů (dále též jako „správce“) a smluvní strana přijímající osobní údaje má postavení zpracovatele (dále též jako „zpracovatel“) ve smyslu ZZOU a GDPR. Správce prohlašuje, že ke zpracování osobních údajů zpřístupněných zpracovateli za účelem plnění této Smlouvy disponuje dostatečným právním titulem.</w:t>
      </w:r>
    </w:p>
    <w:p w14:paraId="39703C97" w14:textId="026A0063" w:rsidR="00FD7D5E" w:rsidRPr="00FF7558" w:rsidRDefault="006F6B29" w:rsidP="00FD7D5E">
      <w:pPr>
        <w:pStyle w:val="Nadpis2"/>
        <w:jc w:val="both"/>
        <w:rPr>
          <w:lang w:eastAsia="cs-CZ"/>
        </w:rPr>
      </w:pPr>
      <w:r w:rsidRPr="00FF7558">
        <w:rPr>
          <w:lang w:eastAsia="cs-CZ"/>
        </w:rPr>
        <w:t>Zpracovatel prohlašuje a zavazuje se zpracovávat osobní údaje výlučně v rozsahu odpovídajícímu účelu této Smlouvy a pouze pro účely zpracování dle předmětu této Smlouvy. Zpracovatel se zavazuje zpracovávat osobní údaje výlučně v souladu s pokyny správce.</w:t>
      </w:r>
    </w:p>
    <w:p w14:paraId="33F8EB58" w14:textId="24BFDAAC" w:rsidR="00FD7D5E" w:rsidRPr="00FF7558" w:rsidRDefault="006F6B29" w:rsidP="00FD7D5E">
      <w:pPr>
        <w:pStyle w:val="Nadpis2"/>
        <w:jc w:val="both"/>
        <w:rPr>
          <w:lang w:eastAsia="cs-CZ"/>
        </w:rPr>
      </w:pPr>
      <w:r w:rsidRPr="00FF7558">
        <w:rPr>
          <w:lang w:eastAsia="cs-CZ"/>
        </w:rPr>
        <w:t>Osobní údaje budou zpracovávány přesné, pravdivé, ověřené a aktuální. V případě, že se zpracovatel věrohodným způsobem dozví, že osobní údaje neodpovídají požadavku předchozí věty, je povinen je opravit a nesprávné údaje likvidovat a o těchto změnách bez odkladu informovat správce, případně informovat správce o nutnosti osobní údaje opravit.</w:t>
      </w:r>
    </w:p>
    <w:p w14:paraId="54E09514" w14:textId="1917A707" w:rsidR="00FD7D5E" w:rsidRPr="00FF7558" w:rsidRDefault="006F6B29" w:rsidP="00FD7D5E">
      <w:pPr>
        <w:pStyle w:val="Nadpis2"/>
        <w:jc w:val="both"/>
        <w:rPr>
          <w:lang w:eastAsia="cs-CZ"/>
        </w:rPr>
      </w:pPr>
      <w:r w:rsidRPr="00FF7558">
        <w:rPr>
          <w:lang w:eastAsia="cs-CZ"/>
        </w:rPr>
        <w:lastRenderedPageBreak/>
        <w:t>Zpracovatel je oprávněn zpracovávat osobní údaje pouze po dobu nutnou k provedení takového zpracování.</w:t>
      </w:r>
    </w:p>
    <w:p w14:paraId="3E8E77CA" w14:textId="599265E2" w:rsidR="00FD7D5E" w:rsidRPr="00FF7558" w:rsidRDefault="006F6B29" w:rsidP="00FD7D5E">
      <w:pPr>
        <w:pStyle w:val="Nadpis2"/>
        <w:jc w:val="both"/>
        <w:rPr>
          <w:lang w:eastAsia="cs-CZ"/>
        </w:rPr>
      </w:pPr>
      <w:r w:rsidRPr="00FF7558">
        <w:rPr>
          <w:lang w:eastAsia="cs-CZ"/>
        </w:rPr>
        <w:t>Zpracovatel se zavazuje zajistit bezpečnost osobních údajů, dodržovat příslušné právní předpisy a obecně závazné regulatorní požadavky.</w:t>
      </w:r>
    </w:p>
    <w:p w14:paraId="2D545D0B" w14:textId="77333468" w:rsidR="00FD7D5E" w:rsidRPr="00FF7558" w:rsidRDefault="006F6B29" w:rsidP="00FD7D5E">
      <w:pPr>
        <w:pStyle w:val="Nadpis2"/>
        <w:jc w:val="both"/>
        <w:rPr>
          <w:lang w:eastAsia="cs-CZ"/>
        </w:rPr>
      </w:pPr>
      <w:r w:rsidRPr="00FF7558">
        <w:rPr>
          <w:lang w:eastAsia="cs-CZ"/>
        </w:rPr>
        <w:t>Zpracovatel se zavazuje na písemnou výzvu správce postupovat ve vztahu k ochraně osobních údajů v souladu s jeho pokyny a zlikvidovat nebo vrátit veškeré osobní údaje, které od správce obdržel, a to bez zbytečného odkladu.</w:t>
      </w:r>
    </w:p>
    <w:p w14:paraId="61817EC8" w14:textId="5EBA5BF3" w:rsidR="00FD7D5E" w:rsidRPr="00FF7558" w:rsidRDefault="006F6B29" w:rsidP="00FD7D5E">
      <w:pPr>
        <w:pStyle w:val="Nadpis2"/>
        <w:jc w:val="both"/>
        <w:rPr>
          <w:lang w:eastAsia="cs-CZ"/>
        </w:rPr>
      </w:pPr>
      <w:r w:rsidRPr="00FF7558">
        <w:rPr>
          <w:lang w:eastAsia="cs-CZ"/>
        </w:rPr>
        <w:t>Další podmínky zpracování osobních údajů platí dle Přílohy č. 4/5 Smlouvy o Dílo.</w:t>
      </w:r>
    </w:p>
    <w:p w14:paraId="4F9CBC83" w14:textId="5B1655D2" w:rsidR="006F6B29" w:rsidRPr="00FF7558" w:rsidRDefault="006F6B29" w:rsidP="00FD7D5E">
      <w:pPr>
        <w:pStyle w:val="Nadpis1"/>
        <w:jc w:val="both"/>
      </w:pPr>
      <w:r w:rsidRPr="00FF7558">
        <w:t>Závěrečná ustanovení</w:t>
      </w:r>
    </w:p>
    <w:p w14:paraId="01DD55A3" w14:textId="4A2017A4" w:rsidR="00FD7D5E" w:rsidRPr="00FF7558" w:rsidRDefault="006F6B29" w:rsidP="00FD7D5E">
      <w:pPr>
        <w:pStyle w:val="Nadpis2"/>
        <w:jc w:val="both"/>
        <w:rPr>
          <w:lang w:eastAsia="cs-CZ"/>
        </w:rPr>
      </w:pPr>
      <w:r w:rsidRPr="00FF7558">
        <w:rPr>
          <w:lang w:eastAsia="cs-CZ"/>
        </w:rPr>
        <w:t xml:space="preserve">Tato Smlouva nabývá platnosti a účinnosti dnem podpisu oběma smluvními stranami. Smluvní strany prohlašují, že Poskytovatel zahájil poskytování Služeb již před uzavřením této Smlouvy dne </w:t>
      </w:r>
      <w:r w:rsidR="00F243AF" w:rsidRPr="00925C70">
        <w:rPr>
          <w:lang w:eastAsia="cs-CZ"/>
        </w:rPr>
        <w:t>22. 1. 2020</w:t>
      </w:r>
      <w:r w:rsidRPr="00925C70">
        <w:rPr>
          <w:lang w:eastAsia="cs-CZ"/>
        </w:rPr>
        <w:t>.</w:t>
      </w:r>
      <w:r w:rsidRPr="00FF7558">
        <w:rPr>
          <w:lang w:eastAsia="cs-CZ"/>
        </w:rPr>
        <w:t xml:space="preserve"> Smluvní vztah, na základě, kterého bylo poskytování Služeb zahájeno, je tímto plně nahrazen touto Smlouvou. Dosavadní závazky týkající se poskytování Služeb ke dni účinnosti této Smlouvy zanikají a jsou nahrazeny ujednáními obsaženými v této Smlouvě. Strany pro zamezení pochybnostem prohlašují, že Zákazník je oprávněn ponechat si všechny výstupy poskytnuté mu Poskytovatelem před uzavřením této Smlouvy a na tyto výstupy, včetně práva k jejich užití či odpovědnosti za vady, se v celém a neomezeném rozsahu použijí ustanovení této Smlouvy.</w:t>
      </w:r>
    </w:p>
    <w:p w14:paraId="22B68F88" w14:textId="4DBF4C0A" w:rsidR="00FD7D5E" w:rsidRPr="00FF7558" w:rsidRDefault="006F6B29" w:rsidP="00FD7D5E">
      <w:pPr>
        <w:pStyle w:val="Nadpis2"/>
        <w:jc w:val="both"/>
        <w:rPr>
          <w:lang w:eastAsia="cs-CZ"/>
        </w:rPr>
      </w:pPr>
      <w:r w:rsidRPr="00FF7558">
        <w:rPr>
          <w:lang w:eastAsia="cs-CZ"/>
        </w:rPr>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14:paraId="0C83617E" w14:textId="4B7B1332" w:rsidR="00FD7D5E" w:rsidRPr="00FF7558" w:rsidRDefault="006F6B29" w:rsidP="00FD7D5E">
      <w:pPr>
        <w:pStyle w:val="Nadpis2"/>
        <w:jc w:val="both"/>
        <w:rPr>
          <w:lang w:eastAsia="cs-CZ"/>
        </w:rPr>
      </w:pPr>
      <w:r w:rsidRPr="00FF7558">
        <w:rPr>
          <w:lang w:eastAsia="cs-CZ"/>
        </w:rPr>
        <w:t>Veškerá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43BC9FF3" w14:textId="3D5F6FC4" w:rsidR="00FD7D5E" w:rsidRPr="00FF7558" w:rsidRDefault="006F6B29" w:rsidP="00FD7D5E">
      <w:pPr>
        <w:pStyle w:val="Nadpis2"/>
        <w:jc w:val="both"/>
        <w:rPr>
          <w:lang w:eastAsia="cs-CZ"/>
        </w:rPr>
      </w:pPr>
      <w:r w:rsidRPr="00FF7558">
        <w:rPr>
          <w:lang w:eastAsia="cs-CZ"/>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Strany se dále dohodly, že pro účely této Smlouvy </w:t>
      </w:r>
      <w:r w:rsidRPr="00FF7558">
        <w:rPr>
          <w:lang w:eastAsia="cs-CZ"/>
        </w:rPr>
        <w:lastRenderedPageBreak/>
        <w:t>se nepoužijí ustanovení § 1765 a 1766, § 1793 až 1795 a § 1805 odst. 2 zákona č. 89/2012 Sb., občanský zákoník, v platném znění.</w:t>
      </w:r>
    </w:p>
    <w:p w14:paraId="31ACDB5D" w14:textId="1D1CE0D3" w:rsidR="00FD7D5E" w:rsidRPr="00FF7558" w:rsidRDefault="006F6B29" w:rsidP="00FD7D5E">
      <w:pPr>
        <w:pStyle w:val="Nadpis2"/>
        <w:jc w:val="both"/>
        <w:rPr>
          <w:lang w:eastAsia="cs-CZ"/>
        </w:rPr>
      </w:pPr>
      <w:r w:rsidRPr="00FF7558">
        <w:rPr>
          <w:lang w:eastAsia="cs-CZ"/>
        </w:rPr>
        <w:t xml:space="preserve">Tuto Smlouvu lze měnit nebo doplňovat pouze písemnými dodatky podepsanými zástupci obou smluvních stran. </w:t>
      </w:r>
    </w:p>
    <w:p w14:paraId="5AAE55CE" w14:textId="7A730FF9" w:rsidR="00FD7D5E" w:rsidRPr="00FF7558" w:rsidRDefault="006F6B29" w:rsidP="00FD7D5E">
      <w:pPr>
        <w:pStyle w:val="Nadpis2"/>
        <w:jc w:val="both"/>
        <w:rPr>
          <w:lang w:eastAsia="cs-CZ"/>
        </w:rPr>
      </w:pPr>
      <w:r w:rsidRPr="00FF7558">
        <w:rPr>
          <w:lang w:eastAsia="cs-CZ"/>
        </w:rPr>
        <w:t xml:space="preserve">Tato Smlouva byla vyhotovena a účastníky podepsána ve dvou (2) stejnopisech, z nichž každý má stejnou platnost. Každá ze stran obdrží jedno (1) z těchto vyhotovení. Jakékoli opravy textu platí jen, byly-li oběma účastníky vlastnoručně parafovány. </w:t>
      </w:r>
    </w:p>
    <w:p w14:paraId="1DEFF162" w14:textId="30F46E43" w:rsidR="00FD7D5E" w:rsidRPr="00FF7558" w:rsidRDefault="006F6B29" w:rsidP="00FD7D5E">
      <w:pPr>
        <w:pStyle w:val="Nadpis2"/>
        <w:jc w:val="both"/>
        <w:rPr>
          <w:lang w:eastAsia="cs-CZ"/>
        </w:rPr>
      </w:pPr>
      <w:r w:rsidRPr="00FF7558">
        <w:rPr>
          <w:lang w:eastAsia="cs-CZ"/>
        </w:rPr>
        <w:t>Nedílnou součást této Smlouvy tvoří:</w:t>
      </w:r>
    </w:p>
    <w:p w14:paraId="35D382D0" w14:textId="61A21E4C" w:rsidR="006F6B29" w:rsidRPr="00FF7558" w:rsidRDefault="006F6B29" w:rsidP="00F120C7">
      <w:pPr>
        <w:pStyle w:val="Odstavecseseznamem"/>
        <w:numPr>
          <w:ilvl w:val="0"/>
          <w:numId w:val="10"/>
        </w:numPr>
        <w:jc w:val="both"/>
        <w:rPr>
          <w:lang w:eastAsia="cs-CZ"/>
        </w:rPr>
      </w:pPr>
      <w:r w:rsidRPr="00FF7558">
        <w:rPr>
          <w:lang w:eastAsia="cs-CZ"/>
        </w:rPr>
        <w:t xml:space="preserve">Příloha č. 1 – Parametry poskytovaných servisních a konzultačních služeb, licence </w:t>
      </w:r>
    </w:p>
    <w:p w14:paraId="0E4E2687" w14:textId="4652C57C" w:rsidR="006F6B29" w:rsidRPr="00FF7558" w:rsidRDefault="006F6B29" w:rsidP="00F120C7">
      <w:pPr>
        <w:pStyle w:val="Odstavecseseznamem"/>
        <w:numPr>
          <w:ilvl w:val="0"/>
          <w:numId w:val="10"/>
        </w:numPr>
        <w:jc w:val="both"/>
        <w:rPr>
          <w:lang w:eastAsia="cs-CZ"/>
        </w:rPr>
      </w:pPr>
      <w:r w:rsidRPr="00FF7558">
        <w:rPr>
          <w:lang w:eastAsia="cs-CZ"/>
        </w:rPr>
        <w:t>Příloha č. 2 – Ceny servisních a konzultačních služeb, cena licencí</w:t>
      </w:r>
    </w:p>
    <w:p w14:paraId="6728CF06" w14:textId="6C7B4339" w:rsidR="006F6B29" w:rsidRPr="00FF7558" w:rsidRDefault="006F6B29" w:rsidP="00F120C7">
      <w:pPr>
        <w:pStyle w:val="Odstavecseseznamem"/>
        <w:numPr>
          <w:ilvl w:val="0"/>
          <w:numId w:val="10"/>
        </w:numPr>
        <w:jc w:val="both"/>
        <w:rPr>
          <w:lang w:eastAsia="cs-CZ"/>
        </w:rPr>
      </w:pPr>
      <w:r w:rsidRPr="00FF7558">
        <w:rPr>
          <w:lang w:eastAsia="cs-CZ"/>
        </w:rPr>
        <w:t>Příloha č. 3 – Kontakty pro poskytování servisních a konzultačních služeb</w:t>
      </w:r>
    </w:p>
    <w:p w14:paraId="239B0C0C" w14:textId="4B1A234B" w:rsidR="006F6B29" w:rsidRPr="00FF7558" w:rsidRDefault="006F6B29" w:rsidP="00F120C7">
      <w:pPr>
        <w:pStyle w:val="Odstavecseseznamem"/>
        <w:numPr>
          <w:ilvl w:val="0"/>
          <w:numId w:val="10"/>
        </w:numPr>
        <w:jc w:val="both"/>
        <w:rPr>
          <w:lang w:eastAsia="cs-CZ"/>
        </w:rPr>
      </w:pPr>
      <w:r w:rsidRPr="00FF7558">
        <w:rPr>
          <w:lang w:eastAsia="cs-CZ"/>
        </w:rPr>
        <w:t>Příloha č. 4 – Specifikace Systému</w:t>
      </w:r>
    </w:p>
    <w:p w14:paraId="0E29ED4C" w14:textId="77777777" w:rsidR="006F6B29" w:rsidRPr="00FF7558" w:rsidRDefault="006F6B29" w:rsidP="00F120C7">
      <w:pPr>
        <w:pStyle w:val="Odstavecseseznamem"/>
        <w:numPr>
          <w:ilvl w:val="0"/>
          <w:numId w:val="10"/>
        </w:numPr>
        <w:jc w:val="both"/>
        <w:rPr>
          <w:lang w:eastAsia="cs-CZ"/>
        </w:rPr>
      </w:pPr>
      <w:r w:rsidRPr="00FF7558">
        <w:rPr>
          <w:lang w:eastAsia="cs-CZ"/>
        </w:rPr>
        <w:t>Příloha č. 5 – Specifikace ceny licence</w:t>
      </w:r>
    </w:p>
    <w:p w14:paraId="3A2CB3E3" w14:textId="77777777" w:rsidR="00FD7D5E" w:rsidRPr="00FF7558" w:rsidRDefault="006F6B29" w:rsidP="00FD7D5E">
      <w:pPr>
        <w:jc w:val="both"/>
        <w:rPr>
          <w:lang w:eastAsia="cs-CZ"/>
        </w:rPr>
      </w:pPr>
      <w:r w:rsidRPr="00FF7558">
        <w:rPr>
          <w:lang w:eastAsia="cs-CZ"/>
        </w:rPr>
        <w:t>Smluvní strany prohlašují, že tato Smlouva včetně jejích příloh je projevem jejich pravé a svobodné vůle a na důkaz dohody o všech článcích této Smlouvy a jejích příloh připojují své podpisy.</w:t>
      </w:r>
    </w:p>
    <w:p w14:paraId="681A0065" w14:textId="14402A21" w:rsidR="00196D1D" w:rsidRPr="00FF7558" w:rsidRDefault="00882699" w:rsidP="007C7294">
      <w:pPr>
        <w:jc w:val="both"/>
        <w:rPr>
          <w:lang w:eastAsia="cs-CZ"/>
        </w:rPr>
      </w:pPr>
      <w:r w:rsidRPr="00FF7558">
        <w:br/>
      </w:r>
    </w:p>
    <w:tbl>
      <w:tblPr>
        <w:tblW w:w="0" w:type="auto"/>
        <w:tblInd w:w="113" w:type="dxa"/>
        <w:tblBorders>
          <w:bottom w:val="single" w:sz="2" w:space="0" w:color="003E7E"/>
          <w:insideH w:val="single" w:sz="2" w:space="0" w:color="003E7E"/>
        </w:tblBorders>
        <w:tblLook w:val="04A0" w:firstRow="1" w:lastRow="0" w:firstColumn="1" w:lastColumn="0" w:noHBand="0" w:noVBand="1"/>
      </w:tblPr>
      <w:tblGrid>
        <w:gridCol w:w="3681"/>
        <w:gridCol w:w="850"/>
        <w:gridCol w:w="3792"/>
      </w:tblGrid>
      <w:tr w:rsidR="00783F56" w:rsidRPr="00FF7558" w14:paraId="5465C370" w14:textId="77777777" w:rsidTr="00F32008">
        <w:tc>
          <w:tcPr>
            <w:tcW w:w="3681" w:type="dxa"/>
            <w:tcBorders>
              <w:top w:val="nil"/>
              <w:left w:val="nil"/>
              <w:bottom w:val="nil"/>
              <w:right w:val="nil"/>
              <w:tl2br w:val="nil"/>
              <w:tr2bl w:val="nil"/>
            </w:tcBorders>
            <w:shd w:val="clear" w:color="auto" w:fill="FFFFFF"/>
          </w:tcPr>
          <w:p w14:paraId="488E11A9" w14:textId="4C37BE3A" w:rsidR="00783F56" w:rsidRPr="00FF7558" w:rsidRDefault="00783F56" w:rsidP="00F32008">
            <w:pPr>
              <w:spacing w:before="0" w:after="0"/>
              <w:ind w:left="-113"/>
            </w:pPr>
            <w:r w:rsidRPr="00FF7558">
              <w:t xml:space="preserve">V Praze, dne </w:t>
            </w:r>
          </w:p>
        </w:tc>
        <w:tc>
          <w:tcPr>
            <w:tcW w:w="850" w:type="dxa"/>
            <w:tcBorders>
              <w:top w:val="nil"/>
              <w:left w:val="nil"/>
              <w:bottom w:val="nil"/>
              <w:right w:val="nil"/>
              <w:tl2br w:val="nil"/>
              <w:tr2bl w:val="nil"/>
            </w:tcBorders>
            <w:shd w:val="clear" w:color="auto" w:fill="FFFFFF"/>
          </w:tcPr>
          <w:p w14:paraId="0D485A9D" w14:textId="77777777" w:rsidR="00783F56" w:rsidRPr="00FF7558" w:rsidRDefault="00783F56" w:rsidP="00F32008">
            <w:pPr>
              <w:spacing w:before="0" w:after="0"/>
              <w:ind w:left="-113"/>
            </w:pPr>
          </w:p>
        </w:tc>
        <w:tc>
          <w:tcPr>
            <w:tcW w:w="3792" w:type="dxa"/>
            <w:tcBorders>
              <w:top w:val="nil"/>
              <w:left w:val="nil"/>
              <w:bottom w:val="nil"/>
              <w:right w:val="nil"/>
              <w:tl2br w:val="nil"/>
              <w:tr2bl w:val="nil"/>
            </w:tcBorders>
            <w:shd w:val="clear" w:color="auto" w:fill="FFFFFF"/>
          </w:tcPr>
          <w:p w14:paraId="2BC8E0D3" w14:textId="6AF6D17B" w:rsidR="00783F56" w:rsidRPr="00FF7558" w:rsidRDefault="00783F56" w:rsidP="00F32008">
            <w:pPr>
              <w:spacing w:before="0" w:after="0"/>
              <w:ind w:left="-113"/>
            </w:pPr>
            <w:r w:rsidRPr="00FF7558">
              <w:t xml:space="preserve">V </w:t>
            </w:r>
            <w:r w:rsidR="0073286E">
              <w:t>Os</w:t>
            </w:r>
            <w:r w:rsidR="00F243AF">
              <w:t>t</w:t>
            </w:r>
            <w:r w:rsidR="0073286E">
              <w:t>ravě</w:t>
            </w:r>
            <w:r w:rsidRPr="00FF7558">
              <w:t>, dne</w:t>
            </w:r>
          </w:p>
        </w:tc>
      </w:tr>
      <w:tr w:rsidR="00783F56" w:rsidRPr="00FF7558" w14:paraId="3CE5025A" w14:textId="77777777" w:rsidTr="00F32008">
        <w:trPr>
          <w:trHeight w:val="877"/>
        </w:trPr>
        <w:tc>
          <w:tcPr>
            <w:tcW w:w="3681" w:type="dxa"/>
            <w:tcBorders>
              <w:top w:val="nil"/>
              <w:bottom w:val="single" w:sz="2" w:space="0" w:color="003E7E"/>
            </w:tcBorders>
            <w:shd w:val="clear" w:color="auto" w:fill="auto"/>
          </w:tcPr>
          <w:p w14:paraId="5F076FC9" w14:textId="77777777" w:rsidR="00783F56" w:rsidRPr="00FF7558" w:rsidRDefault="00783F56" w:rsidP="00F32008">
            <w:pPr>
              <w:spacing w:before="0" w:after="0"/>
            </w:pPr>
          </w:p>
          <w:p w14:paraId="3B585287" w14:textId="77777777" w:rsidR="00783F56" w:rsidRPr="00FF7558" w:rsidRDefault="00783F56" w:rsidP="00F32008">
            <w:pPr>
              <w:spacing w:before="0" w:after="0"/>
            </w:pPr>
          </w:p>
          <w:p w14:paraId="4662DD15" w14:textId="77777777" w:rsidR="00783F56" w:rsidRPr="00FF7558" w:rsidRDefault="00783F56" w:rsidP="00F32008">
            <w:pPr>
              <w:spacing w:before="0" w:after="0"/>
            </w:pPr>
          </w:p>
          <w:p w14:paraId="59C858E0" w14:textId="77777777" w:rsidR="00783F56" w:rsidRPr="00FF7558" w:rsidRDefault="00783F56" w:rsidP="00F32008">
            <w:pPr>
              <w:spacing w:before="0" w:after="0"/>
            </w:pPr>
          </w:p>
        </w:tc>
        <w:tc>
          <w:tcPr>
            <w:tcW w:w="850" w:type="dxa"/>
            <w:tcBorders>
              <w:top w:val="nil"/>
              <w:bottom w:val="nil"/>
            </w:tcBorders>
            <w:shd w:val="clear" w:color="auto" w:fill="auto"/>
          </w:tcPr>
          <w:p w14:paraId="760678F1" w14:textId="77777777" w:rsidR="00783F56" w:rsidRPr="00FF7558" w:rsidRDefault="00783F56" w:rsidP="00F32008">
            <w:pPr>
              <w:spacing w:before="0" w:after="0"/>
              <w:ind w:left="-113"/>
            </w:pPr>
          </w:p>
        </w:tc>
        <w:tc>
          <w:tcPr>
            <w:tcW w:w="3792" w:type="dxa"/>
            <w:tcBorders>
              <w:top w:val="nil"/>
              <w:bottom w:val="single" w:sz="2" w:space="0" w:color="003E7E"/>
            </w:tcBorders>
            <w:shd w:val="clear" w:color="auto" w:fill="auto"/>
          </w:tcPr>
          <w:p w14:paraId="715AA125" w14:textId="77777777" w:rsidR="00783F56" w:rsidRPr="00FF7558" w:rsidRDefault="00783F56" w:rsidP="00F32008">
            <w:pPr>
              <w:spacing w:before="0" w:after="0"/>
            </w:pPr>
          </w:p>
        </w:tc>
      </w:tr>
      <w:tr w:rsidR="00783F56" w:rsidRPr="00FF7558" w14:paraId="2FB726E3" w14:textId="77777777" w:rsidTr="00F32008">
        <w:tc>
          <w:tcPr>
            <w:tcW w:w="3681" w:type="dxa"/>
            <w:tcBorders>
              <w:top w:val="single" w:sz="2" w:space="0" w:color="003E7E"/>
              <w:bottom w:val="nil"/>
            </w:tcBorders>
            <w:shd w:val="clear" w:color="auto" w:fill="auto"/>
          </w:tcPr>
          <w:p w14:paraId="3897FE8D" w14:textId="77777777" w:rsidR="00783F56" w:rsidRPr="00FF7558" w:rsidRDefault="00783F56" w:rsidP="00F32008">
            <w:pPr>
              <w:spacing w:before="0" w:after="0"/>
            </w:pPr>
            <w:r w:rsidRPr="00FF7558">
              <w:t>TRASK SOLUTIONS a.s.</w:t>
            </w:r>
          </w:p>
          <w:p w14:paraId="3A0D487B" w14:textId="49A0025F" w:rsidR="00783F56" w:rsidRPr="00FF7558" w:rsidRDefault="007208F4" w:rsidP="00F32008">
            <w:pPr>
              <w:spacing w:before="0" w:after="0"/>
            </w:pPr>
            <w:proofErr w:type="spellStart"/>
            <w:r>
              <w:rPr>
                <w:highlight w:val="black"/>
                <w:lang w:eastAsia="cs-CZ"/>
              </w:rPr>
              <w:t>xxxxxxxxxxx</w:t>
            </w:r>
            <w:proofErr w:type="spellEnd"/>
          </w:p>
          <w:p w14:paraId="2AA267AF" w14:textId="62610AA1" w:rsidR="00783F56" w:rsidRPr="00FF7558" w:rsidRDefault="007208F4" w:rsidP="00F32008">
            <w:pPr>
              <w:spacing w:before="0" w:after="0"/>
            </w:pPr>
            <w:proofErr w:type="spellStart"/>
            <w:r>
              <w:rPr>
                <w:highlight w:val="black"/>
                <w:lang w:eastAsia="cs-CZ"/>
              </w:rPr>
              <w:t>xxxxxxxxxxx</w:t>
            </w:r>
            <w:proofErr w:type="spellEnd"/>
          </w:p>
          <w:p w14:paraId="3370659D" w14:textId="77777777" w:rsidR="00783F56" w:rsidRPr="00FF7558" w:rsidRDefault="00783F56" w:rsidP="00F32008">
            <w:pPr>
              <w:spacing w:before="0"/>
              <w:jc w:val="both"/>
            </w:pPr>
          </w:p>
        </w:tc>
        <w:tc>
          <w:tcPr>
            <w:tcW w:w="850" w:type="dxa"/>
            <w:tcBorders>
              <w:top w:val="nil"/>
              <w:bottom w:val="nil"/>
            </w:tcBorders>
            <w:shd w:val="clear" w:color="auto" w:fill="auto"/>
          </w:tcPr>
          <w:p w14:paraId="79F704FC" w14:textId="77777777" w:rsidR="00783F56" w:rsidRPr="00FF7558" w:rsidRDefault="00783F56" w:rsidP="00F32008">
            <w:pPr>
              <w:spacing w:before="0" w:after="0"/>
              <w:ind w:left="-113"/>
            </w:pPr>
          </w:p>
        </w:tc>
        <w:tc>
          <w:tcPr>
            <w:tcW w:w="3792" w:type="dxa"/>
            <w:tcBorders>
              <w:top w:val="single" w:sz="2" w:space="0" w:color="003E7E"/>
              <w:bottom w:val="nil"/>
            </w:tcBorders>
            <w:shd w:val="clear" w:color="auto" w:fill="auto"/>
          </w:tcPr>
          <w:p w14:paraId="1487264B" w14:textId="5B7E221D" w:rsidR="00783F56" w:rsidRPr="00FF7558" w:rsidRDefault="0073286E" w:rsidP="00F32008">
            <w:pPr>
              <w:spacing w:before="0" w:after="0"/>
            </w:pPr>
            <w:r>
              <w:t>RBP, zdravotní pojišťovna</w:t>
            </w:r>
          </w:p>
          <w:p w14:paraId="1FD4D0B5" w14:textId="10EF90E0" w:rsidR="00783F56" w:rsidRPr="00FF7558" w:rsidRDefault="0073286E" w:rsidP="00F32008">
            <w:pPr>
              <w:spacing w:before="0" w:after="0"/>
            </w:pPr>
            <w:r>
              <w:t>Ing. Antonín Klimša, MBA</w:t>
            </w:r>
          </w:p>
          <w:p w14:paraId="425771D7" w14:textId="519588C9" w:rsidR="00783F56" w:rsidRPr="00FF7558" w:rsidRDefault="0073286E" w:rsidP="00F32008">
            <w:pPr>
              <w:spacing w:before="0" w:after="0"/>
            </w:pPr>
            <w:r>
              <w:t>výkonný ředitel</w:t>
            </w:r>
          </w:p>
        </w:tc>
      </w:tr>
      <w:tr w:rsidR="007C7294" w:rsidRPr="00FF7558" w14:paraId="4FE1F891" w14:textId="77777777" w:rsidTr="00337D77">
        <w:trPr>
          <w:gridAfter w:val="2"/>
          <w:wAfter w:w="4642" w:type="dxa"/>
          <w:trHeight w:val="877"/>
        </w:trPr>
        <w:tc>
          <w:tcPr>
            <w:tcW w:w="3681" w:type="dxa"/>
            <w:tcBorders>
              <w:top w:val="nil"/>
              <w:bottom w:val="single" w:sz="2" w:space="0" w:color="003E7E"/>
            </w:tcBorders>
            <w:shd w:val="clear" w:color="auto" w:fill="auto"/>
          </w:tcPr>
          <w:p w14:paraId="16F6EBD8" w14:textId="77777777" w:rsidR="007C7294" w:rsidRPr="00FF7558" w:rsidRDefault="007C7294" w:rsidP="00337D77">
            <w:pPr>
              <w:spacing w:before="0" w:after="0"/>
            </w:pPr>
          </w:p>
          <w:p w14:paraId="19C28DF2" w14:textId="77777777" w:rsidR="007C7294" w:rsidRPr="00FF7558" w:rsidRDefault="007C7294" w:rsidP="00337D77">
            <w:pPr>
              <w:spacing w:before="0" w:after="0"/>
            </w:pPr>
          </w:p>
          <w:p w14:paraId="57CC3389" w14:textId="77777777" w:rsidR="007C7294" w:rsidRPr="00FF7558" w:rsidRDefault="007C7294" w:rsidP="00337D77">
            <w:pPr>
              <w:spacing w:before="0" w:after="0"/>
            </w:pPr>
          </w:p>
        </w:tc>
      </w:tr>
      <w:tr w:rsidR="007C7294" w:rsidRPr="00FF7558" w14:paraId="2B708880" w14:textId="77777777" w:rsidTr="00337D77">
        <w:trPr>
          <w:gridAfter w:val="2"/>
          <w:wAfter w:w="4642" w:type="dxa"/>
        </w:trPr>
        <w:tc>
          <w:tcPr>
            <w:tcW w:w="3681" w:type="dxa"/>
            <w:tcBorders>
              <w:top w:val="single" w:sz="2" w:space="0" w:color="003E7E"/>
              <w:bottom w:val="nil"/>
            </w:tcBorders>
            <w:shd w:val="clear" w:color="auto" w:fill="auto"/>
          </w:tcPr>
          <w:p w14:paraId="63DCCFD7" w14:textId="73750EC1" w:rsidR="007C7294" w:rsidRPr="00FF7558" w:rsidRDefault="007208F4" w:rsidP="00337D77">
            <w:pPr>
              <w:spacing w:before="0"/>
              <w:jc w:val="both"/>
            </w:pPr>
            <w:proofErr w:type="spellStart"/>
            <w:r>
              <w:rPr>
                <w:highlight w:val="black"/>
                <w:lang w:eastAsia="cs-CZ"/>
              </w:rPr>
              <w:t>xxxxxxxxxxx</w:t>
            </w:r>
            <w:proofErr w:type="spellEnd"/>
          </w:p>
          <w:p w14:paraId="41AD2BA7" w14:textId="16333A54" w:rsidR="007C7294" w:rsidRPr="00FF7558" w:rsidRDefault="007208F4" w:rsidP="00337D77">
            <w:pPr>
              <w:spacing w:before="0"/>
              <w:jc w:val="both"/>
            </w:pPr>
            <w:proofErr w:type="spellStart"/>
            <w:r>
              <w:rPr>
                <w:highlight w:val="black"/>
                <w:lang w:eastAsia="cs-CZ"/>
              </w:rPr>
              <w:t>xxxxxxxxxxx</w:t>
            </w:r>
            <w:proofErr w:type="spellEnd"/>
            <w:r w:rsidR="007C7294" w:rsidRPr="00FF7558">
              <w:t xml:space="preserve"> </w:t>
            </w:r>
          </w:p>
        </w:tc>
      </w:tr>
      <w:tr w:rsidR="007C7294" w:rsidRPr="00FF7558" w14:paraId="74B0006F" w14:textId="77777777" w:rsidTr="00337D77">
        <w:trPr>
          <w:gridAfter w:val="2"/>
          <w:wAfter w:w="4642" w:type="dxa"/>
          <w:trHeight w:val="877"/>
        </w:trPr>
        <w:tc>
          <w:tcPr>
            <w:tcW w:w="3681" w:type="dxa"/>
            <w:tcBorders>
              <w:top w:val="nil"/>
              <w:bottom w:val="single" w:sz="2" w:space="0" w:color="003E7E"/>
            </w:tcBorders>
            <w:shd w:val="clear" w:color="auto" w:fill="auto"/>
          </w:tcPr>
          <w:p w14:paraId="3600F5CC" w14:textId="77777777" w:rsidR="007C7294" w:rsidRPr="00FF7558" w:rsidRDefault="007C7294" w:rsidP="00337D77">
            <w:pPr>
              <w:spacing w:before="0" w:after="0"/>
            </w:pPr>
          </w:p>
          <w:p w14:paraId="5DE259C4" w14:textId="77777777" w:rsidR="007C7294" w:rsidRPr="00FF7558" w:rsidRDefault="007C7294" w:rsidP="00337D77">
            <w:pPr>
              <w:spacing w:before="0" w:after="0"/>
            </w:pPr>
          </w:p>
          <w:p w14:paraId="4F9A990E" w14:textId="77777777" w:rsidR="007C7294" w:rsidRPr="00FF7558" w:rsidRDefault="007C7294" w:rsidP="00337D77">
            <w:pPr>
              <w:spacing w:before="0" w:after="0"/>
            </w:pPr>
          </w:p>
          <w:p w14:paraId="78EE9AA7" w14:textId="77777777" w:rsidR="007C7294" w:rsidRPr="00FF7558" w:rsidRDefault="007C7294" w:rsidP="00337D77">
            <w:pPr>
              <w:spacing w:before="0" w:after="0"/>
            </w:pPr>
          </w:p>
        </w:tc>
      </w:tr>
      <w:tr w:rsidR="007C7294" w:rsidRPr="00FF7558" w14:paraId="78F6D44D" w14:textId="77777777" w:rsidTr="00337D77">
        <w:trPr>
          <w:gridAfter w:val="2"/>
          <w:wAfter w:w="4642" w:type="dxa"/>
        </w:trPr>
        <w:tc>
          <w:tcPr>
            <w:tcW w:w="3681" w:type="dxa"/>
            <w:tcBorders>
              <w:top w:val="single" w:sz="2" w:space="0" w:color="003E7E"/>
              <w:bottom w:val="nil"/>
            </w:tcBorders>
            <w:shd w:val="clear" w:color="auto" w:fill="auto"/>
          </w:tcPr>
          <w:p w14:paraId="477951B3" w14:textId="44BC4893" w:rsidR="007C7294" w:rsidRPr="00FF7558" w:rsidRDefault="007208F4" w:rsidP="00337D77">
            <w:pPr>
              <w:spacing w:before="0"/>
              <w:jc w:val="both"/>
            </w:pPr>
            <w:proofErr w:type="spellStart"/>
            <w:r>
              <w:rPr>
                <w:highlight w:val="black"/>
                <w:lang w:eastAsia="cs-CZ"/>
              </w:rPr>
              <w:t>xxxxxxxxxxx</w:t>
            </w:r>
            <w:proofErr w:type="spellEnd"/>
            <w:r w:rsidR="007C7294" w:rsidRPr="00FF7558">
              <w:t xml:space="preserve">, </w:t>
            </w:r>
          </w:p>
          <w:p w14:paraId="69E45DFE" w14:textId="3C0A9C02" w:rsidR="007C7294" w:rsidRPr="00FF7558" w:rsidRDefault="007208F4" w:rsidP="00337D77">
            <w:pPr>
              <w:spacing w:before="0"/>
              <w:jc w:val="both"/>
            </w:pPr>
            <w:proofErr w:type="spellStart"/>
            <w:r>
              <w:rPr>
                <w:highlight w:val="black"/>
                <w:lang w:eastAsia="cs-CZ"/>
              </w:rPr>
              <w:t>xxxxxxxxxxx</w:t>
            </w:r>
            <w:r w:rsidR="007C7294" w:rsidRPr="00FF7558">
              <w:t>r</w:t>
            </w:r>
            <w:proofErr w:type="spellEnd"/>
          </w:p>
        </w:tc>
      </w:tr>
    </w:tbl>
    <w:p w14:paraId="5800E93F" w14:textId="108476DD" w:rsidR="00FE6BCB" w:rsidRPr="00FF7558" w:rsidRDefault="00FE6BCB" w:rsidP="00882699">
      <w:pPr>
        <w:ind w:left="360"/>
        <w:rPr>
          <w:lang w:eastAsia="cs-CZ"/>
        </w:rPr>
      </w:pPr>
    </w:p>
    <w:p w14:paraId="44D0C2CB" w14:textId="77777777" w:rsidR="00FE6BCB" w:rsidRPr="00FF7558" w:rsidRDefault="00FE6BCB">
      <w:pPr>
        <w:spacing w:before="0" w:after="160" w:line="259" w:lineRule="auto"/>
        <w:rPr>
          <w:lang w:eastAsia="cs-CZ"/>
        </w:rPr>
      </w:pPr>
      <w:r w:rsidRPr="00FF7558">
        <w:rPr>
          <w:lang w:eastAsia="cs-CZ"/>
        </w:rPr>
        <w:br w:type="page"/>
      </w:r>
    </w:p>
    <w:p w14:paraId="04ECE9AE" w14:textId="77777777" w:rsidR="00FE6BCB" w:rsidRPr="00FF7558" w:rsidRDefault="00FE6BCB" w:rsidP="00FE6BCB">
      <w:pPr>
        <w:pStyle w:val="Nzev"/>
      </w:pPr>
      <w:r w:rsidRPr="00FF7558">
        <w:lastRenderedPageBreak/>
        <w:t xml:space="preserve">Příloha č. 1 Parametry poskytovaných servisních   </w:t>
      </w:r>
    </w:p>
    <w:p w14:paraId="0FCD6BFD" w14:textId="77777777" w:rsidR="00FE6BCB" w:rsidRPr="00FF7558" w:rsidRDefault="00FE6BCB" w:rsidP="00FE6BCB">
      <w:pPr>
        <w:pStyle w:val="Nzev"/>
      </w:pPr>
      <w:r w:rsidRPr="00FF7558">
        <w:t>a konzultačních služeb, licence</w:t>
      </w:r>
    </w:p>
    <w:p w14:paraId="56B49017" w14:textId="1D18E230" w:rsidR="00FE6BCB" w:rsidRPr="00FF7558" w:rsidRDefault="00FE6BCB" w:rsidP="00EB6E11">
      <w:pPr>
        <w:pStyle w:val="Nadpis1"/>
        <w:numPr>
          <w:ilvl w:val="0"/>
          <w:numId w:val="19"/>
        </w:numPr>
        <w:jc w:val="both"/>
      </w:pPr>
      <w:r w:rsidRPr="00FF7558">
        <w:t>Vysvětlení pojmů</w:t>
      </w:r>
    </w:p>
    <w:p w14:paraId="309316DA" w14:textId="50740FFF" w:rsidR="00FE6BCB" w:rsidRPr="00FF7558" w:rsidRDefault="00FE6BCB" w:rsidP="00F120C7">
      <w:pPr>
        <w:pStyle w:val="Odstavecseseznamem"/>
        <w:numPr>
          <w:ilvl w:val="0"/>
          <w:numId w:val="11"/>
        </w:numPr>
        <w:jc w:val="both"/>
        <w:rPr>
          <w:lang w:eastAsia="cs-CZ"/>
        </w:rPr>
      </w:pPr>
      <w:r w:rsidRPr="00FF7558">
        <w:rPr>
          <w:b/>
          <w:lang w:eastAsia="cs-CZ"/>
        </w:rPr>
        <w:t>Služby:</w:t>
      </w:r>
      <w:r w:rsidRPr="00FF7558">
        <w:rPr>
          <w:lang w:eastAsia="cs-CZ"/>
        </w:rPr>
        <w:t xml:space="preserve"> jsou servisní práce, údržba, podpora prováděné Poskytovatelem za účelem řádného fungování Systému Zákazníka, dále konzultace, poradenství a další činnosti zajišťované Poskytovatelem za účelem návrhu, vývoje a zlepšení provozování Systému blíže specifikované v této Smlouvě.</w:t>
      </w:r>
    </w:p>
    <w:p w14:paraId="5CD6F291" w14:textId="5BA7984A" w:rsidR="00FE6BCB" w:rsidRPr="00FF7558" w:rsidRDefault="00FE6BCB" w:rsidP="00F120C7">
      <w:pPr>
        <w:pStyle w:val="Odstavecseseznamem"/>
        <w:numPr>
          <w:ilvl w:val="0"/>
          <w:numId w:val="11"/>
        </w:numPr>
        <w:jc w:val="both"/>
        <w:rPr>
          <w:lang w:eastAsia="cs-CZ"/>
        </w:rPr>
      </w:pPr>
      <w:r w:rsidRPr="00FF7558">
        <w:rPr>
          <w:b/>
          <w:lang w:eastAsia="cs-CZ"/>
        </w:rPr>
        <w:t>Standardní software</w:t>
      </w:r>
      <w:r w:rsidRPr="00FF7558">
        <w:rPr>
          <w:lang w:eastAsia="cs-CZ"/>
        </w:rPr>
        <w:t xml:space="preserve"> dále též </w:t>
      </w:r>
      <w:r w:rsidRPr="00FF7558">
        <w:rPr>
          <w:b/>
          <w:lang w:eastAsia="cs-CZ"/>
        </w:rPr>
        <w:t>Standardní software</w:t>
      </w:r>
      <w:r w:rsidRPr="00FF7558">
        <w:rPr>
          <w:lang w:eastAsia="cs-CZ"/>
        </w:rPr>
        <w:t xml:space="preserve"> třetích stran: znamená standardní softwarový produkt, který není speciálně vytvořený třetí stranou pro Zákazníka. Standardní software obsahuje soubor instrukcí tvořících program nebo postup nebo jiné informace včetně databází. Standardní software je dodáván pouze v běžném (strojovém) kódu a řídí se příslušným licenčním ujednáním.</w:t>
      </w:r>
    </w:p>
    <w:p w14:paraId="3E440689" w14:textId="0613FB62" w:rsidR="00FE6BCB" w:rsidRPr="00FF7558" w:rsidRDefault="00FE6BCB" w:rsidP="00F120C7">
      <w:pPr>
        <w:pStyle w:val="Odstavecseseznamem"/>
        <w:numPr>
          <w:ilvl w:val="0"/>
          <w:numId w:val="11"/>
        </w:numPr>
        <w:jc w:val="both"/>
        <w:rPr>
          <w:lang w:eastAsia="cs-CZ"/>
        </w:rPr>
      </w:pPr>
      <w:r w:rsidRPr="00FF7558">
        <w:rPr>
          <w:b/>
          <w:lang w:eastAsia="cs-CZ"/>
        </w:rPr>
        <w:t>Systém:</w:t>
      </w:r>
      <w:r w:rsidRPr="00FF7558">
        <w:rPr>
          <w:lang w:eastAsia="cs-CZ"/>
        </w:rPr>
        <w:t xml:space="preserve"> je soustava Standardního software, pro který jsou poskytovány Služby podle této Smlouvy.</w:t>
      </w:r>
    </w:p>
    <w:p w14:paraId="015B9B85" w14:textId="5615A413" w:rsidR="00FE6BCB" w:rsidRPr="00FF7558" w:rsidRDefault="00FE6BCB" w:rsidP="00F120C7">
      <w:pPr>
        <w:pStyle w:val="Odstavecseseznamem"/>
        <w:numPr>
          <w:ilvl w:val="0"/>
          <w:numId w:val="11"/>
        </w:numPr>
        <w:jc w:val="both"/>
        <w:rPr>
          <w:lang w:eastAsia="cs-CZ"/>
        </w:rPr>
      </w:pPr>
      <w:r w:rsidRPr="00FF7558">
        <w:rPr>
          <w:b/>
          <w:lang w:eastAsia="cs-CZ"/>
        </w:rPr>
        <w:t>Dokumentace:</w:t>
      </w:r>
      <w:r w:rsidRPr="00FF7558">
        <w:rPr>
          <w:lang w:eastAsia="cs-CZ"/>
        </w:rPr>
        <w:t xml:space="preserve"> dokumentace Systému, tj. uživatelská pro všechny okruhy uživatelů, provozně-technická včetně instalačních postupů pro všechny okruhy provozovatelů, programátorská, zdrojové texty Softwarových aplikací dodaných Poskytovatelem, referenční postupy pro parametrizaci Softwarových aplikací a Standardního software a nastavení statických dat a jejich aktualizace vše dodaných na základě smlouvy o dílo.</w:t>
      </w:r>
    </w:p>
    <w:p w14:paraId="2444B90F" w14:textId="49ABEE58" w:rsidR="00FE6BCB" w:rsidRPr="00FF7558" w:rsidRDefault="00FE6BCB" w:rsidP="00F120C7">
      <w:pPr>
        <w:pStyle w:val="Odstavecseseznamem"/>
        <w:numPr>
          <w:ilvl w:val="0"/>
          <w:numId w:val="11"/>
        </w:numPr>
        <w:jc w:val="both"/>
        <w:rPr>
          <w:lang w:eastAsia="cs-CZ"/>
        </w:rPr>
      </w:pPr>
      <w:r w:rsidRPr="00FF7558">
        <w:rPr>
          <w:b/>
          <w:lang w:eastAsia="cs-CZ"/>
        </w:rPr>
        <w:t>Vada Standardního software:</w:t>
      </w:r>
      <w:r w:rsidRPr="00FF7558">
        <w:rPr>
          <w:lang w:eastAsia="cs-CZ"/>
        </w:rPr>
        <w:t xml:space="preserve"> je rozpor mezi skutečnými vlastnostmi a výstupy při provozování Standardního software s vlastnostmi a výstupy, které jsou stanoveny v příslušné Dokumentaci Standardního software. Předpokládá se přitom, že Standardní software je využíván pro účely a v prostředí, o kterých lze na základě Dokumentace bezvýhradně a oprávněně předpokládat, že v něm bude konkrétní funkčnost plnohodnotně dostupná (např. je funkčnost v daném prostředí deklarována v Dokumentaci).</w:t>
      </w:r>
    </w:p>
    <w:p w14:paraId="6A939176" w14:textId="4A7AD139" w:rsidR="00FE6BCB" w:rsidRPr="00FF7558" w:rsidRDefault="00FE6BCB" w:rsidP="00F120C7">
      <w:pPr>
        <w:pStyle w:val="Odstavecseseznamem"/>
        <w:numPr>
          <w:ilvl w:val="0"/>
          <w:numId w:val="11"/>
        </w:numPr>
        <w:jc w:val="both"/>
        <w:rPr>
          <w:lang w:eastAsia="cs-CZ"/>
        </w:rPr>
      </w:pPr>
      <w:r w:rsidRPr="00FF7558">
        <w:rPr>
          <w:b/>
          <w:lang w:eastAsia="cs-CZ"/>
        </w:rPr>
        <w:t>Incident:</w:t>
      </w:r>
      <w:r w:rsidRPr="00FF7558">
        <w:rPr>
          <w:lang w:eastAsia="cs-CZ"/>
        </w:rPr>
        <w:t xml:space="preserve"> událost, která není součástí standardních operací služby (Systému) a která způsobuje nebo může způsobit přerušení nebo snížení poskytovaných funkcionalit služby (Systému).</w:t>
      </w:r>
    </w:p>
    <w:p w14:paraId="518EF66B" w14:textId="17AECFD3" w:rsidR="00FE6BCB" w:rsidRPr="00FF7558" w:rsidRDefault="00FE6BCB" w:rsidP="00F120C7">
      <w:pPr>
        <w:pStyle w:val="Odstavecseseznamem"/>
        <w:numPr>
          <w:ilvl w:val="0"/>
          <w:numId w:val="11"/>
        </w:numPr>
        <w:jc w:val="both"/>
        <w:rPr>
          <w:lang w:eastAsia="cs-CZ"/>
        </w:rPr>
      </w:pPr>
      <w:r w:rsidRPr="00FF7558">
        <w:rPr>
          <w:b/>
          <w:lang w:eastAsia="cs-CZ"/>
        </w:rPr>
        <w:t>Problém:</w:t>
      </w:r>
      <w:r w:rsidRPr="00FF7558">
        <w:rPr>
          <w:lang w:eastAsia="cs-CZ"/>
        </w:rPr>
        <w:t xml:space="preserve"> příčina jednoho nebo více Incidentů. Kořenová příčina zpravidla není známa v době vzniku (zaznamenání) problému. Problém rovněž může nabývat formu známé chyby se známým alternativním řešením souvisejících incidentů.</w:t>
      </w:r>
    </w:p>
    <w:p w14:paraId="5DE40E38" w14:textId="6B6A29DE" w:rsidR="00FE6BCB" w:rsidRPr="00FF7558" w:rsidRDefault="00FE6BCB" w:rsidP="00F120C7">
      <w:pPr>
        <w:pStyle w:val="Odstavecseseznamem"/>
        <w:numPr>
          <w:ilvl w:val="0"/>
          <w:numId w:val="11"/>
        </w:numPr>
        <w:jc w:val="both"/>
        <w:rPr>
          <w:lang w:eastAsia="cs-CZ"/>
        </w:rPr>
      </w:pPr>
      <w:r w:rsidRPr="00FF7558">
        <w:rPr>
          <w:b/>
          <w:lang w:eastAsia="cs-CZ"/>
        </w:rPr>
        <w:t>Servisní požadavek:</w:t>
      </w:r>
      <w:r w:rsidRPr="00FF7558">
        <w:rPr>
          <w:lang w:eastAsia="cs-CZ"/>
        </w:rPr>
        <w:t xml:space="preserve"> požadavek na provedení servisní činnosti vyžádané Zákazníkem pro zajištění provozu Systému.</w:t>
      </w:r>
    </w:p>
    <w:p w14:paraId="110255AF" w14:textId="7C157755" w:rsidR="00FE6BCB" w:rsidRPr="00FF7558" w:rsidRDefault="00FE6BCB" w:rsidP="00F120C7">
      <w:pPr>
        <w:pStyle w:val="Odstavecseseznamem"/>
        <w:numPr>
          <w:ilvl w:val="0"/>
          <w:numId w:val="11"/>
        </w:numPr>
        <w:jc w:val="both"/>
        <w:rPr>
          <w:lang w:eastAsia="cs-CZ"/>
        </w:rPr>
      </w:pPr>
      <w:r w:rsidRPr="00FF7558">
        <w:rPr>
          <w:b/>
          <w:lang w:eastAsia="cs-CZ"/>
        </w:rPr>
        <w:t>Změnový požadavek:</w:t>
      </w:r>
      <w:r w:rsidRPr="00FF7558">
        <w:rPr>
          <w:lang w:eastAsia="cs-CZ"/>
        </w:rPr>
        <w:t xml:space="preserve"> na základě předloženého požadavku Zákazníkem návrh realizace změny, který obsahuje detaily navrhované změny, pracnost změny, termín možného dodání změny.</w:t>
      </w:r>
    </w:p>
    <w:p w14:paraId="50AF25B8" w14:textId="7C7CB4F7" w:rsidR="00FE6BCB" w:rsidRPr="00FF7558" w:rsidRDefault="00FE6BCB" w:rsidP="00F120C7">
      <w:pPr>
        <w:pStyle w:val="Odstavecseseznamem"/>
        <w:numPr>
          <w:ilvl w:val="0"/>
          <w:numId w:val="11"/>
        </w:numPr>
        <w:rPr>
          <w:b/>
          <w:lang w:eastAsia="cs-CZ"/>
        </w:rPr>
      </w:pPr>
      <w:r w:rsidRPr="00FF7558">
        <w:rPr>
          <w:b/>
          <w:lang w:eastAsia="cs-CZ"/>
        </w:rPr>
        <w:t>Definice priorit incidentu:</w:t>
      </w:r>
    </w:p>
    <w:p w14:paraId="3EAFF1D9" w14:textId="19471D93" w:rsidR="00FE6BCB" w:rsidRPr="00FF7558" w:rsidRDefault="00FE6BCB" w:rsidP="00FE6BCB">
      <w:pPr>
        <w:ind w:left="708"/>
        <w:jc w:val="both"/>
        <w:rPr>
          <w:lang w:eastAsia="cs-CZ"/>
        </w:rPr>
      </w:pPr>
      <w:r w:rsidRPr="00FF7558">
        <w:rPr>
          <w:lang w:eastAsia="cs-CZ"/>
        </w:rPr>
        <w:t>Priorita A: Kritický nekorektní stav (havárie) produkčního Systému, který Zákazníkovi znemožňuje využívat zásadní funkčnosti podporovaného Systému a Zákazníkovi vznikají narůstající finanční ztráty plynoucí z existence Incidentu.</w:t>
      </w:r>
    </w:p>
    <w:p w14:paraId="1F489DF5" w14:textId="58465184" w:rsidR="00FE6BCB" w:rsidRPr="00FF7558" w:rsidRDefault="00FE6BCB" w:rsidP="00FE6BCB">
      <w:pPr>
        <w:ind w:left="708"/>
        <w:jc w:val="both"/>
        <w:rPr>
          <w:lang w:eastAsia="cs-CZ"/>
        </w:rPr>
      </w:pPr>
      <w:r w:rsidRPr="00FF7558">
        <w:rPr>
          <w:lang w:eastAsia="cs-CZ"/>
        </w:rPr>
        <w:t>Priorita B+, B: Závažný nekorektní stav produkčního Systému, který Zákazníkovi znemožňuje využívat podstatné, nikoli však zásadní funkčnosti podporovaného Systému. Klienti Zákazníka mohou být ovlivněni situací v daném okamžiku nebo v blízké budoucnosti a na základě tohoto stavu dochází ke zhoršení reputace Zákazníka.</w:t>
      </w:r>
    </w:p>
    <w:p w14:paraId="21FCF8E0" w14:textId="1CB208E0" w:rsidR="00FE6BCB" w:rsidRPr="00FF7558" w:rsidRDefault="00FE6BCB" w:rsidP="00FE6BCB">
      <w:pPr>
        <w:ind w:left="708"/>
        <w:jc w:val="both"/>
        <w:rPr>
          <w:lang w:eastAsia="cs-CZ"/>
        </w:rPr>
      </w:pPr>
      <w:r w:rsidRPr="00FF7558">
        <w:rPr>
          <w:lang w:eastAsia="cs-CZ"/>
        </w:rPr>
        <w:lastRenderedPageBreak/>
        <w:t>Priorita C+, C: Stav produkčního Systému, který Zákazníkovi znemožňuje využívat některé funkčnosti podporovaného Systému, nikoli však zásadní a podstatné funkčnosti Systému a který nesplňuje parametry priority A ani B+, B.</w:t>
      </w:r>
    </w:p>
    <w:p w14:paraId="538BABB6" w14:textId="5EEC020E" w:rsidR="00FE6BCB" w:rsidRPr="00FF7558" w:rsidRDefault="00FE6BCB" w:rsidP="00F120C7">
      <w:pPr>
        <w:pStyle w:val="Odstavecseseznamem"/>
        <w:numPr>
          <w:ilvl w:val="0"/>
          <w:numId w:val="11"/>
        </w:numPr>
        <w:jc w:val="both"/>
        <w:rPr>
          <w:lang w:eastAsia="cs-CZ"/>
        </w:rPr>
      </w:pPr>
      <w:r w:rsidRPr="00FF7558">
        <w:rPr>
          <w:b/>
          <w:lang w:eastAsia="cs-CZ"/>
        </w:rPr>
        <w:t>Definice priority pro ostatní Služby:</w:t>
      </w:r>
      <w:r w:rsidRPr="00FF7558">
        <w:rPr>
          <w:lang w:eastAsia="cs-CZ"/>
        </w:rPr>
        <w:t xml:space="preserve"> pro Služby typu Problém, Servisní/ Změnový požadavek je použita priorita C.</w:t>
      </w:r>
    </w:p>
    <w:p w14:paraId="3A4C82DD" w14:textId="6F460B0E" w:rsidR="00FE6BCB" w:rsidRPr="00FF7558" w:rsidRDefault="00FE6BCB" w:rsidP="00F120C7">
      <w:pPr>
        <w:pStyle w:val="Odstavecseseznamem"/>
        <w:numPr>
          <w:ilvl w:val="0"/>
          <w:numId w:val="11"/>
        </w:numPr>
        <w:jc w:val="both"/>
        <w:rPr>
          <w:lang w:eastAsia="cs-CZ"/>
        </w:rPr>
      </w:pPr>
      <w:r w:rsidRPr="00FF7558">
        <w:rPr>
          <w:b/>
          <w:lang w:eastAsia="cs-CZ"/>
        </w:rPr>
        <w:t>Zpráva o stavu řešení:</w:t>
      </w:r>
      <w:r w:rsidRPr="00FF7558">
        <w:rPr>
          <w:lang w:eastAsia="cs-CZ"/>
        </w:rPr>
        <w:t xml:space="preserve"> komentář v portálu podpory obsahující informace o průběhu řešení.</w:t>
      </w:r>
    </w:p>
    <w:p w14:paraId="0A6D8C29" w14:textId="0057BDAE" w:rsidR="00FE6BCB" w:rsidRPr="00FF7558" w:rsidRDefault="00FE6BCB" w:rsidP="00F120C7">
      <w:pPr>
        <w:pStyle w:val="Odstavecseseznamem"/>
        <w:numPr>
          <w:ilvl w:val="0"/>
          <w:numId w:val="11"/>
        </w:numPr>
        <w:jc w:val="both"/>
        <w:rPr>
          <w:lang w:eastAsia="cs-CZ"/>
        </w:rPr>
      </w:pPr>
      <w:r w:rsidRPr="00FF7558">
        <w:rPr>
          <w:b/>
          <w:lang w:eastAsia="cs-CZ"/>
        </w:rPr>
        <w:t>Dostupnost:</w:t>
      </w:r>
      <w:r w:rsidRPr="00FF7558">
        <w:rPr>
          <w:lang w:eastAsia="cs-CZ"/>
        </w:rPr>
        <w:t xml:space="preserve"> dostupností se rozumí časový interval, kdy je služba poskytována Zákazníkovi. Mimo interval dostupnosti nelze aplikovat ani případné lhůty na reakci, dočasné vyřešení nebo na vyřešení, pokud se smluvní strany pro daný konkrétní případ nedohodnou jinak.</w:t>
      </w:r>
    </w:p>
    <w:p w14:paraId="27A6A529" w14:textId="7EDAEFE8" w:rsidR="00FE6BCB" w:rsidRPr="00FF7558" w:rsidRDefault="00FE6BCB" w:rsidP="00F120C7">
      <w:pPr>
        <w:pStyle w:val="Odstavecseseznamem"/>
        <w:numPr>
          <w:ilvl w:val="0"/>
          <w:numId w:val="11"/>
        </w:numPr>
        <w:jc w:val="both"/>
        <w:rPr>
          <w:lang w:eastAsia="cs-CZ"/>
        </w:rPr>
      </w:pPr>
      <w:r w:rsidRPr="00FF7558">
        <w:rPr>
          <w:b/>
          <w:lang w:eastAsia="cs-CZ"/>
        </w:rPr>
        <w:t>Čas na reakci (</w:t>
      </w:r>
      <w:proofErr w:type="spellStart"/>
      <w:r w:rsidRPr="00FF7558">
        <w:rPr>
          <w:b/>
          <w:lang w:eastAsia="cs-CZ"/>
        </w:rPr>
        <w:t>Reaction</w:t>
      </w:r>
      <w:proofErr w:type="spellEnd"/>
      <w:r w:rsidRPr="00FF7558">
        <w:rPr>
          <w:b/>
          <w:lang w:eastAsia="cs-CZ"/>
        </w:rPr>
        <w:t xml:space="preserve"> Time):</w:t>
      </w:r>
      <w:r w:rsidRPr="00FF7558">
        <w:rPr>
          <w:lang w:eastAsia="cs-CZ"/>
        </w:rPr>
        <w:t xml:space="preserve"> je definován jako interval mezi zadáním případu (incident, problém, požadavek) do Portálu podpory Zákazníkem a zahájením poskytování služby Poskytovatelem. (Poznámka: v Portálu podpory identifikováno nastavením stavu In </w:t>
      </w:r>
      <w:proofErr w:type="spellStart"/>
      <w:r w:rsidRPr="00FF7558">
        <w:rPr>
          <w:lang w:eastAsia="cs-CZ"/>
        </w:rPr>
        <w:t>Progress</w:t>
      </w:r>
      <w:proofErr w:type="spellEnd"/>
      <w:r w:rsidRPr="00FF7558">
        <w:rPr>
          <w:lang w:eastAsia="cs-CZ"/>
        </w:rPr>
        <w:t>).</w:t>
      </w:r>
    </w:p>
    <w:p w14:paraId="06ED56AA" w14:textId="22990E51" w:rsidR="00FE6BCB" w:rsidRPr="00FF7558" w:rsidRDefault="00FE6BCB" w:rsidP="00EB6E11">
      <w:pPr>
        <w:pStyle w:val="Nadpis1"/>
        <w:numPr>
          <w:ilvl w:val="0"/>
          <w:numId w:val="19"/>
        </w:numPr>
        <w:jc w:val="both"/>
      </w:pPr>
      <w:r w:rsidRPr="00FF7558">
        <w:t>Parametry poskytovaných servisních služeb</w:t>
      </w:r>
    </w:p>
    <w:p w14:paraId="73D50159" w14:textId="7A3ECCF9" w:rsidR="00FE6BCB" w:rsidRPr="00FF7558" w:rsidRDefault="00FE6BCB" w:rsidP="00FE6BCB">
      <w:r w:rsidRPr="00FF7558">
        <w:t>Parametry poskytovaných servisních služeb v rámci úrovně L3 jsou následující:</w:t>
      </w:r>
    </w:p>
    <w:p w14:paraId="4DA1A6F2" w14:textId="0971F8CA" w:rsidR="00FE6BCB" w:rsidRPr="00FF7558" w:rsidRDefault="00FF7558" w:rsidP="00FF7558">
      <w:pPr>
        <w:pStyle w:val="Nadpis2"/>
        <w:rPr>
          <w:b/>
          <w:lang w:eastAsia="cs-CZ"/>
        </w:rPr>
      </w:pPr>
      <w:r w:rsidRPr="00FF7558">
        <w:rPr>
          <w:b/>
          <w:lang w:eastAsia="cs-CZ"/>
        </w:rPr>
        <w:t>I</w:t>
      </w:r>
      <w:r w:rsidR="00FE6BCB" w:rsidRPr="00FF7558">
        <w:rPr>
          <w:b/>
          <w:lang w:eastAsia="cs-CZ"/>
        </w:rPr>
        <w:t>ncident Management v úrovni L3</w:t>
      </w:r>
    </w:p>
    <w:tbl>
      <w:tblPr>
        <w:tblStyle w:val="TRASK2"/>
        <w:tblW w:w="9071" w:type="dxa"/>
        <w:tblLook w:val="04E0" w:firstRow="1" w:lastRow="1" w:firstColumn="1" w:lastColumn="0" w:noHBand="0" w:noVBand="1"/>
      </w:tblPr>
      <w:tblGrid>
        <w:gridCol w:w="1913"/>
        <w:gridCol w:w="1684"/>
        <w:gridCol w:w="2855"/>
        <w:gridCol w:w="2619"/>
      </w:tblGrid>
      <w:tr w:rsidR="00761A69" w:rsidRPr="00FF7558" w14:paraId="77EC252D" w14:textId="6ECB7B5C" w:rsidTr="00761A69">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13" w:type="dxa"/>
            <w:tcMar>
              <w:top w:w="113" w:type="dxa"/>
            </w:tcMar>
          </w:tcPr>
          <w:p w14:paraId="6FCE494C" w14:textId="77777777" w:rsidR="00761A69" w:rsidRPr="00FF7558" w:rsidRDefault="00761A69" w:rsidP="00872E4E">
            <w:pPr>
              <w:pStyle w:val="Bezmezer"/>
              <w:rPr>
                <w:rFonts w:cs="Neue Haas Unica Pro"/>
              </w:rPr>
            </w:pPr>
            <w:r w:rsidRPr="00FF7558">
              <w:t>Incident</w:t>
            </w:r>
          </w:p>
        </w:tc>
        <w:tc>
          <w:tcPr>
            <w:tcW w:w="1684" w:type="dxa"/>
            <w:tcMar>
              <w:top w:w="113" w:type="dxa"/>
            </w:tcMar>
          </w:tcPr>
          <w:p w14:paraId="57DEDFD2" w14:textId="77777777" w:rsidR="00761A69" w:rsidRPr="00FF7558" w:rsidRDefault="00761A69" w:rsidP="00872E4E">
            <w:pPr>
              <w:pStyle w:val="Bezmezer"/>
              <w:cnfStyle w:val="100000000000" w:firstRow="1" w:lastRow="0" w:firstColumn="0" w:lastColumn="0" w:oddVBand="0" w:evenVBand="0" w:oddHBand="0" w:evenHBand="0" w:firstRowFirstColumn="0" w:firstRowLastColumn="0" w:lastRowFirstColumn="0" w:lastRowLastColumn="0"/>
              <w:rPr>
                <w:rFonts w:cs="Neue Haas Unica Pro"/>
              </w:rPr>
            </w:pPr>
            <w:r w:rsidRPr="00FF7558">
              <w:t>Dostupnost</w:t>
            </w:r>
          </w:p>
        </w:tc>
        <w:tc>
          <w:tcPr>
            <w:tcW w:w="2855" w:type="dxa"/>
            <w:tcMar>
              <w:top w:w="113" w:type="dxa"/>
            </w:tcMar>
          </w:tcPr>
          <w:p w14:paraId="1C3D54D5" w14:textId="77777777" w:rsidR="00761A69" w:rsidRPr="00FF7558" w:rsidRDefault="00761A69" w:rsidP="00872E4E">
            <w:pPr>
              <w:pStyle w:val="Bezmezer"/>
              <w:jc w:val="right"/>
              <w:cnfStyle w:val="100000000000" w:firstRow="1" w:lastRow="0" w:firstColumn="0" w:lastColumn="0" w:oddVBand="0" w:evenVBand="0" w:oddHBand="0" w:evenHBand="0" w:firstRowFirstColumn="0" w:firstRowLastColumn="0" w:lastRowFirstColumn="0" w:lastRowLastColumn="0"/>
              <w:rPr>
                <w:rFonts w:cs="Neue Haas Unica Pro"/>
              </w:rPr>
            </w:pPr>
            <w:r w:rsidRPr="00FF7558">
              <w:t>Čas na reakci</w:t>
            </w:r>
          </w:p>
        </w:tc>
        <w:tc>
          <w:tcPr>
            <w:tcW w:w="2619" w:type="dxa"/>
          </w:tcPr>
          <w:p w14:paraId="0F487901" w14:textId="6A1FEBBB" w:rsidR="00761A69" w:rsidRPr="00FF7558" w:rsidRDefault="00761A69" w:rsidP="00872E4E">
            <w:pPr>
              <w:pStyle w:val="Bezmezer"/>
              <w:jc w:val="right"/>
              <w:cnfStyle w:val="100000000000" w:firstRow="1" w:lastRow="0" w:firstColumn="0" w:lastColumn="0" w:oddVBand="0" w:evenVBand="0" w:oddHBand="0" w:evenHBand="0" w:firstRowFirstColumn="0" w:firstRowLastColumn="0" w:lastRowFirstColumn="0" w:lastRowLastColumn="0"/>
            </w:pPr>
            <w:r>
              <w:t>Čas na vyřešení</w:t>
            </w:r>
          </w:p>
        </w:tc>
      </w:tr>
      <w:tr w:rsidR="00761A69" w:rsidRPr="00FF7558" w14:paraId="16C35ED3" w14:textId="6A56C326" w:rsidTr="00761A69">
        <w:trPr>
          <w:trHeight w:val="350"/>
        </w:trPr>
        <w:tc>
          <w:tcPr>
            <w:cnfStyle w:val="001000000000" w:firstRow="0" w:lastRow="0" w:firstColumn="1" w:lastColumn="0" w:oddVBand="0" w:evenVBand="0" w:oddHBand="0" w:evenHBand="0" w:firstRowFirstColumn="0" w:firstRowLastColumn="0" w:lastRowFirstColumn="0" w:lastRowLastColumn="0"/>
            <w:tcW w:w="1913" w:type="dxa"/>
            <w:tcMar>
              <w:top w:w="113" w:type="dxa"/>
            </w:tcMar>
          </w:tcPr>
          <w:p w14:paraId="395B1939" w14:textId="77777777" w:rsidR="00761A69" w:rsidRPr="00FF7558" w:rsidRDefault="00761A69" w:rsidP="00872E4E">
            <w:pPr>
              <w:pStyle w:val="Bezmezer"/>
              <w:rPr>
                <w:rFonts w:cs="Neue Haas Unica Pro"/>
              </w:rPr>
            </w:pPr>
            <w:r w:rsidRPr="00FF7558">
              <w:t>Priorita A</w:t>
            </w:r>
          </w:p>
        </w:tc>
        <w:tc>
          <w:tcPr>
            <w:tcW w:w="1684" w:type="dxa"/>
            <w:tcMar>
              <w:top w:w="113" w:type="dxa"/>
            </w:tcMar>
          </w:tcPr>
          <w:p w14:paraId="76E36C81" w14:textId="77777777" w:rsidR="00761A69" w:rsidRPr="00FF7558" w:rsidRDefault="00761A69" w:rsidP="00872E4E">
            <w:pPr>
              <w:pStyle w:val="Bezmezer"/>
              <w:cnfStyle w:val="000000000000" w:firstRow="0" w:lastRow="0" w:firstColumn="0" w:lastColumn="0" w:oddVBand="0" w:evenVBand="0" w:oddHBand="0" w:evenHBand="0" w:firstRowFirstColumn="0" w:firstRowLastColumn="0" w:lastRowFirstColumn="0" w:lastRowLastColumn="0"/>
              <w:rPr>
                <w:rFonts w:cs="Neue Haas Unica Pro"/>
              </w:rPr>
            </w:pPr>
            <w:r w:rsidRPr="00FF7558">
              <w:rPr>
                <w:rFonts w:cs="Neue Haas Unica Pro"/>
              </w:rPr>
              <w:t>5 x 8, 9:00-17:00</w:t>
            </w:r>
          </w:p>
        </w:tc>
        <w:tc>
          <w:tcPr>
            <w:tcW w:w="2855" w:type="dxa"/>
            <w:tcMar>
              <w:top w:w="113" w:type="dxa"/>
            </w:tcMar>
          </w:tcPr>
          <w:p w14:paraId="0DC6980A" w14:textId="77777777" w:rsidR="00761A69" w:rsidRPr="00FF7558" w:rsidRDefault="00761A69" w:rsidP="00872E4E">
            <w:pPr>
              <w:pStyle w:val="Bezmezer"/>
              <w:jc w:val="right"/>
              <w:cnfStyle w:val="000000000000" w:firstRow="0" w:lastRow="0" w:firstColumn="0" w:lastColumn="0" w:oddVBand="0" w:evenVBand="0" w:oddHBand="0" w:evenHBand="0" w:firstRowFirstColumn="0" w:firstRowLastColumn="0" w:lastRowFirstColumn="0" w:lastRowLastColumn="0"/>
              <w:rPr>
                <w:rFonts w:cs="Neue Haas Unica Pro"/>
              </w:rPr>
            </w:pPr>
            <w:r w:rsidRPr="00FF7558">
              <w:rPr>
                <w:rFonts w:cs="Neue Haas Unica Pro"/>
              </w:rPr>
              <w:t>2 hodiny</w:t>
            </w:r>
          </w:p>
        </w:tc>
        <w:tc>
          <w:tcPr>
            <w:tcW w:w="2619" w:type="dxa"/>
          </w:tcPr>
          <w:p w14:paraId="1D8973F4" w14:textId="44D41A10" w:rsidR="00761A69" w:rsidRPr="00FF7558" w:rsidRDefault="00761A69" w:rsidP="00872E4E">
            <w:pPr>
              <w:pStyle w:val="Bezmezer"/>
              <w:jc w:val="right"/>
              <w:cnfStyle w:val="000000000000" w:firstRow="0" w:lastRow="0" w:firstColumn="0" w:lastColumn="0" w:oddVBand="0" w:evenVBand="0" w:oddHBand="0" w:evenHBand="0" w:firstRowFirstColumn="0" w:firstRowLastColumn="0" w:lastRowFirstColumn="0" w:lastRowLastColumn="0"/>
              <w:rPr>
                <w:rFonts w:cs="Neue Haas Unica Pro"/>
              </w:rPr>
            </w:pPr>
            <w:r>
              <w:rPr>
                <w:rFonts w:cs="Neue Haas Unica Pro"/>
              </w:rPr>
              <w:t>24 pracovních hodin</w:t>
            </w:r>
          </w:p>
        </w:tc>
      </w:tr>
      <w:tr w:rsidR="00761A69" w:rsidRPr="00FF7558" w14:paraId="286D0C0B" w14:textId="3D3227BD" w:rsidTr="00761A69">
        <w:trPr>
          <w:trHeight w:val="363"/>
        </w:trPr>
        <w:tc>
          <w:tcPr>
            <w:cnfStyle w:val="001000000000" w:firstRow="0" w:lastRow="0" w:firstColumn="1" w:lastColumn="0" w:oddVBand="0" w:evenVBand="0" w:oddHBand="0" w:evenHBand="0" w:firstRowFirstColumn="0" w:firstRowLastColumn="0" w:lastRowFirstColumn="0" w:lastRowLastColumn="0"/>
            <w:tcW w:w="1913" w:type="dxa"/>
            <w:tcBorders>
              <w:bottom w:val="single" w:sz="8" w:space="0" w:color="E7E6E6" w:themeColor="background2"/>
            </w:tcBorders>
            <w:tcMar>
              <w:top w:w="113" w:type="dxa"/>
            </w:tcMar>
          </w:tcPr>
          <w:p w14:paraId="6019780D" w14:textId="77777777" w:rsidR="00761A69" w:rsidRPr="00FF7558" w:rsidRDefault="00761A69" w:rsidP="00872E4E">
            <w:pPr>
              <w:pStyle w:val="Bezmezer"/>
              <w:rPr>
                <w:rFonts w:cs="Neue Haas Unica Pro"/>
              </w:rPr>
            </w:pPr>
            <w:r w:rsidRPr="00FF7558">
              <w:t>Priorita B, B+</w:t>
            </w:r>
          </w:p>
        </w:tc>
        <w:tc>
          <w:tcPr>
            <w:tcW w:w="1684" w:type="dxa"/>
            <w:tcBorders>
              <w:bottom w:val="single" w:sz="8" w:space="0" w:color="E7E6E6" w:themeColor="background2"/>
            </w:tcBorders>
            <w:tcMar>
              <w:top w:w="113" w:type="dxa"/>
            </w:tcMar>
          </w:tcPr>
          <w:p w14:paraId="4C1F7BCA" w14:textId="77777777" w:rsidR="00761A69" w:rsidRPr="00FF7558" w:rsidRDefault="00761A69" w:rsidP="00872E4E">
            <w:pPr>
              <w:pStyle w:val="Bezmezer"/>
              <w:cnfStyle w:val="000000000000" w:firstRow="0" w:lastRow="0" w:firstColumn="0" w:lastColumn="0" w:oddVBand="0" w:evenVBand="0" w:oddHBand="0" w:evenHBand="0" w:firstRowFirstColumn="0" w:firstRowLastColumn="0" w:lastRowFirstColumn="0" w:lastRowLastColumn="0"/>
              <w:rPr>
                <w:rFonts w:cs="Neue Haas Unica Pro"/>
              </w:rPr>
            </w:pPr>
            <w:r w:rsidRPr="00FF7558">
              <w:rPr>
                <w:rFonts w:cs="Neue Haas Unica Pro"/>
              </w:rPr>
              <w:t>5 x 8, 9:00-17:00</w:t>
            </w:r>
          </w:p>
        </w:tc>
        <w:tc>
          <w:tcPr>
            <w:tcW w:w="2855" w:type="dxa"/>
            <w:tcBorders>
              <w:bottom w:val="single" w:sz="8" w:space="0" w:color="E7E6E6" w:themeColor="background2"/>
            </w:tcBorders>
            <w:tcMar>
              <w:top w:w="113" w:type="dxa"/>
            </w:tcMar>
          </w:tcPr>
          <w:p w14:paraId="6EDCD1E4" w14:textId="77777777" w:rsidR="00761A69" w:rsidRPr="00FF7558" w:rsidRDefault="00761A69" w:rsidP="00872E4E">
            <w:pPr>
              <w:pStyle w:val="Bezmezer"/>
              <w:jc w:val="right"/>
              <w:cnfStyle w:val="000000000000" w:firstRow="0" w:lastRow="0" w:firstColumn="0" w:lastColumn="0" w:oddVBand="0" w:evenVBand="0" w:oddHBand="0" w:evenHBand="0" w:firstRowFirstColumn="0" w:firstRowLastColumn="0" w:lastRowFirstColumn="0" w:lastRowLastColumn="0"/>
              <w:rPr>
                <w:rFonts w:cs="Neue Haas Unica Pro"/>
              </w:rPr>
            </w:pPr>
            <w:r w:rsidRPr="00FF7558">
              <w:rPr>
                <w:rFonts w:cs="Neue Haas Unica Pro"/>
              </w:rPr>
              <w:t>4 hodiny</w:t>
            </w:r>
          </w:p>
        </w:tc>
        <w:tc>
          <w:tcPr>
            <w:tcW w:w="2619" w:type="dxa"/>
            <w:tcBorders>
              <w:bottom w:val="single" w:sz="8" w:space="0" w:color="E7E6E6" w:themeColor="background2"/>
            </w:tcBorders>
          </w:tcPr>
          <w:p w14:paraId="482B5E2B" w14:textId="4464851A" w:rsidR="00761A69" w:rsidRPr="00FF7558" w:rsidRDefault="00761A69" w:rsidP="00872E4E">
            <w:pPr>
              <w:pStyle w:val="Bezmezer"/>
              <w:jc w:val="right"/>
              <w:cnfStyle w:val="000000000000" w:firstRow="0" w:lastRow="0" w:firstColumn="0" w:lastColumn="0" w:oddVBand="0" w:evenVBand="0" w:oddHBand="0" w:evenHBand="0" w:firstRowFirstColumn="0" w:firstRowLastColumn="0" w:lastRowFirstColumn="0" w:lastRowLastColumn="0"/>
              <w:rPr>
                <w:rFonts w:cs="Neue Haas Unica Pro"/>
              </w:rPr>
            </w:pPr>
            <w:r>
              <w:rPr>
                <w:rFonts w:cs="Neue Haas Unica Pro"/>
              </w:rPr>
              <w:t>10 dní</w:t>
            </w:r>
          </w:p>
        </w:tc>
      </w:tr>
      <w:tr w:rsidR="00761A69" w:rsidRPr="00FF7558" w14:paraId="29DB9A23" w14:textId="42C86FA9" w:rsidTr="00761A69">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13" w:type="dxa"/>
            <w:tcBorders>
              <w:top w:val="single" w:sz="8" w:space="0" w:color="E7E6E6" w:themeColor="background2"/>
              <w:bottom w:val="single" w:sz="8" w:space="0" w:color="E7E6E6" w:themeColor="background2"/>
            </w:tcBorders>
            <w:tcMar>
              <w:top w:w="113" w:type="dxa"/>
            </w:tcMar>
          </w:tcPr>
          <w:p w14:paraId="7A73D158" w14:textId="77777777" w:rsidR="00761A69" w:rsidRPr="00FF7558" w:rsidRDefault="00761A69" w:rsidP="00872E4E">
            <w:pPr>
              <w:pStyle w:val="Bezmezer"/>
              <w:rPr>
                <w:rFonts w:cs="Neue Haas Unica Pro"/>
                <w:b w:val="0"/>
              </w:rPr>
            </w:pPr>
            <w:r w:rsidRPr="00FF7558">
              <w:rPr>
                <w:b w:val="0"/>
              </w:rPr>
              <w:t>Priorita C, C+</w:t>
            </w:r>
          </w:p>
        </w:tc>
        <w:tc>
          <w:tcPr>
            <w:tcW w:w="1684" w:type="dxa"/>
            <w:tcBorders>
              <w:top w:val="single" w:sz="8" w:space="0" w:color="E7E6E6" w:themeColor="background2"/>
              <w:bottom w:val="single" w:sz="8" w:space="0" w:color="E7E6E6" w:themeColor="background2"/>
            </w:tcBorders>
            <w:tcMar>
              <w:top w:w="113" w:type="dxa"/>
            </w:tcMar>
          </w:tcPr>
          <w:p w14:paraId="48330485" w14:textId="77777777" w:rsidR="00761A69" w:rsidRPr="00FF7558" w:rsidRDefault="00761A69" w:rsidP="00872E4E">
            <w:pPr>
              <w:pStyle w:val="Bezmezer"/>
              <w:cnfStyle w:val="010000000000" w:firstRow="0" w:lastRow="1" w:firstColumn="0" w:lastColumn="0" w:oddVBand="0" w:evenVBand="0" w:oddHBand="0" w:evenHBand="0" w:firstRowFirstColumn="0" w:firstRowLastColumn="0" w:lastRowFirstColumn="0" w:lastRowLastColumn="0"/>
              <w:rPr>
                <w:rFonts w:cs="Neue Haas Unica Pro"/>
                <w:b w:val="0"/>
              </w:rPr>
            </w:pPr>
            <w:r w:rsidRPr="00FF7558">
              <w:rPr>
                <w:rFonts w:cs="Neue Haas Unica Pro"/>
                <w:b w:val="0"/>
              </w:rPr>
              <w:t>5 x 8, 9:00-17:00</w:t>
            </w:r>
          </w:p>
        </w:tc>
        <w:tc>
          <w:tcPr>
            <w:tcW w:w="2855" w:type="dxa"/>
            <w:tcBorders>
              <w:top w:val="single" w:sz="8" w:space="0" w:color="E7E6E6" w:themeColor="background2"/>
              <w:bottom w:val="single" w:sz="8" w:space="0" w:color="E7E6E6" w:themeColor="background2"/>
            </w:tcBorders>
            <w:tcMar>
              <w:top w:w="113" w:type="dxa"/>
            </w:tcMar>
          </w:tcPr>
          <w:p w14:paraId="68413D5A" w14:textId="77777777" w:rsidR="00761A69" w:rsidRPr="00FF7558" w:rsidRDefault="00761A69" w:rsidP="00872E4E">
            <w:pPr>
              <w:pStyle w:val="Bezmezer"/>
              <w:jc w:val="right"/>
              <w:cnfStyle w:val="010000000000" w:firstRow="0" w:lastRow="1" w:firstColumn="0" w:lastColumn="0" w:oddVBand="0" w:evenVBand="0" w:oddHBand="0" w:evenHBand="0" w:firstRowFirstColumn="0" w:firstRowLastColumn="0" w:lastRowFirstColumn="0" w:lastRowLastColumn="0"/>
              <w:rPr>
                <w:rFonts w:cs="Neue Haas Unica Pro"/>
                <w:b w:val="0"/>
              </w:rPr>
            </w:pPr>
            <w:r w:rsidRPr="00FF7558">
              <w:rPr>
                <w:rFonts w:cs="Neue Haas Unica Pro"/>
                <w:b w:val="0"/>
              </w:rPr>
              <w:t xml:space="preserve"> 8 hodin</w:t>
            </w:r>
          </w:p>
        </w:tc>
        <w:tc>
          <w:tcPr>
            <w:tcW w:w="2619" w:type="dxa"/>
            <w:tcBorders>
              <w:top w:val="single" w:sz="8" w:space="0" w:color="E7E6E6" w:themeColor="background2"/>
              <w:bottom w:val="single" w:sz="8" w:space="0" w:color="E7E6E6" w:themeColor="background2"/>
            </w:tcBorders>
          </w:tcPr>
          <w:p w14:paraId="1E7090A5" w14:textId="07143643" w:rsidR="00761A69" w:rsidRPr="00761A69" w:rsidRDefault="00761A69" w:rsidP="00872E4E">
            <w:pPr>
              <w:pStyle w:val="Bezmezer"/>
              <w:jc w:val="right"/>
              <w:cnfStyle w:val="010000000000" w:firstRow="0" w:lastRow="1" w:firstColumn="0" w:lastColumn="0" w:oddVBand="0" w:evenVBand="0" w:oddHBand="0" w:evenHBand="0" w:firstRowFirstColumn="0" w:firstRowLastColumn="0" w:lastRowFirstColumn="0" w:lastRowLastColumn="0"/>
              <w:rPr>
                <w:rFonts w:cs="Neue Haas Unica Pro"/>
                <w:b w:val="0"/>
              </w:rPr>
            </w:pPr>
            <w:r w:rsidRPr="00761A69">
              <w:rPr>
                <w:rFonts w:cs="Neue Haas Unica Pro"/>
                <w:b w:val="0"/>
              </w:rPr>
              <w:t>20 dní</w:t>
            </w:r>
          </w:p>
        </w:tc>
      </w:tr>
    </w:tbl>
    <w:p w14:paraId="7A0B4AF7" w14:textId="453BDFB0" w:rsidR="00872E4E" w:rsidRPr="00FF7558" w:rsidRDefault="00872E4E">
      <w:pPr>
        <w:spacing w:before="0" w:after="160" w:line="259" w:lineRule="auto"/>
        <w:rPr>
          <w:b/>
          <w:lang w:eastAsia="cs-CZ"/>
        </w:rPr>
      </w:pPr>
    </w:p>
    <w:p w14:paraId="1032C3EC" w14:textId="18DD3A1E" w:rsidR="00FE6BCB" w:rsidRPr="00FF7558" w:rsidRDefault="00FE6BCB" w:rsidP="00FF7558">
      <w:pPr>
        <w:pStyle w:val="Nadpis2"/>
        <w:rPr>
          <w:b/>
          <w:lang w:eastAsia="cs-CZ"/>
        </w:rPr>
      </w:pPr>
      <w:proofErr w:type="spellStart"/>
      <w:r w:rsidRPr="00FF7558">
        <w:rPr>
          <w:b/>
          <w:lang w:eastAsia="cs-CZ"/>
        </w:rPr>
        <w:t>Problem</w:t>
      </w:r>
      <w:proofErr w:type="spellEnd"/>
      <w:r w:rsidRPr="00FF7558">
        <w:rPr>
          <w:b/>
          <w:lang w:eastAsia="cs-CZ"/>
        </w:rPr>
        <w:t xml:space="preserve">, </w:t>
      </w:r>
      <w:proofErr w:type="spellStart"/>
      <w:r w:rsidRPr="00FF7558">
        <w:rPr>
          <w:b/>
          <w:lang w:eastAsia="cs-CZ"/>
        </w:rPr>
        <w:t>Change</w:t>
      </w:r>
      <w:proofErr w:type="spellEnd"/>
      <w:r w:rsidRPr="00FF7558">
        <w:rPr>
          <w:b/>
          <w:lang w:eastAsia="cs-CZ"/>
        </w:rPr>
        <w:t xml:space="preserve"> a </w:t>
      </w:r>
      <w:proofErr w:type="spellStart"/>
      <w:r w:rsidRPr="00FF7558">
        <w:rPr>
          <w:b/>
          <w:lang w:eastAsia="cs-CZ"/>
        </w:rPr>
        <w:t>Release</w:t>
      </w:r>
      <w:proofErr w:type="spellEnd"/>
      <w:r w:rsidRPr="00FF7558">
        <w:rPr>
          <w:b/>
          <w:lang w:eastAsia="cs-CZ"/>
        </w:rPr>
        <w:t xml:space="preserve"> Management</w:t>
      </w:r>
    </w:p>
    <w:tbl>
      <w:tblPr>
        <w:tblStyle w:val="TRASK2"/>
        <w:tblW w:w="9072" w:type="dxa"/>
        <w:tblLook w:val="04E0" w:firstRow="1" w:lastRow="1" w:firstColumn="1" w:lastColumn="0" w:noHBand="0" w:noVBand="1"/>
      </w:tblPr>
      <w:tblGrid>
        <w:gridCol w:w="1843"/>
        <w:gridCol w:w="2692"/>
        <w:gridCol w:w="4537"/>
      </w:tblGrid>
      <w:tr w:rsidR="00FE6BCB" w:rsidRPr="00FF7558" w14:paraId="38ACCFF2" w14:textId="77777777" w:rsidTr="00761A6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tcMar>
              <w:top w:w="113" w:type="dxa"/>
            </w:tcMar>
          </w:tcPr>
          <w:p w14:paraId="4574526D" w14:textId="77777777" w:rsidR="00FE6BCB" w:rsidRPr="00FF7558" w:rsidRDefault="00FE6BCB" w:rsidP="00872E4E">
            <w:pPr>
              <w:pStyle w:val="Bezmezer"/>
              <w:rPr>
                <w:rFonts w:cs="Neue Haas Unica Pro"/>
              </w:rPr>
            </w:pPr>
            <w:proofErr w:type="spellStart"/>
            <w:r w:rsidRPr="00FF7558">
              <w:t>Problem</w:t>
            </w:r>
            <w:proofErr w:type="spellEnd"/>
          </w:p>
        </w:tc>
        <w:tc>
          <w:tcPr>
            <w:tcW w:w="2692" w:type="dxa"/>
            <w:tcMar>
              <w:top w:w="113" w:type="dxa"/>
            </w:tcMar>
          </w:tcPr>
          <w:p w14:paraId="1A8B086D" w14:textId="77777777" w:rsidR="00FE6BCB" w:rsidRPr="00FF7558" w:rsidRDefault="00FE6BCB" w:rsidP="00872E4E">
            <w:pPr>
              <w:pStyle w:val="Bezmezer"/>
              <w:cnfStyle w:val="100000000000" w:firstRow="1" w:lastRow="0" w:firstColumn="0" w:lastColumn="0" w:oddVBand="0" w:evenVBand="0" w:oddHBand="0" w:evenHBand="0" w:firstRowFirstColumn="0" w:firstRowLastColumn="0" w:lastRowFirstColumn="0" w:lastRowLastColumn="0"/>
              <w:rPr>
                <w:rFonts w:cs="Neue Haas Unica Pro"/>
              </w:rPr>
            </w:pPr>
            <w:r w:rsidRPr="00FF7558">
              <w:t>Dostupnost</w:t>
            </w:r>
          </w:p>
        </w:tc>
        <w:tc>
          <w:tcPr>
            <w:tcW w:w="4537" w:type="dxa"/>
            <w:tcMar>
              <w:top w:w="113" w:type="dxa"/>
            </w:tcMar>
          </w:tcPr>
          <w:p w14:paraId="62CEF57E" w14:textId="77777777" w:rsidR="00FE6BCB" w:rsidRPr="00FF7558" w:rsidRDefault="00FE6BCB" w:rsidP="00872E4E">
            <w:pPr>
              <w:pStyle w:val="Bezmezer"/>
              <w:jc w:val="right"/>
              <w:cnfStyle w:val="100000000000" w:firstRow="1" w:lastRow="0" w:firstColumn="0" w:lastColumn="0" w:oddVBand="0" w:evenVBand="0" w:oddHBand="0" w:evenHBand="0" w:firstRowFirstColumn="0" w:firstRowLastColumn="0" w:lastRowFirstColumn="0" w:lastRowLastColumn="0"/>
              <w:rPr>
                <w:rFonts w:cs="Neue Haas Unica Pro"/>
              </w:rPr>
            </w:pPr>
            <w:r w:rsidRPr="00FF7558">
              <w:t>Čas na reakci</w:t>
            </w:r>
          </w:p>
        </w:tc>
      </w:tr>
      <w:tr w:rsidR="00FE6BCB" w:rsidRPr="00FF7558" w14:paraId="2D768313" w14:textId="77777777" w:rsidTr="00761A69">
        <w:trPr>
          <w:cnfStyle w:val="010000000000" w:firstRow="0" w:lastRow="1"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E7E6E6" w:themeColor="background2"/>
              <w:bottom w:val="single" w:sz="8" w:space="0" w:color="E7E6E6" w:themeColor="background2"/>
            </w:tcBorders>
            <w:tcMar>
              <w:top w:w="113" w:type="dxa"/>
            </w:tcMar>
          </w:tcPr>
          <w:p w14:paraId="58B24357" w14:textId="77777777" w:rsidR="00FE6BCB" w:rsidRPr="00FF7558" w:rsidRDefault="00FE6BCB" w:rsidP="00872E4E">
            <w:pPr>
              <w:pStyle w:val="Bezmezer"/>
              <w:rPr>
                <w:rFonts w:cs="Neue Haas Unica Pro"/>
                <w:b w:val="0"/>
              </w:rPr>
            </w:pPr>
            <w:r w:rsidRPr="00FF7558">
              <w:rPr>
                <w:b w:val="0"/>
              </w:rPr>
              <w:t>Priorita C</w:t>
            </w:r>
          </w:p>
        </w:tc>
        <w:tc>
          <w:tcPr>
            <w:tcW w:w="2692" w:type="dxa"/>
            <w:tcBorders>
              <w:top w:val="single" w:sz="8" w:space="0" w:color="E7E6E6" w:themeColor="background2"/>
              <w:bottom w:val="single" w:sz="8" w:space="0" w:color="E7E6E6" w:themeColor="background2"/>
            </w:tcBorders>
            <w:tcMar>
              <w:top w:w="113" w:type="dxa"/>
            </w:tcMar>
          </w:tcPr>
          <w:p w14:paraId="49CE44EF" w14:textId="77777777" w:rsidR="00FE6BCB" w:rsidRPr="00FF7558" w:rsidRDefault="00FE6BCB" w:rsidP="00872E4E">
            <w:pPr>
              <w:pStyle w:val="Bezmezer"/>
              <w:cnfStyle w:val="010000000000" w:firstRow="0" w:lastRow="1" w:firstColumn="0" w:lastColumn="0" w:oddVBand="0" w:evenVBand="0" w:oddHBand="0" w:evenHBand="0" w:firstRowFirstColumn="0" w:firstRowLastColumn="0" w:lastRowFirstColumn="0" w:lastRowLastColumn="0"/>
              <w:rPr>
                <w:rFonts w:cs="Neue Haas Unica Pro"/>
                <w:b w:val="0"/>
              </w:rPr>
            </w:pPr>
            <w:r w:rsidRPr="00FF7558">
              <w:rPr>
                <w:rFonts w:cs="Neue Haas Unica Pro"/>
                <w:b w:val="0"/>
              </w:rPr>
              <w:t>5 x 8, 9:00-17:00</w:t>
            </w:r>
          </w:p>
        </w:tc>
        <w:tc>
          <w:tcPr>
            <w:tcW w:w="4537" w:type="dxa"/>
            <w:tcBorders>
              <w:top w:val="single" w:sz="8" w:space="0" w:color="E7E6E6" w:themeColor="background2"/>
              <w:bottom w:val="single" w:sz="8" w:space="0" w:color="E7E6E6" w:themeColor="background2"/>
            </w:tcBorders>
            <w:tcMar>
              <w:top w:w="113" w:type="dxa"/>
            </w:tcMar>
          </w:tcPr>
          <w:p w14:paraId="093766FC" w14:textId="77777777" w:rsidR="00FE6BCB" w:rsidRPr="00FF7558" w:rsidRDefault="00FE6BCB" w:rsidP="00872E4E">
            <w:pPr>
              <w:pStyle w:val="Bezmezer"/>
              <w:jc w:val="right"/>
              <w:cnfStyle w:val="010000000000" w:firstRow="0" w:lastRow="1" w:firstColumn="0" w:lastColumn="0" w:oddVBand="0" w:evenVBand="0" w:oddHBand="0" w:evenHBand="0" w:firstRowFirstColumn="0" w:firstRowLastColumn="0" w:lastRowFirstColumn="0" w:lastRowLastColumn="0"/>
              <w:rPr>
                <w:rFonts w:cs="Neue Haas Unica Pro"/>
                <w:b w:val="0"/>
              </w:rPr>
            </w:pPr>
            <w:r w:rsidRPr="00FF7558">
              <w:rPr>
                <w:rFonts w:cs="Neue Haas Unica Pro"/>
                <w:b w:val="0"/>
              </w:rPr>
              <w:t>3 pracovní dny</w:t>
            </w:r>
          </w:p>
        </w:tc>
      </w:tr>
    </w:tbl>
    <w:p w14:paraId="140E0777" w14:textId="139B6D93" w:rsidR="00FE6BCB" w:rsidRPr="00FF7558" w:rsidRDefault="00FE6BCB" w:rsidP="00EB6E11">
      <w:pPr>
        <w:pStyle w:val="Nadpis1"/>
        <w:numPr>
          <w:ilvl w:val="0"/>
          <w:numId w:val="19"/>
        </w:numPr>
        <w:jc w:val="both"/>
        <w:rPr>
          <w:b w:val="0"/>
        </w:rPr>
      </w:pPr>
      <w:r w:rsidRPr="00FF7558">
        <w:t>Parametry poskytovaných konzultačních služeb</w:t>
      </w:r>
    </w:p>
    <w:p w14:paraId="7941107B" w14:textId="77777777" w:rsidR="00FE6BCB" w:rsidRPr="00FF7558" w:rsidRDefault="00FE6BCB" w:rsidP="00FF7558">
      <w:pPr>
        <w:rPr>
          <w:lang w:eastAsia="cs-CZ"/>
        </w:rPr>
      </w:pPr>
      <w:r w:rsidRPr="00FF7558">
        <w:t>Parametry</w:t>
      </w:r>
      <w:r w:rsidRPr="00FF7558">
        <w:rPr>
          <w:lang w:eastAsia="cs-CZ"/>
        </w:rPr>
        <w:t xml:space="preserve"> poskytovaných servisních služeb v rámci úrovně L3 jsou následující:</w:t>
      </w:r>
    </w:p>
    <w:tbl>
      <w:tblPr>
        <w:tblStyle w:val="TRASK2"/>
        <w:tblW w:w="9072" w:type="dxa"/>
        <w:tblLook w:val="04E0" w:firstRow="1" w:lastRow="1" w:firstColumn="1" w:lastColumn="0" w:noHBand="0" w:noVBand="1"/>
      </w:tblPr>
      <w:tblGrid>
        <w:gridCol w:w="1843"/>
        <w:gridCol w:w="2772"/>
        <w:gridCol w:w="4457"/>
      </w:tblGrid>
      <w:tr w:rsidR="00FE6BCB" w:rsidRPr="00FF7558" w14:paraId="5BAD9EF8" w14:textId="77777777" w:rsidTr="00761A69">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843" w:type="dxa"/>
          </w:tcPr>
          <w:p w14:paraId="014434B0" w14:textId="77777777" w:rsidR="00FE6BCB" w:rsidRPr="00FF7558" w:rsidRDefault="00FE6BCB" w:rsidP="00872E4E">
            <w:pPr>
              <w:pStyle w:val="Bezmezer"/>
              <w:rPr>
                <w:rFonts w:cs="Neue Haas Unica Pro"/>
              </w:rPr>
            </w:pPr>
            <w:r w:rsidRPr="00FF7558">
              <w:t>Konzultace</w:t>
            </w:r>
          </w:p>
        </w:tc>
        <w:tc>
          <w:tcPr>
            <w:tcW w:w="2772" w:type="dxa"/>
          </w:tcPr>
          <w:p w14:paraId="30A5EAD4" w14:textId="77777777" w:rsidR="00FE6BCB" w:rsidRPr="00FF7558" w:rsidRDefault="00FE6BCB" w:rsidP="00872E4E">
            <w:pPr>
              <w:pStyle w:val="Bezmezer"/>
              <w:cnfStyle w:val="100000000000" w:firstRow="1" w:lastRow="0" w:firstColumn="0" w:lastColumn="0" w:oddVBand="0" w:evenVBand="0" w:oddHBand="0" w:evenHBand="0" w:firstRowFirstColumn="0" w:firstRowLastColumn="0" w:lastRowFirstColumn="0" w:lastRowLastColumn="0"/>
              <w:rPr>
                <w:rFonts w:cs="Neue Haas Unica Pro"/>
              </w:rPr>
            </w:pPr>
            <w:r w:rsidRPr="00FF7558">
              <w:t>Dostupnost</w:t>
            </w:r>
          </w:p>
        </w:tc>
        <w:tc>
          <w:tcPr>
            <w:tcW w:w="4457" w:type="dxa"/>
          </w:tcPr>
          <w:p w14:paraId="682E84E8" w14:textId="77777777" w:rsidR="00FE6BCB" w:rsidRPr="00FF7558" w:rsidRDefault="00FE6BCB" w:rsidP="00872E4E">
            <w:pPr>
              <w:pStyle w:val="Bezmezer"/>
              <w:jc w:val="right"/>
              <w:cnfStyle w:val="100000000000" w:firstRow="1" w:lastRow="0" w:firstColumn="0" w:lastColumn="0" w:oddVBand="0" w:evenVBand="0" w:oddHBand="0" w:evenHBand="0" w:firstRowFirstColumn="0" w:firstRowLastColumn="0" w:lastRowFirstColumn="0" w:lastRowLastColumn="0"/>
              <w:rPr>
                <w:rFonts w:cs="Neue Haas Unica Pro"/>
              </w:rPr>
            </w:pPr>
            <w:r w:rsidRPr="00FF7558">
              <w:t>Čas na reakci</w:t>
            </w:r>
          </w:p>
        </w:tc>
      </w:tr>
      <w:tr w:rsidR="00FE6BCB" w:rsidRPr="00FF7558" w14:paraId="3C99830A" w14:textId="77777777" w:rsidTr="00761A69">
        <w:trPr>
          <w:cnfStyle w:val="010000000000" w:firstRow="0" w:lastRow="1"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E7E6E6" w:themeColor="background2"/>
              <w:bottom w:val="single" w:sz="8" w:space="0" w:color="E7E6E6" w:themeColor="background2"/>
            </w:tcBorders>
          </w:tcPr>
          <w:p w14:paraId="2EB87ACB" w14:textId="77777777" w:rsidR="00FE6BCB" w:rsidRPr="00FF7558" w:rsidRDefault="00FE6BCB" w:rsidP="00872E4E">
            <w:pPr>
              <w:pStyle w:val="Bezmezer"/>
              <w:rPr>
                <w:rFonts w:cs="Neue Haas Unica Pro"/>
                <w:b w:val="0"/>
              </w:rPr>
            </w:pPr>
            <w:r w:rsidRPr="00FF7558">
              <w:rPr>
                <w:b w:val="0"/>
              </w:rPr>
              <w:t>Priorita C</w:t>
            </w:r>
          </w:p>
        </w:tc>
        <w:tc>
          <w:tcPr>
            <w:tcW w:w="2772" w:type="dxa"/>
            <w:tcBorders>
              <w:top w:val="single" w:sz="8" w:space="0" w:color="E7E6E6" w:themeColor="background2"/>
              <w:bottom w:val="single" w:sz="8" w:space="0" w:color="E7E6E6" w:themeColor="background2"/>
            </w:tcBorders>
          </w:tcPr>
          <w:p w14:paraId="764B8A65" w14:textId="77777777" w:rsidR="00FE6BCB" w:rsidRPr="00FF7558" w:rsidRDefault="00FE6BCB" w:rsidP="00872E4E">
            <w:pPr>
              <w:pStyle w:val="Bezmezer"/>
              <w:cnfStyle w:val="010000000000" w:firstRow="0" w:lastRow="1" w:firstColumn="0" w:lastColumn="0" w:oddVBand="0" w:evenVBand="0" w:oddHBand="0" w:evenHBand="0" w:firstRowFirstColumn="0" w:firstRowLastColumn="0" w:lastRowFirstColumn="0" w:lastRowLastColumn="0"/>
              <w:rPr>
                <w:rFonts w:cs="Neue Haas Unica Pro"/>
                <w:b w:val="0"/>
              </w:rPr>
            </w:pPr>
            <w:r w:rsidRPr="00FF7558">
              <w:rPr>
                <w:rFonts w:cs="Neue Haas Unica Pro"/>
                <w:b w:val="0"/>
              </w:rPr>
              <w:t>5x8 9:00-17:00</w:t>
            </w:r>
          </w:p>
        </w:tc>
        <w:tc>
          <w:tcPr>
            <w:tcW w:w="4457" w:type="dxa"/>
            <w:tcBorders>
              <w:top w:val="single" w:sz="8" w:space="0" w:color="E7E6E6" w:themeColor="background2"/>
              <w:bottom w:val="single" w:sz="8" w:space="0" w:color="E7E6E6" w:themeColor="background2"/>
            </w:tcBorders>
          </w:tcPr>
          <w:p w14:paraId="4B093DED" w14:textId="77777777" w:rsidR="00FE6BCB" w:rsidRPr="00FF7558" w:rsidRDefault="00FE6BCB" w:rsidP="00872E4E">
            <w:pPr>
              <w:pStyle w:val="Bezmezer"/>
              <w:jc w:val="right"/>
              <w:cnfStyle w:val="010000000000" w:firstRow="0" w:lastRow="1" w:firstColumn="0" w:lastColumn="0" w:oddVBand="0" w:evenVBand="0" w:oddHBand="0" w:evenHBand="0" w:firstRowFirstColumn="0" w:firstRowLastColumn="0" w:lastRowFirstColumn="0" w:lastRowLastColumn="0"/>
              <w:rPr>
                <w:rFonts w:cs="Neue Haas Unica Pro"/>
                <w:b w:val="0"/>
              </w:rPr>
            </w:pPr>
            <w:r w:rsidRPr="00FF7558">
              <w:rPr>
                <w:rFonts w:cs="Neue Haas Unica Pro"/>
                <w:b w:val="0"/>
              </w:rPr>
              <w:t>3 pracovní dny</w:t>
            </w:r>
          </w:p>
        </w:tc>
      </w:tr>
    </w:tbl>
    <w:p w14:paraId="1D3932CD" w14:textId="38CBD7B6" w:rsidR="00FE6BCB" w:rsidRPr="00FF7558" w:rsidRDefault="00FE6BCB" w:rsidP="00EB6E11">
      <w:pPr>
        <w:pStyle w:val="Nadpis1"/>
        <w:keepNext/>
        <w:numPr>
          <w:ilvl w:val="0"/>
          <w:numId w:val="19"/>
        </w:numPr>
        <w:ind w:left="357" w:hanging="357"/>
        <w:jc w:val="both"/>
        <w:rPr>
          <w:b w:val="0"/>
        </w:rPr>
      </w:pPr>
      <w:r w:rsidRPr="00FF7558">
        <w:lastRenderedPageBreak/>
        <w:t>Podmínky užití Díla (licence)</w:t>
      </w:r>
    </w:p>
    <w:p w14:paraId="365E95A6" w14:textId="1DA9FE6D" w:rsidR="00FE6BCB" w:rsidRPr="00FF7558" w:rsidRDefault="00FE6BCB" w:rsidP="00FF7558">
      <w:pPr>
        <w:jc w:val="both"/>
      </w:pPr>
      <w:r w:rsidRPr="00FF7558">
        <w:t xml:space="preserve">Objednatel na základě této Smlouvy nabývá pro území České republiky nevýhradní časově omezenou licenci k Dílu ve vztahu ke Standardnímu software, a to na dobu počínající dnem předání Díla, jak je tento okamžik definován v Příloze č. 2 Smlouvy o Dílo, pro kterou uhradil cenu uvedenou článku 4 a 5 Přílohy </w:t>
      </w:r>
      <w:r w:rsidR="00FF7558" w:rsidRPr="00FF7558">
        <w:br/>
      </w:r>
      <w:r w:rsidRPr="00FF7558">
        <w:t xml:space="preserve">č. 2, tj. právo užití Díla způsoby vyplývajícími z předmětu této Smlouvy, Přílohy č. 5 této Smlouvy a z účelu Díla a jeho dokumentace, byla-li zpracována, to vše v souladu s příslušnými ustanoveními Autorského zákona, a to bez jakýchkoliv dalších poplatků nebo jiné formy plateb nad rámec dohodnuté ceny podle </w:t>
      </w:r>
      <w:r w:rsidR="00FF7558" w:rsidRPr="00FF7558">
        <w:br/>
      </w:r>
      <w:r w:rsidRPr="00FF7558">
        <w:t xml:space="preserve">čl. 4. a 5 Přílohy č. 2 této Smlouvy.   </w:t>
      </w:r>
    </w:p>
    <w:p w14:paraId="659FDD77" w14:textId="77777777" w:rsidR="00FE6BCB" w:rsidRPr="00FF7558" w:rsidRDefault="00FE6BCB" w:rsidP="00FE6BCB">
      <w:pPr>
        <w:ind w:left="360"/>
        <w:rPr>
          <w:lang w:eastAsia="cs-CZ"/>
        </w:rPr>
      </w:pPr>
      <w:r w:rsidRPr="00FF7558">
        <w:rPr>
          <w:lang w:eastAsia="cs-CZ"/>
        </w:rPr>
        <w:t> </w:t>
      </w:r>
    </w:p>
    <w:p w14:paraId="7B5C3DC6" w14:textId="77777777" w:rsidR="00F36465" w:rsidRPr="00FF7558" w:rsidRDefault="00F36465">
      <w:pPr>
        <w:spacing w:before="0" w:after="160" w:line="259" w:lineRule="auto"/>
        <w:rPr>
          <w:lang w:eastAsia="cs-CZ"/>
        </w:rPr>
      </w:pPr>
      <w:r w:rsidRPr="00FF7558">
        <w:rPr>
          <w:lang w:eastAsia="cs-CZ"/>
        </w:rPr>
        <w:br w:type="page"/>
      </w:r>
    </w:p>
    <w:p w14:paraId="4100081B" w14:textId="323D791E" w:rsidR="00FE6BCB" w:rsidRPr="00FF7558" w:rsidRDefault="00FE6BCB" w:rsidP="00F36465">
      <w:pPr>
        <w:pStyle w:val="Nzev"/>
      </w:pPr>
      <w:r w:rsidRPr="00FF7558">
        <w:lastRenderedPageBreak/>
        <w:t>Příloha č. 2</w:t>
      </w:r>
    </w:p>
    <w:p w14:paraId="259C2F58" w14:textId="2F014DCD" w:rsidR="00FE6BCB" w:rsidRPr="00FF7558" w:rsidRDefault="00FE6BCB" w:rsidP="00130BBF">
      <w:pPr>
        <w:pStyle w:val="Nzev"/>
      </w:pPr>
      <w:r w:rsidRPr="00FF7558">
        <w:t>Cena servisních a konzultačních služeb, cena licencí</w:t>
      </w:r>
    </w:p>
    <w:p w14:paraId="60127116" w14:textId="77777777" w:rsidR="003E33C8" w:rsidRPr="00FF7558" w:rsidRDefault="003E33C8" w:rsidP="003E33C8">
      <w:pPr>
        <w:rPr>
          <w:lang w:eastAsia="cs-CZ"/>
        </w:rPr>
      </w:pPr>
    </w:p>
    <w:p w14:paraId="383F8364" w14:textId="798E58E2" w:rsidR="00FE6BCB" w:rsidRPr="00FF7558" w:rsidRDefault="00FE6BCB" w:rsidP="00F120C7">
      <w:pPr>
        <w:pStyle w:val="Odstavecseseznamem"/>
        <w:numPr>
          <w:ilvl w:val="0"/>
          <w:numId w:val="12"/>
        </w:numPr>
        <w:jc w:val="both"/>
        <w:rPr>
          <w:lang w:eastAsia="cs-CZ"/>
        </w:rPr>
      </w:pPr>
      <w:r w:rsidRPr="00FF7558">
        <w:rPr>
          <w:lang w:eastAsia="cs-CZ"/>
        </w:rPr>
        <w:t xml:space="preserve">Pravidelná měsíční paušální cena za Služby stanovené v Příloze č. 1 poskytované pro předmět stanovený v Příloze č. 4 Smlouvy činí </w:t>
      </w:r>
      <w:r w:rsidR="00F26DEA">
        <w:rPr>
          <w:lang w:eastAsia="cs-CZ"/>
        </w:rPr>
        <w:t>3</w:t>
      </w:r>
      <w:r w:rsidRPr="00FF7558">
        <w:rPr>
          <w:lang w:eastAsia="cs-CZ"/>
        </w:rPr>
        <w:t xml:space="preserve">5 000, -Kč bez DPH (slovy: </w:t>
      </w:r>
      <w:r w:rsidR="00F26DEA">
        <w:rPr>
          <w:lang w:eastAsia="cs-CZ"/>
        </w:rPr>
        <w:t>třicet</w:t>
      </w:r>
      <w:r w:rsidRPr="00FF7558">
        <w:rPr>
          <w:lang w:eastAsia="cs-CZ"/>
        </w:rPr>
        <w:t xml:space="preserve"> pět tisíc korun českých). Tuto měsíční paušální cenu je možné navýšit v návaznosti na rozvoj funkcionalit stávajících Softwarových aplikací anebo dodání nových Softwarových aplikací / Standardního software a jejich funkcionalit na základě vzájemné písemné dohody obou smluvních stran.</w:t>
      </w:r>
    </w:p>
    <w:p w14:paraId="5D360292" w14:textId="15A9598D" w:rsidR="00FE6BCB" w:rsidRPr="00FF7558" w:rsidRDefault="00FE6BCB" w:rsidP="00F120C7">
      <w:pPr>
        <w:pStyle w:val="Odstavecseseznamem"/>
        <w:numPr>
          <w:ilvl w:val="0"/>
          <w:numId w:val="12"/>
        </w:numPr>
        <w:jc w:val="both"/>
        <w:rPr>
          <w:lang w:eastAsia="cs-CZ"/>
        </w:rPr>
      </w:pPr>
      <w:r w:rsidRPr="00FF7558">
        <w:rPr>
          <w:lang w:eastAsia="cs-CZ"/>
        </w:rPr>
        <w:t xml:space="preserve">Ceny dle této Smlouvy jsou stanoveny v CZK bez DPH, které bude účtováno ve výši stanovené platnými právními předpisy. Ceny za služby nad rámec sjednaného plnění dle této Smlouvy (nad rámec paušální ceny dle bodu 1 této přílohy) se budou řídit sazbou za tyto Služby nad rámec sjednaného plnění dle této Smlouvy ve výši 12 500, - Kč bez DPH / MD. V případě práce od 17:00 – 9:00 a v případě prací o víkendech nebo dnech pracovního klidu vymezených dle zákona č. 245/2000 Sb., o státních svátcích, o ostatních svátcích, o významných dnech a o dnech pracovního klidu, ve znění pozdějších předpisů je tato sazba navýšena o 100 %. Všechny Služby podle této Smlouvy budou poskytnuty formou </w:t>
      </w:r>
      <w:proofErr w:type="spellStart"/>
      <w:r w:rsidRPr="00FF7558">
        <w:rPr>
          <w:lang w:eastAsia="cs-CZ"/>
        </w:rPr>
        <w:t>Time&amp;Material</w:t>
      </w:r>
      <w:proofErr w:type="spellEnd"/>
      <w:r w:rsidRPr="00FF7558">
        <w:rPr>
          <w:lang w:eastAsia="cs-CZ"/>
        </w:rPr>
        <w:t xml:space="preserve"> a hrazeny na základě odsouhlasených výkazů práce a sazby uvedené výše.</w:t>
      </w:r>
    </w:p>
    <w:p w14:paraId="2FD2F92A" w14:textId="5E1D6EF7" w:rsidR="00FE6BCB" w:rsidRPr="00FF7558" w:rsidRDefault="00FE6BCB" w:rsidP="00F120C7">
      <w:pPr>
        <w:pStyle w:val="Odstavecseseznamem"/>
        <w:numPr>
          <w:ilvl w:val="0"/>
          <w:numId w:val="12"/>
        </w:numPr>
        <w:jc w:val="both"/>
        <w:rPr>
          <w:lang w:eastAsia="cs-CZ"/>
        </w:rPr>
      </w:pPr>
      <w:r w:rsidRPr="00FF7558">
        <w:rPr>
          <w:lang w:eastAsia="cs-CZ"/>
        </w:rPr>
        <w:t>V případě řešení požadavku v mimopražské lokalitě Zákazníka budou nejprve poskytnuty servisní anebo konzultační služby Poskytovatele z pracoviště Zákazníka v Praze. Jestliže nebude možno vyřešit požadavek v mimopražské lokalitě Zákazníka z pracoviště Zákazníka v Praze, bude společně s pracovníky podpory Zákazníka a Poskytovatele dohodnut termín výjezdu do mimopražské lokality a projednána cena zásahu v mimopražské lokalitě.</w:t>
      </w:r>
    </w:p>
    <w:p w14:paraId="4BAD8A83" w14:textId="669F64DC" w:rsidR="00FE6BCB" w:rsidRPr="00FF7558" w:rsidRDefault="00FE6BCB" w:rsidP="00F120C7">
      <w:pPr>
        <w:pStyle w:val="Odstavecseseznamem"/>
        <w:numPr>
          <w:ilvl w:val="0"/>
          <w:numId w:val="12"/>
        </w:numPr>
        <w:jc w:val="both"/>
        <w:rPr>
          <w:lang w:eastAsia="cs-CZ"/>
        </w:rPr>
      </w:pPr>
      <w:r w:rsidRPr="00FF7558">
        <w:rPr>
          <w:lang w:eastAsia="cs-CZ"/>
        </w:rPr>
        <w:t xml:space="preserve">Cenu za licenci k užití Díla ve smyslu článku 4 Přílohy č. 1 této Smlouvy se skládá z </w:t>
      </w:r>
    </w:p>
    <w:p w14:paraId="3C03A5AD" w14:textId="563AC17C" w:rsidR="00A2695E" w:rsidRPr="00FF7558" w:rsidRDefault="00F26DEA" w:rsidP="00A2695E">
      <w:pPr>
        <w:pStyle w:val="Odstavecseseznamem"/>
        <w:numPr>
          <w:ilvl w:val="1"/>
          <w:numId w:val="12"/>
        </w:numPr>
        <w:jc w:val="both"/>
        <w:rPr>
          <w:lang w:eastAsia="cs-CZ"/>
        </w:rPr>
      </w:pPr>
      <w:r w:rsidRPr="00FF7558">
        <w:rPr>
          <w:lang w:eastAsia="cs-CZ"/>
        </w:rPr>
        <w:t xml:space="preserve">ceny SW startovací licence v rozsahu dle Přílohy č. 5 této Smlouvy ve výši </w:t>
      </w:r>
      <w:r>
        <w:rPr>
          <w:lang w:eastAsia="cs-CZ"/>
        </w:rPr>
        <w:t xml:space="preserve">196 </w:t>
      </w:r>
      <w:r w:rsidRPr="00FF7558">
        <w:rPr>
          <w:lang w:eastAsia="cs-CZ"/>
        </w:rPr>
        <w:t>000,- Kč bez DPH</w:t>
      </w:r>
      <w:r>
        <w:rPr>
          <w:lang w:eastAsia="cs-CZ"/>
        </w:rPr>
        <w:t xml:space="preserve"> pro produkční prostředí</w:t>
      </w:r>
      <w:r w:rsidR="004879F3">
        <w:rPr>
          <w:lang w:eastAsia="cs-CZ"/>
        </w:rPr>
        <w:t xml:space="preserve">, </w:t>
      </w:r>
      <w:r w:rsidR="00FE6BCB" w:rsidRPr="00FF7558">
        <w:rPr>
          <w:lang w:eastAsia="cs-CZ"/>
        </w:rPr>
        <w:t xml:space="preserve">které jsou splatné ke dni předání Díla ve smyslu čl. 5.2. a 5.4. Smlouvy o Dílo a dále každý následující rok; </w:t>
      </w:r>
    </w:p>
    <w:p w14:paraId="07002F5C" w14:textId="777E1BF6" w:rsidR="00FE6BCB" w:rsidRPr="00FF7558" w:rsidRDefault="00FE6BCB" w:rsidP="00A2695E">
      <w:pPr>
        <w:pStyle w:val="Odstavecseseznamem"/>
        <w:ind w:left="1800"/>
        <w:jc w:val="both"/>
        <w:rPr>
          <w:lang w:eastAsia="cs-CZ"/>
        </w:rPr>
      </w:pPr>
      <w:r w:rsidRPr="00FF7558">
        <w:rPr>
          <w:lang w:eastAsia="cs-CZ"/>
        </w:rPr>
        <w:t>a</w:t>
      </w:r>
    </w:p>
    <w:p w14:paraId="171F246F" w14:textId="58D965DD" w:rsidR="00FE6BCB" w:rsidRPr="00FF7558" w:rsidRDefault="00FE6BCB" w:rsidP="00F120C7">
      <w:pPr>
        <w:pStyle w:val="Odstavecseseznamem"/>
        <w:numPr>
          <w:ilvl w:val="1"/>
          <w:numId w:val="12"/>
        </w:numPr>
        <w:jc w:val="both"/>
        <w:rPr>
          <w:lang w:eastAsia="cs-CZ"/>
        </w:rPr>
      </w:pPr>
      <w:r w:rsidRPr="00FF7558">
        <w:rPr>
          <w:lang w:eastAsia="cs-CZ"/>
        </w:rPr>
        <w:t>ceny za rozdíl za předchozí období 1 roku, jejíž výpočet je blíže specifikovaný v Příloze č. 5 této Smlouvy splatnost této části ceny je po uplynutí 1 roku od předání Díla ve smyslu čl. 5.2. a 5.4. Smlouvy o Dílo, a dále každý následující 1 rok.</w:t>
      </w:r>
    </w:p>
    <w:p w14:paraId="20C57258" w14:textId="77777777" w:rsidR="00FE6BCB" w:rsidRPr="00FF7558" w:rsidRDefault="00FE6BCB" w:rsidP="00FE6BCB">
      <w:pPr>
        <w:ind w:left="360"/>
        <w:rPr>
          <w:lang w:eastAsia="cs-CZ"/>
        </w:rPr>
      </w:pPr>
    </w:p>
    <w:p w14:paraId="51C06067" w14:textId="77777777" w:rsidR="00FE6BCB" w:rsidRPr="00FF7558" w:rsidRDefault="00FE6BCB" w:rsidP="00FE6BCB">
      <w:pPr>
        <w:ind w:left="360"/>
        <w:rPr>
          <w:lang w:eastAsia="cs-CZ"/>
        </w:rPr>
      </w:pPr>
    </w:p>
    <w:p w14:paraId="5C3F1F5D" w14:textId="77777777" w:rsidR="00FE6BCB" w:rsidRPr="00FF7558" w:rsidRDefault="00FE6BCB" w:rsidP="00FE6BCB">
      <w:pPr>
        <w:ind w:left="360"/>
        <w:rPr>
          <w:lang w:eastAsia="cs-CZ"/>
        </w:rPr>
      </w:pPr>
    </w:p>
    <w:p w14:paraId="7CA32BB7" w14:textId="77777777" w:rsidR="00FE6BCB" w:rsidRPr="00FF7558" w:rsidRDefault="00FE6BCB" w:rsidP="00FE6BCB">
      <w:pPr>
        <w:ind w:left="360"/>
        <w:rPr>
          <w:lang w:eastAsia="cs-CZ"/>
        </w:rPr>
      </w:pPr>
    </w:p>
    <w:p w14:paraId="1AD11221" w14:textId="77777777" w:rsidR="00FE6BCB" w:rsidRPr="00FF7558" w:rsidRDefault="00FE6BCB" w:rsidP="00FE6BCB">
      <w:pPr>
        <w:ind w:left="360"/>
        <w:rPr>
          <w:lang w:eastAsia="cs-CZ"/>
        </w:rPr>
      </w:pPr>
    </w:p>
    <w:p w14:paraId="61B13F32" w14:textId="77777777" w:rsidR="00FE6BCB" w:rsidRPr="00FF7558" w:rsidRDefault="00FE6BCB" w:rsidP="00FE6BCB">
      <w:pPr>
        <w:ind w:left="360"/>
        <w:rPr>
          <w:lang w:eastAsia="cs-CZ"/>
        </w:rPr>
      </w:pPr>
      <w:r w:rsidRPr="00FF7558">
        <w:rPr>
          <w:lang w:eastAsia="cs-CZ"/>
        </w:rPr>
        <w:t xml:space="preserve"> </w:t>
      </w:r>
    </w:p>
    <w:p w14:paraId="321A8813" w14:textId="77777777" w:rsidR="00A2695E" w:rsidRPr="00FF7558" w:rsidRDefault="00A2695E">
      <w:pPr>
        <w:spacing w:before="0" w:after="160" w:line="259" w:lineRule="auto"/>
        <w:rPr>
          <w:b/>
          <w:noProof/>
          <w:color w:val="0022EE"/>
          <w:spacing w:val="-10"/>
          <w:sz w:val="36"/>
          <w:szCs w:val="44"/>
          <w:lang w:eastAsia="cs-CZ"/>
        </w:rPr>
      </w:pPr>
      <w:r w:rsidRPr="00FF7558">
        <w:br w:type="page"/>
      </w:r>
    </w:p>
    <w:p w14:paraId="67D25EBE" w14:textId="7C06F60F" w:rsidR="00FE6BCB" w:rsidRPr="00FF7558" w:rsidRDefault="00FE6BCB" w:rsidP="00A2695E">
      <w:pPr>
        <w:pStyle w:val="Nzev"/>
      </w:pPr>
      <w:r w:rsidRPr="00FF7558">
        <w:lastRenderedPageBreak/>
        <w:t>Příloha č. 3</w:t>
      </w:r>
    </w:p>
    <w:p w14:paraId="0C89895A" w14:textId="77777777" w:rsidR="00FE6BCB" w:rsidRPr="00FF7558" w:rsidRDefault="00FE6BCB" w:rsidP="00A2695E">
      <w:pPr>
        <w:pStyle w:val="Nzev"/>
      </w:pPr>
      <w:r w:rsidRPr="00FF7558">
        <w:t>Kontakty pro poskytování servisních a konzultačních služeb</w:t>
      </w:r>
    </w:p>
    <w:p w14:paraId="1366EB82" w14:textId="77777777" w:rsidR="00FE6BCB" w:rsidRPr="00FF7558" w:rsidRDefault="00FE6BCB" w:rsidP="00FE6BCB">
      <w:pPr>
        <w:ind w:left="360"/>
        <w:rPr>
          <w:lang w:eastAsia="cs-CZ"/>
        </w:rPr>
      </w:pPr>
    </w:p>
    <w:p w14:paraId="6E659B56" w14:textId="77777777" w:rsidR="00FE6BCB" w:rsidRPr="00FF7558" w:rsidRDefault="00FE6BCB" w:rsidP="00A2695E">
      <w:pPr>
        <w:ind w:left="360"/>
        <w:jc w:val="both"/>
        <w:rPr>
          <w:lang w:eastAsia="cs-CZ"/>
        </w:rPr>
      </w:pPr>
      <w:r w:rsidRPr="00FE0F63">
        <w:rPr>
          <w:b/>
          <w:bCs/>
          <w:lang w:eastAsia="cs-CZ"/>
        </w:rPr>
        <w:t>kontaktní osoby Poskytovatele</w:t>
      </w:r>
      <w:r w:rsidRPr="00FF7558">
        <w:rPr>
          <w:lang w:eastAsia="cs-CZ"/>
        </w:rPr>
        <w:t>:</w:t>
      </w:r>
    </w:p>
    <w:p w14:paraId="4B052C86" w14:textId="602D614C" w:rsidR="00FE6BCB" w:rsidRPr="00FF7558" w:rsidRDefault="00E80FDD" w:rsidP="00A2695E">
      <w:pPr>
        <w:ind w:left="360"/>
        <w:jc w:val="both"/>
        <w:rPr>
          <w:lang w:eastAsia="cs-CZ"/>
        </w:rPr>
      </w:pPr>
      <w:proofErr w:type="spellStart"/>
      <w:r>
        <w:rPr>
          <w:highlight w:val="black"/>
          <w:lang w:eastAsia="cs-CZ"/>
        </w:rPr>
        <w:t>xxxxxxxxxxx</w:t>
      </w:r>
      <w:proofErr w:type="spellEnd"/>
    </w:p>
    <w:p w14:paraId="3F2A7B10" w14:textId="1820909C" w:rsidR="00FE6BCB" w:rsidRPr="00FF7558" w:rsidRDefault="00E80FDD" w:rsidP="00A2695E">
      <w:pPr>
        <w:ind w:left="360"/>
        <w:jc w:val="both"/>
        <w:rPr>
          <w:lang w:eastAsia="cs-CZ"/>
        </w:rPr>
      </w:pPr>
      <w:proofErr w:type="spellStart"/>
      <w:r>
        <w:rPr>
          <w:highlight w:val="black"/>
          <w:lang w:eastAsia="cs-CZ"/>
        </w:rPr>
        <w:t>xxxxxxxxxxx</w:t>
      </w:r>
      <w:proofErr w:type="spellEnd"/>
    </w:p>
    <w:p w14:paraId="441987CF" w14:textId="18EDF75C" w:rsidR="00FE6BCB" w:rsidRPr="00FF7558" w:rsidRDefault="00FE6BCB" w:rsidP="00A2695E">
      <w:pPr>
        <w:ind w:left="360"/>
        <w:jc w:val="both"/>
        <w:rPr>
          <w:lang w:eastAsia="cs-CZ"/>
        </w:rPr>
      </w:pPr>
      <w:r w:rsidRPr="00FF7558">
        <w:rPr>
          <w:lang w:eastAsia="cs-CZ"/>
        </w:rPr>
        <w:t>Senior Manager, smluvní a obchodní jednání</w:t>
      </w:r>
    </w:p>
    <w:p w14:paraId="7C373AF7" w14:textId="77777777" w:rsidR="00A2695E" w:rsidRPr="00FF7558" w:rsidRDefault="00A2695E" w:rsidP="00A2695E">
      <w:pPr>
        <w:ind w:left="360"/>
        <w:jc w:val="both"/>
        <w:rPr>
          <w:b/>
          <w:lang w:eastAsia="cs-CZ"/>
        </w:rPr>
      </w:pPr>
    </w:p>
    <w:p w14:paraId="227BE59F" w14:textId="38CB5CDF" w:rsidR="00FE6BCB" w:rsidRPr="00FF7558" w:rsidRDefault="00E80FDD" w:rsidP="00A2695E">
      <w:pPr>
        <w:ind w:left="360"/>
        <w:jc w:val="both"/>
        <w:rPr>
          <w:lang w:eastAsia="cs-CZ"/>
        </w:rPr>
      </w:pPr>
      <w:proofErr w:type="spellStart"/>
      <w:r>
        <w:rPr>
          <w:highlight w:val="black"/>
          <w:lang w:eastAsia="cs-CZ"/>
        </w:rPr>
        <w:t>xxxxxxxxxxx</w:t>
      </w:r>
      <w:proofErr w:type="spellEnd"/>
    </w:p>
    <w:p w14:paraId="5BBFE01D" w14:textId="2EBBA542" w:rsidR="00FE6BCB" w:rsidRPr="00FF7558" w:rsidRDefault="00E80FDD" w:rsidP="00A2695E">
      <w:pPr>
        <w:ind w:left="360"/>
        <w:jc w:val="both"/>
        <w:rPr>
          <w:lang w:eastAsia="cs-CZ"/>
        </w:rPr>
      </w:pPr>
      <w:proofErr w:type="spellStart"/>
      <w:r>
        <w:rPr>
          <w:highlight w:val="black"/>
          <w:lang w:eastAsia="cs-CZ"/>
        </w:rPr>
        <w:t>xxxxxxxxxxx</w:t>
      </w:r>
      <w:proofErr w:type="spellEnd"/>
    </w:p>
    <w:p w14:paraId="4A24492D" w14:textId="77777777" w:rsidR="00FE6BCB" w:rsidRPr="00FF7558" w:rsidRDefault="00FE6BCB" w:rsidP="00A2695E">
      <w:pPr>
        <w:ind w:left="360"/>
        <w:jc w:val="both"/>
        <w:rPr>
          <w:lang w:eastAsia="cs-CZ"/>
        </w:rPr>
      </w:pPr>
      <w:r w:rsidRPr="00FF7558">
        <w:rPr>
          <w:lang w:eastAsia="cs-CZ"/>
        </w:rPr>
        <w:t>Support Manager, koordinace poskytovaných služeb</w:t>
      </w:r>
    </w:p>
    <w:p w14:paraId="6D1821D4" w14:textId="77777777" w:rsidR="00FE6BCB" w:rsidRPr="00FF7558" w:rsidRDefault="00FE6BCB" w:rsidP="00FE6BCB">
      <w:pPr>
        <w:ind w:left="360"/>
        <w:rPr>
          <w:lang w:eastAsia="cs-CZ"/>
        </w:rPr>
      </w:pPr>
    </w:p>
    <w:p w14:paraId="372D8CC9" w14:textId="77777777" w:rsidR="00FE6BCB" w:rsidRPr="006C307A" w:rsidRDefault="00FE6BCB" w:rsidP="00FE6BCB">
      <w:pPr>
        <w:ind w:left="360"/>
        <w:rPr>
          <w:b/>
          <w:bCs/>
          <w:lang w:eastAsia="cs-CZ"/>
        </w:rPr>
      </w:pPr>
      <w:r w:rsidRPr="006C307A">
        <w:rPr>
          <w:b/>
          <w:bCs/>
          <w:lang w:eastAsia="cs-CZ"/>
        </w:rPr>
        <w:t>kontaktní osoby Zákazníka:</w:t>
      </w:r>
    </w:p>
    <w:p w14:paraId="5D414522" w14:textId="044A842C" w:rsidR="00097556" w:rsidRPr="006C307A" w:rsidRDefault="00E80FDD" w:rsidP="00097556">
      <w:pPr>
        <w:ind w:left="360"/>
        <w:jc w:val="both"/>
        <w:rPr>
          <w:lang w:eastAsia="cs-CZ"/>
        </w:rPr>
      </w:pPr>
      <w:proofErr w:type="spellStart"/>
      <w:r>
        <w:rPr>
          <w:highlight w:val="black"/>
          <w:lang w:eastAsia="cs-CZ"/>
        </w:rPr>
        <w:t>xxxxxxxxxxx</w:t>
      </w:r>
      <w:proofErr w:type="spellEnd"/>
    </w:p>
    <w:p w14:paraId="2C061194" w14:textId="5527DF00" w:rsidR="00097556" w:rsidRPr="006C307A" w:rsidRDefault="00E80FDD" w:rsidP="00097556">
      <w:pPr>
        <w:ind w:left="360"/>
        <w:jc w:val="both"/>
        <w:rPr>
          <w:lang w:eastAsia="cs-CZ"/>
        </w:rPr>
      </w:pPr>
      <w:proofErr w:type="spellStart"/>
      <w:r>
        <w:rPr>
          <w:highlight w:val="black"/>
          <w:lang w:eastAsia="cs-CZ"/>
        </w:rPr>
        <w:t>xxxxxxxxxxx</w:t>
      </w:r>
      <w:proofErr w:type="spellEnd"/>
    </w:p>
    <w:p w14:paraId="7FDD27A3" w14:textId="4744DDB9" w:rsidR="00097556" w:rsidRPr="006C307A" w:rsidRDefault="004716F4" w:rsidP="00097556">
      <w:pPr>
        <w:ind w:left="360"/>
        <w:jc w:val="both"/>
        <w:rPr>
          <w:lang w:eastAsia="cs-CZ"/>
        </w:rPr>
      </w:pPr>
      <w:r w:rsidRPr="006C307A">
        <w:rPr>
          <w:lang w:eastAsia="cs-CZ"/>
        </w:rPr>
        <w:t>Ředitel právní služby</w:t>
      </w:r>
      <w:r w:rsidR="00097556" w:rsidRPr="006C307A">
        <w:rPr>
          <w:lang w:eastAsia="cs-CZ"/>
        </w:rPr>
        <w:t>, smluvní a obchodní jednání</w:t>
      </w:r>
    </w:p>
    <w:p w14:paraId="6246A65A" w14:textId="77777777" w:rsidR="00097556" w:rsidRPr="006C307A" w:rsidRDefault="00097556" w:rsidP="00097556">
      <w:pPr>
        <w:ind w:left="360"/>
        <w:jc w:val="both"/>
        <w:rPr>
          <w:b/>
          <w:lang w:eastAsia="cs-CZ"/>
        </w:rPr>
      </w:pPr>
    </w:p>
    <w:p w14:paraId="4B68BA90" w14:textId="40082A99" w:rsidR="00097556" w:rsidRPr="006C307A" w:rsidRDefault="00E80FDD" w:rsidP="00097556">
      <w:pPr>
        <w:ind w:left="360"/>
        <w:jc w:val="both"/>
        <w:rPr>
          <w:lang w:eastAsia="cs-CZ"/>
        </w:rPr>
      </w:pPr>
      <w:proofErr w:type="spellStart"/>
      <w:r>
        <w:rPr>
          <w:highlight w:val="black"/>
          <w:lang w:eastAsia="cs-CZ"/>
        </w:rPr>
        <w:t>xxxxxxxxxxx</w:t>
      </w:r>
      <w:proofErr w:type="spellEnd"/>
    </w:p>
    <w:p w14:paraId="0BCA076C" w14:textId="41EE9134" w:rsidR="00097556" w:rsidRPr="006C307A" w:rsidRDefault="00E80FDD" w:rsidP="00097556">
      <w:pPr>
        <w:ind w:left="360"/>
        <w:jc w:val="both"/>
        <w:rPr>
          <w:lang w:eastAsia="cs-CZ"/>
        </w:rPr>
      </w:pPr>
      <w:proofErr w:type="spellStart"/>
      <w:r>
        <w:rPr>
          <w:highlight w:val="black"/>
          <w:lang w:eastAsia="cs-CZ"/>
        </w:rPr>
        <w:t>xxxxxxxxxxx</w:t>
      </w:r>
      <w:proofErr w:type="spellEnd"/>
      <w:r w:rsidR="004716F4" w:rsidRPr="006C307A">
        <w:rPr>
          <w:lang w:eastAsia="cs-CZ"/>
        </w:rPr>
        <w:t xml:space="preserve"> </w:t>
      </w:r>
    </w:p>
    <w:p w14:paraId="608B7D4B" w14:textId="1EA52C03" w:rsidR="00097556" w:rsidRPr="006C307A" w:rsidRDefault="004716F4" w:rsidP="00097556">
      <w:pPr>
        <w:ind w:left="360"/>
        <w:jc w:val="both"/>
        <w:rPr>
          <w:lang w:eastAsia="cs-CZ"/>
        </w:rPr>
      </w:pPr>
      <w:r w:rsidRPr="006C307A">
        <w:rPr>
          <w:lang w:eastAsia="cs-CZ"/>
        </w:rPr>
        <w:t>Vedoucí odboru IT projektů</w:t>
      </w:r>
      <w:r w:rsidR="00097556" w:rsidRPr="006C307A">
        <w:rPr>
          <w:lang w:eastAsia="cs-CZ"/>
        </w:rPr>
        <w:t>, koordinace poskytovaných služeb</w:t>
      </w:r>
    </w:p>
    <w:p w14:paraId="21826EA5" w14:textId="77777777" w:rsidR="00FE6BCB" w:rsidRPr="006C307A" w:rsidRDefault="00FE6BCB" w:rsidP="00FE6BCB">
      <w:pPr>
        <w:ind w:left="360"/>
        <w:rPr>
          <w:lang w:eastAsia="cs-CZ"/>
        </w:rPr>
      </w:pPr>
    </w:p>
    <w:p w14:paraId="23DB6B83" w14:textId="77777777" w:rsidR="00FE6BCB" w:rsidRPr="006C307A" w:rsidRDefault="00FE6BCB" w:rsidP="00FE6BCB">
      <w:pPr>
        <w:ind w:left="360"/>
        <w:rPr>
          <w:b/>
          <w:bCs/>
          <w:lang w:eastAsia="cs-CZ"/>
        </w:rPr>
      </w:pPr>
      <w:r w:rsidRPr="006C307A">
        <w:rPr>
          <w:b/>
          <w:bCs/>
          <w:lang w:eastAsia="cs-CZ"/>
        </w:rPr>
        <w:t>kontaktní osoby oprávněné požadovat poskytování Služeb nad rámec paušálních plateb:</w:t>
      </w:r>
    </w:p>
    <w:p w14:paraId="58AB65B5" w14:textId="476CC7AD" w:rsidR="00FC43A7" w:rsidRPr="006C307A" w:rsidRDefault="00E80FDD" w:rsidP="00FC43A7">
      <w:pPr>
        <w:ind w:left="360"/>
        <w:jc w:val="both"/>
        <w:rPr>
          <w:lang w:eastAsia="cs-CZ"/>
        </w:rPr>
      </w:pPr>
      <w:proofErr w:type="spellStart"/>
      <w:r>
        <w:rPr>
          <w:highlight w:val="black"/>
          <w:lang w:eastAsia="cs-CZ"/>
        </w:rPr>
        <w:t>xxxxxxxxxxx</w:t>
      </w:r>
      <w:proofErr w:type="spellEnd"/>
    </w:p>
    <w:p w14:paraId="4269B6A8" w14:textId="58DF95CA" w:rsidR="00FC43A7" w:rsidRPr="006C307A" w:rsidRDefault="00E80FDD" w:rsidP="00FC43A7">
      <w:pPr>
        <w:ind w:left="360"/>
        <w:jc w:val="both"/>
        <w:rPr>
          <w:lang w:eastAsia="cs-CZ"/>
        </w:rPr>
      </w:pPr>
      <w:proofErr w:type="spellStart"/>
      <w:r>
        <w:rPr>
          <w:highlight w:val="black"/>
          <w:lang w:eastAsia="cs-CZ"/>
        </w:rPr>
        <w:t>xxxxxxxxxxx</w:t>
      </w:r>
      <w:proofErr w:type="spellEnd"/>
      <w:r w:rsidR="004716F4" w:rsidRPr="006C307A">
        <w:rPr>
          <w:lang w:eastAsia="cs-CZ"/>
        </w:rPr>
        <w:t xml:space="preserve"> </w:t>
      </w:r>
    </w:p>
    <w:p w14:paraId="33B84394" w14:textId="35A42546" w:rsidR="00FE6BCB" w:rsidRPr="00FF7558" w:rsidRDefault="004716F4" w:rsidP="00FC43A7">
      <w:pPr>
        <w:ind w:left="360"/>
        <w:rPr>
          <w:lang w:eastAsia="cs-CZ"/>
        </w:rPr>
      </w:pPr>
      <w:r w:rsidRPr="006C307A">
        <w:rPr>
          <w:lang w:eastAsia="cs-CZ"/>
        </w:rPr>
        <w:t>Ředitel IT</w:t>
      </w:r>
    </w:p>
    <w:p w14:paraId="3F054714" w14:textId="77777777" w:rsidR="00FE6BCB" w:rsidRPr="00FF7558" w:rsidRDefault="00FE6BCB" w:rsidP="00FE6BCB">
      <w:pPr>
        <w:ind w:left="360"/>
        <w:rPr>
          <w:lang w:eastAsia="cs-CZ"/>
        </w:rPr>
      </w:pPr>
    </w:p>
    <w:p w14:paraId="48849A97" w14:textId="77777777" w:rsidR="00FE6BCB" w:rsidRPr="00FF7558" w:rsidRDefault="00FE6BCB" w:rsidP="00FE6BCB">
      <w:pPr>
        <w:ind w:left="360"/>
        <w:rPr>
          <w:lang w:eastAsia="cs-CZ"/>
        </w:rPr>
      </w:pPr>
    </w:p>
    <w:p w14:paraId="222B61E8" w14:textId="77777777" w:rsidR="00FE6BCB" w:rsidRPr="00FF7558" w:rsidRDefault="00FE6BCB" w:rsidP="00FE6BCB">
      <w:pPr>
        <w:ind w:left="360"/>
        <w:rPr>
          <w:lang w:eastAsia="cs-CZ"/>
        </w:rPr>
      </w:pPr>
    </w:p>
    <w:p w14:paraId="7557CCF5" w14:textId="77777777" w:rsidR="00FE6BCB" w:rsidRPr="00FF7558" w:rsidRDefault="00FE6BCB" w:rsidP="00FE6BCB">
      <w:pPr>
        <w:ind w:left="360"/>
        <w:rPr>
          <w:lang w:eastAsia="cs-CZ"/>
        </w:rPr>
      </w:pPr>
    </w:p>
    <w:p w14:paraId="445EBE60" w14:textId="77777777" w:rsidR="00FE6BCB" w:rsidRPr="00FF7558" w:rsidRDefault="00FE6BCB" w:rsidP="00FE6BCB">
      <w:pPr>
        <w:ind w:left="360"/>
        <w:rPr>
          <w:lang w:eastAsia="cs-CZ"/>
        </w:rPr>
      </w:pPr>
      <w:r w:rsidRPr="00FF7558">
        <w:rPr>
          <w:lang w:eastAsia="cs-CZ"/>
        </w:rPr>
        <w:t> </w:t>
      </w:r>
    </w:p>
    <w:p w14:paraId="48BABB5A" w14:textId="77777777" w:rsidR="00A2695E" w:rsidRPr="00FF7558" w:rsidRDefault="00A2695E">
      <w:pPr>
        <w:spacing w:before="0" w:after="160" w:line="259" w:lineRule="auto"/>
        <w:rPr>
          <w:lang w:eastAsia="cs-CZ"/>
        </w:rPr>
      </w:pPr>
      <w:r w:rsidRPr="00FF7558">
        <w:rPr>
          <w:lang w:eastAsia="cs-CZ"/>
        </w:rPr>
        <w:br w:type="page"/>
      </w:r>
    </w:p>
    <w:p w14:paraId="01BA4DF5" w14:textId="7D55340C" w:rsidR="00FE6BCB" w:rsidRPr="00FF7558" w:rsidRDefault="00FE6BCB" w:rsidP="00A2695E">
      <w:pPr>
        <w:pStyle w:val="Nzev"/>
      </w:pPr>
      <w:r w:rsidRPr="00FF7558">
        <w:lastRenderedPageBreak/>
        <w:t>Příloha č. 4</w:t>
      </w:r>
    </w:p>
    <w:p w14:paraId="634D64C0" w14:textId="77777777" w:rsidR="00FE6BCB" w:rsidRPr="00FF7558" w:rsidRDefault="00FE6BCB" w:rsidP="00A2695E">
      <w:pPr>
        <w:pStyle w:val="Nzev"/>
      </w:pPr>
      <w:r w:rsidRPr="00FF7558">
        <w:t>Specifikace Systému</w:t>
      </w:r>
    </w:p>
    <w:p w14:paraId="2B1F1529" w14:textId="24DF6B01" w:rsidR="00FE6BCB" w:rsidRPr="00FF7558" w:rsidRDefault="00FE6BCB" w:rsidP="00EB6E11">
      <w:pPr>
        <w:pStyle w:val="Nadpis1"/>
        <w:numPr>
          <w:ilvl w:val="0"/>
          <w:numId w:val="20"/>
        </w:numPr>
        <w:jc w:val="both"/>
      </w:pPr>
      <w:r w:rsidRPr="00FF7558">
        <w:t>Seznam komponent zařazených do Systému</w:t>
      </w:r>
    </w:p>
    <w:p w14:paraId="627B9697" w14:textId="7FA9D334" w:rsidR="00FE6BCB" w:rsidRPr="00FF7558" w:rsidRDefault="00FE6BCB" w:rsidP="005B26A3">
      <w:pPr>
        <w:jc w:val="both"/>
        <w:rPr>
          <w:lang w:eastAsia="cs-CZ"/>
        </w:rPr>
      </w:pPr>
      <w:r w:rsidRPr="00FF7558">
        <w:rPr>
          <w:lang w:eastAsia="cs-CZ"/>
        </w:rPr>
        <w:t>Služby jsou poskytovány pro Systém, který se skládá z následujícího Standardního software dle posledního akceptovaného dokumentu, závazně popisujícího vlastnosti Systému nebo jeho části uzavřeného mezi oběma smluvními stranami této Smlouvy:</w:t>
      </w:r>
    </w:p>
    <w:tbl>
      <w:tblPr>
        <w:tblStyle w:val="TRASK1"/>
        <w:tblW w:w="9072" w:type="dxa"/>
        <w:tblLook w:val="0480" w:firstRow="0" w:lastRow="0" w:firstColumn="1" w:lastColumn="0" w:noHBand="0" w:noVBand="1"/>
      </w:tblPr>
      <w:tblGrid>
        <w:gridCol w:w="3031"/>
        <w:gridCol w:w="6041"/>
      </w:tblGrid>
      <w:tr w:rsidR="00A2695E" w:rsidRPr="00FF7558" w14:paraId="7154FF2C" w14:textId="77777777" w:rsidTr="00FE0F63">
        <w:trPr>
          <w:trHeight w:val="124"/>
        </w:trPr>
        <w:tc>
          <w:tcPr>
            <w:cnfStyle w:val="001000000000" w:firstRow="0" w:lastRow="0" w:firstColumn="1" w:lastColumn="0" w:oddVBand="0" w:evenVBand="0" w:oddHBand="0" w:evenHBand="0" w:firstRowFirstColumn="0" w:firstRowLastColumn="0" w:lastRowFirstColumn="0" w:lastRowLastColumn="0"/>
            <w:tcW w:w="3031" w:type="dxa"/>
          </w:tcPr>
          <w:p w14:paraId="6ED901F9" w14:textId="77777777" w:rsidR="00A2695E" w:rsidRPr="00FF7558" w:rsidRDefault="00A2695E" w:rsidP="00872E4E">
            <w:pPr>
              <w:pStyle w:val="Bezmezer"/>
              <w:rPr>
                <w:b/>
              </w:rPr>
            </w:pPr>
            <w:r w:rsidRPr="00FF7558">
              <w:rPr>
                <w:b/>
              </w:rPr>
              <w:t>Typ</w:t>
            </w:r>
          </w:p>
        </w:tc>
        <w:tc>
          <w:tcPr>
            <w:tcW w:w="6041" w:type="dxa"/>
          </w:tcPr>
          <w:p w14:paraId="162DAD10" w14:textId="77777777" w:rsidR="00A2695E" w:rsidRPr="00FF7558" w:rsidRDefault="00A2695E" w:rsidP="00872E4E">
            <w:pPr>
              <w:pStyle w:val="Bezmezer"/>
              <w:jc w:val="right"/>
              <w:cnfStyle w:val="000000000000" w:firstRow="0" w:lastRow="0" w:firstColumn="0" w:lastColumn="0" w:oddVBand="0" w:evenVBand="0" w:oddHBand="0" w:evenHBand="0" w:firstRowFirstColumn="0" w:firstRowLastColumn="0" w:lastRowFirstColumn="0" w:lastRowLastColumn="0"/>
              <w:rPr>
                <w:b/>
              </w:rPr>
            </w:pPr>
            <w:r w:rsidRPr="00FF7558">
              <w:rPr>
                <w:b/>
              </w:rPr>
              <w:t>Název komponenty</w:t>
            </w:r>
          </w:p>
        </w:tc>
      </w:tr>
      <w:tr w:rsidR="00A2695E" w:rsidRPr="00FF7558" w14:paraId="4C6969AA" w14:textId="77777777" w:rsidTr="00FE0F63">
        <w:trPr>
          <w:trHeight w:val="36"/>
        </w:trPr>
        <w:tc>
          <w:tcPr>
            <w:cnfStyle w:val="001000000000" w:firstRow="0" w:lastRow="0" w:firstColumn="1" w:lastColumn="0" w:oddVBand="0" w:evenVBand="0" w:oddHBand="0" w:evenHBand="0" w:firstRowFirstColumn="0" w:firstRowLastColumn="0" w:lastRowFirstColumn="0" w:lastRowLastColumn="0"/>
            <w:tcW w:w="3031" w:type="dxa"/>
            <w:vMerge w:val="restart"/>
          </w:tcPr>
          <w:p w14:paraId="64CE3C4F" w14:textId="77777777" w:rsidR="00A2695E" w:rsidRPr="00FF7558" w:rsidRDefault="00A2695E" w:rsidP="00872E4E">
            <w:pPr>
              <w:pStyle w:val="Bezmezer"/>
            </w:pPr>
            <w:r w:rsidRPr="00FF7558">
              <w:t xml:space="preserve">Standardní software </w:t>
            </w:r>
          </w:p>
        </w:tc>
        <w:tc>
          <w:tcPr>
            <w:tcW w:w="6041" w:type="dxa"/>
            <w:vAlign w:val="top"/>
          </w:tcPr>
          <w:p w14:paraId="56EC9051" w14:textId="4133452D" w:rsidR="00A2695E" w:rsidRPr="00FF7558" w:rsidRDefault="00A2695E" w:rsidP="00872E4E">
            <w:pPr>
              <w:pStyle w:val="Bezmezer"/>
              <w:jc w:val="right"/>
              <w:cnfStyle w:val="000000000000" w:firstRow="0" w:lastRow="0" w:firstColumn="0" w:lastColumn="0" w:oddVBand="0" w:evenVBand="0" w:oddHBand="0" w:evenHBand="0" w:firstRowFirstColumn="0" w:firstRowLastColumn="0" w:lastRowFirstColumn="0" w:lastRowLastColumn="0"/>
            </w:pPr>
            <w:r w:rsidRPr="00FF7558">
              <w:t xml:space="preserve">ZenID, komponenta </w:t>
            </w:r>
            <w:r w:rsidR="00D908F4">
              <w:t>OCR</w:t>
            </w:r>
            <w:r w:rsidRPr="00FF7558">
              <w:t xml:space="preserve"> </w:t>
            </w:r>
          </w:p>
        </w:tc>
      </w:tr>
      <w:tr w:rsidR="00A2695E" w:rsidRPr="00FF7558" w14:paraId="599F9AC7" w14:textId="77777777" w:rsidTr="00FE0F63">
        <w:trPr>
          <w:trHeight w:val="36"/>
        </w:trPr>
        <w:tc>
          <w:tcPr>
            <w:cnfStyle w:val="001000000000" w:firstRow="0" w:lastRow="0" w:firstColumn="1" w:lastColumn="0" w:oddVBand="0" w:evenVBand="0" w:oddHBand="0" w:evenHBand="0" w:firstRowFirstColumn="0" w:firstRowLastColumn="0" w:lastRowFirstColumn="0" w:lastRowLastColumn="0"/>
            <w:tcW w:w="3031" w:type="dxa"/>
            <w:vMerge/>
          </w:tcPr>
          <w:p w14:paraId="03076A5D" w14:textId="77777777" w:rsidR="00A2695E" w:rsidRPr="00FF7558" w:rsidRDefault="00A2695E" w:rsidP="00872E4E">
            <w:pPr>
              <w:pStyle w:val="Bezmezer"/>
            </w:pPr>
          </w:p>
        </w:tc>
        <w:tc>
          <w:tcPr>
            <w:tcW w:w="6041" w:type="dxa"/>
            <w:vAlign w:val="top"/>
          </w:tcPr>
          <w:p w14:paraId="4E882FD3" w14:textId="1F28268D" w:rsidR="00A2695E" w:rsidRPr="00FF7558" w:rsidRDefault="00A2695E" w:rsidP="00872E4E">
            <w:pPr>
              <w:pStyle w:val="Bezmezer"/>
              <w:jc w:val="right"/>
              <w:cnfStyle w:val="000000000000" w:firstRow="0" w:lastRow="0" w:firstColumn="0" w:lastColumn="0" w:oddVBand="0" w:evenVBand="0" w:oddHBand="0" w:evenHBand="0" w:firstRowFirstColumn="0" w:firstRowLastColumn="0" w:lastRowFirstColumn="0" w:lastRowLastColumn="0"/>
            </w:pPr>
            <w:r w:rsidRPr="00FF7558">
              <w:t xml:space="preserve">ZenID, komponenta </w:t>
            </w:r>
            <w:r w:rsidR="00D908F4">
              <w:t>Censor</w:t>
            </w:r>
          </w:p>
        </w:tc>
      </w:tr>
      <w:tr w:rsidR="008D4996" w:rsidRPr="00FF7558" w14:paraId="6884403A" w14:textId="77777777" w:rsidTr="00FE0F63">
        <w:trPr>
          <w:trHeight w:val="36"/>
        </w:trPr>
        <w:tc>
          <w:tcPr>
            <w:cnfStyle w:val="001000000000" w:firstRow="0" w:lastRow="0" w:firstColumn="1" w:lastColumn="0" w:oddVBand="0" w:evenVBand="0" w:oddHBand="0" w:evenHBand="0" w:firstRowFirstColumn="0" w:firstRowLastColumn="0" w:lastRowFirstColumn="0" w:lastRowLastColumn="0"/>
            <w:tcW w:w="3031" w:type="dxa"/>
            <w:vMerge/>
          </w:tcPr>
          <w:p w14:paraId="503D93AF" w14:textId="77777777" w:rsidR="008D4996" w:rsidRPr="00FF7558" w:rsidRDefault="008D4996" w:rsidP="00872E4E">
            <w:pPr>
              <w:pStyle w:val="Bezmezer"/>
            </w:pPr>
          </w:p>
        </w:tc>
        <w:tc>
          <w:tcPr>
            <w:tcW w:w="6041" w:type="dxa"/>
            <w:vAlign w:val="top"/>
          </w:tcPr>
          <w:p w14:paraId="65577DDC" w14:textId="53A0A3B4" w:rsidR="008D4996" w:rsidRPr="00FF7558" w:rsidRDefault="008D4996" w:rsidP="00872E4E">
            <w:pPr>
              <w:pStyle w:val="Bezmezer"/>
              <w:jc w:val="right"/>
              <w:cnfStyle w:val="000000000000" w:firstRow="0" w:lastRow="0" w:firstColumn="0" w:lastColumn="0" w:oddVBand="0" w:evenVBand="0" w:oddHBand="0" w:evenHBand="0" w:firstRowFirstColumn="0" w:firstRowLastColumn="0" w:lastRowFirstColumn="0" w:lastRowLastColumn="0"/>
            </w:pPr>
            <w:proofErr w:type="spellStart"/>
            <w:r w:rsidRPr="00FF7558">
              <w:t>ZenID</w:t>
            </w:r>
            <w:proofErr w:type="spellEnd"/>
            <w:r w:rsidRPr="00FF7558">
              <w:t xml:space="preserve">, komponenta </w:t>
            </w:r>
            <w:proofErr w:type="spellStart"/>
            <w:r w:rsidRPr="00FF7558">
              <w:t>Fraud</w:t>
            </w:r>
            <w:proofErr w:type="spellEnd"/>
            <w:r w:rsidRPr="00FF7558">
              <w:t xml:space="preserve"> </w:t>
            </w:r>
            <w:proofErr w:type="spellStart"/>
            <w:r w:rsidRPr="00FF7558">
              <w:t>check</w:t>
            </w:r>
            <w:proofErr w:type="spellEnd"/>
          </w:p>
        </w:tc>
      </w:tr>
      <w:tr w:rsidR="00A2695E" w:rsidRPr="00FF7558" w14:paraId="7B604ADB" w14:textId="77777777" w:rsidTr="00FE0F63">
        <w:trPr>
          <w:trHeight w:val="36"/>
        </w:trPr>
        <w:tc>
          <w:tcPr>
            <w:cnfStyle w:val="001000000000" w:firstRow="0" w:lastRow="0" w:firstColumn="1" w:lastColumn="0" w:oddVBand="0" w:evenVBand="0" w:oddHBand="0" w:evenHBand="0" w:firstRowFirstColumn="0" w:firstRowLastColumn="0" w:lastRowFirstColumn="0" w:lastRowLastColumn="0"/>
            <w:tcW w:w="3031" w:type="dxa"/>
            <w:vMerge/>
          </w:tcPr>
          <w:p w14:paraId="5B01AF11" w14:textId="77777777" w:rsidR="00A2695E" w:rsidRPr="00FF7558" w:rsidRDefault="00A2695E" w:rsidP="00872E4E">
            <w:pPr>
              <w:pStyle w:val="Bezmezer"/>
            </w:pPr>
          </w:p>
        </w:tc>
        <w:tc>
          <w:tcPr>
            <w:tcW w:w="6041" w:type="dxa"/>
            <w:vAlign w:val="top"/>
          </w:tcPr>
          <w:p w14:paraId="6AA5F2CB" w14:textId="65793F38" w:rsidR="00A2695E" w:rsidRPr="00FF7558" w:rsidRDefault="008D4996" w:rsidP="00872E4E">
            <w:pPr>
              <w:pStyle w:val="Bezmezer"/>
              <w:jc w:val="right"/>
              <w:cnfStyle w:val="000000000000" w:firstRow="0" w:lastRow="0" w:firstColumn="0" w:lastColumn="0" w:oddVBand="0" w:evenVBand="0" w:oddHBand="0" w:evenHBand="0" w:firstRowFirstColumn="0" w:firstRowLastColumn="0" w:lastRowFirstColumn="0" w:lastRowLastColumn="0"/>
            </w:pPr>
            <w:proofErr w:type="spellStart"/>
            <w:r>
              <w:t>ZenID</w:t>
            </w:r>
            <w:proofErr w:type="spellEnd"/>
            <w:r>
              <w:t xml:space="preserve">, komponenta Face </w:t>
            </w:r>
            <w:proofErr w:type="spellStart"/>
            <w:r>
              <w:t>recognition</w:t>
            </w:r>
            <w:proofErr w:type="spellEnd"/>
          </w:p>
        </w:tc>
      </w:tr>
    </w:tbl>
    <w:p w14:paraId="20290378" w14:textId="5486ED9D" w:rsidR="00FE6BCB" w:rsidRPr="00FF7558" w:rsidRDefault="00FE6BCB" w:rsidP="00FE6BCB">
      <w:pPr>
        <w:ind w:left="360"/>
        <w:rPr>
          <w:lang w:eastAsia="cs-CZ"/>
        </w:rPr>
      </w:pPr>
      <w:r w:rsidRPr="00FF7558">
        <w:rPr>
          <w:lang w:eastAsia="cs-CZ"/>
        </w:rPr>
        <w:t>Tab. č. 1</w:t>
      </w:r>
    </w:p>
    <w:p w14:paraId="6076CEC2" w14:textId="4C87AB0A" w:rsidR="00FE6BCB" w:rsidRPr="00FF7558" w:rsidRDefault="00FE6BCB" w:rsidP="00EB6E11">
      <w:pPr>
        <w:pStyle w:val="Nadpis1"/>
        <w:numPr>
          <w:ilvl w:val="0"/>
          <w:numId w:val="20"/>
        </w:numPr>
        <w:jc w:val="both"/>
      </w:pPr>
      <w:r w:rsidRPr="00FF7558">
        <w:t>Seznam komponent vyloučených z předmětu podpory</w:t>
      </w:r>
    </w:p>
    <w:p w14:paraId="48E6E335" w14:textId="77777777" w:rsidR="00FE6BCB" w:rsidRPr="00FF7558" w:rsidRDefault="00FE6BCB" w:rsidP="005B26A3">
      <w:pPr>
        <w:jc w:val="both"/>
        <w:rPr>
          <w:lang w:eastAsia="cs-CZ"/>
        </w:rPr>
      </w:pPr>
      <w:r w:rsidRPr="00FF7558">
        <w:rPr>
          <w:lang w:eastAsia="cs-CZ"/>
        </w:rPr>
        <w:t>Všechny ostatní komponenty a infrastruktura Zákazníka, které nejsou uvedeny v Tab. č. 1, jsou z předmětu podpory vyloučeny.</w:t>
      </w:r>
    </w:p>
    <w:p w14:paraId="5CA75652" w14:textId="5CF43398" w:rsidR="00FE6BCB" w:rsidRPr="00FF7558" w:rsidRDefault="00FE6BCB" w:rsidP="00EB6E11">
      <w:pPr>
        <w:pStyle w:val="Nadpis1"/>
        <w:numPr>
          <w:ilvl w:val="0"/>
          <w:numId w:val="20"/>
        </w:numPr>
        <w:jc w:val="both"/>
      </w:pPr>
      <w:r w:rsidRPr="00FF7558">
        <w:t>Seznam vyloučených servisních služeb</w:t>
      </w:r>
    </w:p>
    <w:p w14:paraId="1AA7817A" w14:textId="77777777" w:rsidR="00FE6BCB" w:rsidRPr="00FF7558" w:rsidRDefault="00FE6BCB" w:rsidP="005B26A3">
      <w:pPr>
        <w:jc w:val="both"/>
        <w:rPr>
          <w:lang w:eastAsia="cs-CZ"/>
        </w:rPr>
      </w:pPr>
      <w:r w:rsidRPr="00FF7558">
        <w:rPr>
          <w:lang w:eastAsia="cs-CZ"/>
        </w:rPr>
        <w:t>Součástí servisních služeb nejsou incidenty, které ovlivňují předmět podpory a jsou zároveň způsobeny:</w:t>
      </w:r>
    </w:p>
    <w:p w14:paraId="271ED833" w14:textId="1892B1A4" w:rsidR="00FE6BCB" w:rsidRPr="00FF7558" w:rsidRDefault="00FE6BCB" w:rsidP="005B26A3">
      <w:pPr>
        <w:pStyle w:val="Odstavecseseznamem"/>
        <w:numPr>
          <w:ilvl w:val="0"/>
          <w:numId w:val="10"/>
        </w:numPr>
        <w:jc w:val="both"/>
        <w:rPr>
          <w:lang w:eastAsia="cs-CZ"/>
        </w:rPr>
      </w:pPr>
      <w:r w:rsidRPr="00FF7558">
        <w:rPr>
          <w:lang w:eastAsia="cs-CZ"/>
        </w:rPr>
        <w:t>Neodborným zásahem Zákazníka nebo třetí strany (přímým nebo nepřímým) do dodaného Systému</w:t>
      </w:r>
    </w:p>
    <w:p w14:paraId="6558DCD0" w14:textId="2A142B32" w:rsidR="00FE6BCB" w:rsidRPr="00FF7558" w:rsidRDefault="00FE6BCB" w:rsidP="005B26A3">
      <w:pPr>
        <w:pStyle w:val="Odstavecseseznamem"/>
        <w:numPr>
          <w:ilvl w:val="0"/>
          <w:numId w:val="10"/>
        </w:numPr>
        <w:jc w:val="both"/>
        <w:rPr>
          <w:lang w:eastAsia="cs-CZ"/>
        </w:rPr>
      </w:pPr>
      <w:r w:rsidRPr="00FF7558">
        <w:rPr>
          <w:lang w:eastAsia="cs-CZ"/>
        </w:rPr>
        <w:t>Nedodržením standardních postupů při provozu a správě Systému</w:t>
      </w:r>
    </w:p>
    <w:p w14:paraId="1D1C11EC" w14:textId="75E837A2" w:rsidR="00FE6BCB" w:rsidRPr="00FF7558" w:rsidRDefault="00FE6BCB" w:rsidP="005B26A3">
      <w:pPr>
        <w:pStyle w:val="Odstavecseseznamem"/>
        <w:numPr>
          <w:ilvl w:val="0"/>
          <w:numId w:val="10"/>
        </w:numPr>
        <w:jc w:val="both"/>
        <w:rPr>
          <w:lang w:eastAsia="cs-CZ"/>
        </w:rPr>
      </w:pPr>
      <w:r w:rsidRPr="00FF7558">
        <w:rPr>
          <w:lang w:eastAsia="cs-CZ"/>
        </w:rPr>
        <w:t>Nedostupností:</w:t>
      </w:r>
    </w:p>
    <w:p w14:paraId="58E855F6" w14:textId="08A19B06" w:rsidR="00FE6BCB" w:rsidRPr="00FF7558" w:rsidRDefault="00FE6BCB" w:rsidP="00EB6E11">
      <w:pPr>
        <w:pStyle w:val="Odstavecseseznamem"/>
        <w:numPr>
          <w:ilvl w:val="0"/>
          <w:numId w:val="13"/>
        </w:numPr>
        <w:rPr>
          <w:lang w:eastAsia="cs-CZ"/>
        </w:rPr>
      </w:pPr>
      <w:r w:rsidRPr="00FF7558">
        <w:rPr>
          <w:lang w:eastAsia="cs-CZ"/>
        </w:rPr>
        <w:t>Hardwarových komponent</w:t>
      </w:r>
    </w:p>
    <w:p w14:paraId="6436A64A" w14:textId="64969B48" w:rsidR="00FE6BCB" w:rsidRPr="00FF7558" w:rsidRDefault="00FE6BCB" w:rsidP="00EB6E11">
      <w:pPr>
        <w:pStyle w:val="Odstavecseseznamem"/>
        <w:numPr>
          <w:ilvl w:val="0"/>
          <w:numId w:val="13"/>
        </w:numPr>
        <w:rPr>
          <w:lang w:eastAsia="cs-CZ"/>
        </w:rPr>
      </w:pPr>
      <w:r w:rsidRPr="00FF7558">
        <w:rPr>
          <w:lang w:eastAsia="cs-CZ"/>
        </w:rPr>
        <w:t>ostatních softwarových komponent neuvedených v Tab. č. 1, ale nutných pro chod Systému, např. operační systém</w:t>
      </w:r>
    </w:p>
    <w:p w14:paraId="1F96629D" w14:textId="2DC66EE0" w:rsidR="00FE6BCB" w:rsidRPr="00FF7558" w:rsidRDefault="00FE6BCB" w:rsidP="00EB6E11">
      <w:pPr>
        <w:pStyle w:val="Odstavecseseznamem"/>
        <w:numPr>
          <w:ilvl w:val="0"/>
          <w:numId w:val="13"/>
        </w:numPr>
        <w:rPr>
          <w:lang w:eastAsia="cs-CZ"/>
        </w:rPr>
      </w:pPr>
      <w:r w:rsidRPr="00FF7558">
        <w:rPr>
          <w:lang w:eastAsia="cs-CZ"/>
        </w:rPr>
        <w:t>Síťových komponent a konfigurací</w:t>
      </w:r>
    </w:p>
    <w:p w14:paraId="6751F2EE" w14:textId="552AAACD" w:rsidR="00FE6BCB" w:rsidRPr="00FF7558" w:rsidRDefault="00FE6BCB" w:rsidP="00EB6E11">
      <w:pPr>
        <w:pStyle w:val="Odstavecseseznamem"/>
        <w:numPr>
          <w:ilvl w:val="0"/>
          <w:numId w:val="13"/>
        </w:numPr>
        <w:rPr>
          <w:lang w:eastAsia="cs-CZ"/>
        </w:rPr>
      </w:pPr>
      <w:r w:rsidRPr="00FF7558">
        <w:rPr>
          <w:lang w:eastAsia="cs-CZ"/>
        </w:rPr>
        <w:t>Růstem počtu přístupů nad rámec limitů definovaných v odsouhlasené dokumentaci</w:t>
      </w:r>
    </w:p>
    <w:p w14:paraId="4DE182C1" w14:textId="4FB56B4A" w:rsidR="00FE6BCB" w:rsidRPr="00FF7558" w:rsidRDefault="00FE6BCB" w:rsidP="00EB6E11">
      <w:pPr>
        <w:pStyle w:val="Odstavecseseznamem"/>
        <w:numPr>
          <w:ilvl w:val="0"/>
          <w:numId w:val="13"/>
        </w:numPr>
        <w:rPr>
          <w:lang w:eastAsia="cs-CZ"/>
        </w:rPr>
      </w:pPr>
      <w:r w:rsidRPr="00FF7558">
        <w:rPr>
          <w:lang w:eastAsia="cs-CZ"/>
        </w:rPr>
        <w:t xml:space="preserve">Nezajištěním aktuálnosti prostředí spravovaného Zákazníkem </w:t>
      </w:r>
    </w:p>
    <w:p w14:paraId="5F620E56" w14:textId="0D46067C" w:rsidR="00FE6BCB" w:rsidRPr="00FF7558" w:rsidRDefault="00FE6BCB" w:rsidP="005B26A3">
      <w:pPr>
        <w:pStyle w:val="Odstavecseseznamem"/>
        <w:numPr>
          <w:ilvl w:val="0"/>
          <w:numId w:val="10"/>
        </w:numPr>
        <w:jc w:val="both"/>
        <w:rPr>
          <w:lang w:eastAsia="cs-CZ"/>
        </w:rPr>
      </w:pPr>
      <w:r w:rsidRPr="00FF7558">
        <w:rPr>
          <w:lang w:eastAsia="cs-CZ"/>
        </w:rPr>
        <w:t>Datovými přenosy – Poskytovatel podporuje pouze činnosti spojené s čtením/ukládáním dat z/do databáze z pohledu dodávaného Systému. Vlastní přenosy dat, správu a údržbu podpůrných (přenosových) tabulek a databázových procedur si zajišťuje Zákazník.</w:t>
      </w:r>
    </w:p>
    <w:p w14:paraId="4FCCEC7B" w14:textId="30A57ABA" w:rsidR="00FE6BCB" w:rsidRPr="00FF7558" w:rsidRDefault="00FE6BCB" w:rsidP="005B26A3">
      <w:pPr>
        <w:pStyle w:val="Odstavecseseznamem"/>
        <w:numPr>
          <w:ilvl w:val="0"/>
          <w:numId w:val="10"/>
        </w:numPr>
        <w:jc w:val="both"/>
        <w:rPr>
          <w:lang w:eastAsia="cs-CZ"/>
        </w:rPr>
      </w:pPr>
      <w:r w:rsidRPr="00FF7558">
        <w:rPr>
          <w:lang w:eastAsia="cs-CZ"/>
        </w:rPr>
        <w:t>Nasazením nových verzí Standardního software na produkční prostředí bez provedení a bez schválení výsledků testů v akceptačním prostředí na straně Zákazníka a zároveň bez předání akceptačních test a use cases Poskytovateli</w:t>
      </w:r>
    </w:p>
    <w:p w14:paraId="2266024D" w14:textId="5FC32467" w:rsidR="00FE6BCB" w:rsidRPr="00FF7558" w:rsidRDefault="00FE6BCB" w:rsidP="005B26A3">
      <w:pPr>
        <w:pStyle w:val="Odstavecseseznamem"/>
        <w:numPr>
          <w:ilvl w:val="0"/>
          <w:numId w:val="10"/>
        </w:numPr>
        <w:jc w:val="both"/>
        <w:rPr>
          <w:lang w:eastAsia="cs-CZ"/>
        </w:rPr>
      </w:pPr>
      <w:r w:rsidRPr="00FF7558">
        <w:rPr>
          <w:lang w:eastAsia="cs-CZ"/>
        </w:rPr>
        <w:lastRenderedPageBreak/>
        <w:t>Nezajištěním podporované verze Standardního software uvedeného v Tab. č. 1 definované výrobcem v rámci životního cyklu Standardního software v produkčním a akceptačním prostředí spravovaného Zákazníkem</w:t>
      </w:r>
    </w:p>
    <w:p w14:paraId="3E72F7C0" w14:textId="77777777" w:rsidR="00FE6BCB" w:rsidRPr="00FF7558" w:rsidRDefault="00FE6BCB" w:rsidP="005B26A3">
      <w:pPr>
        <w:jc w:val="both"/>
        <w:rPr>
          <w:lang w:eastAsia="cs-CZ"/>
        </w:rPr>
      </w:pPr>
      <w:r w:rsidRPr="00FF7558">
        <w:rPr>
          <w:lang w:eastAsia="cs-CZ"/>
        </w:rPr>
        <w:t>Součástí servisních služeb nejsou následující servisní činnosti:</w:t>
      </w:r>
    </w:p>
    <w:p w14:paraId="5B9747EE" w14:textId="76D79762" w:rsidR="00FE6BCB" w:rsidRPr="00FF7558" w:rsidRDefault="00FE6BCB" w:rsidP="005B26A3">
      <w:pPr>
        <w:pStyle w:val="Odstavecseseznamem"/>
        <w:numPr>
          <w:ilvl w:val="0"/>
          <w:numId w:val="10"/>
        </w:numPr>
        <w:jc w:val="both"/>
        <w:rPr>
          <w:lang w:eastAsia="cs-CZ"/>
        </w:rPr>
      </w:pPr>
      <w:r w:rsidRPr="00FF7558">
        <w:rPr>
          <w:lang w:eastAsia="cs-CZ"/>
        </w:rPr>
        <w:t>Zálohování datového obsahu aplikace</w:t>
      </w:r>
    </w:p>
    <w:p w14:paraId="55AF64BA" w14:textId="33AFAA1A" w:rsidR="00FE6BCB" w:rsidRPr="00FF7558" w:rsidRDefault="00FE6BCB" w:rsidP="005B26A3">
      <w:pPr>
        <w:pStyle w:val="Odstavecseseznamem"/>
        <w:numPr>
          <w:ilvl w:val="0"/>
          <w:numId w:val="10"/>
        </w:numPr>
        <w:jc w:val="both"/>
        <w:rPr>
          <w:lang w:eastAsia="cs-CZ"/>
        </w:rPr>
      </w:pPr>
      <w:r w:rsidRPr="00FF7558">
        <w:rPr>
          <w:lang w:eastAsia="cs-CZ"/>
        </w:rPr>
        <w:t>Archivace datového obsahu aplikace</w:t>
      </w:r>
    </w:p>
    <w:p w14:paraId="44B829A8" w14:textId="07FE3ECF" w:rsidR="00FE6BCB" w:rsidRPr="00FF7558" w:rsidRDefault="00FE6BCB" w:rsidP="005B26A3">
      <w:pPr>
        <w:pStyle w:val="Odstavecseseznamem"/>
        <w:numPr>
          <w:ilvl w:val="0"/>
          <w:numId w:val="10"/>
        </w:numPr>
        <w:jc w:val="both"/>
        <w:rPr>
          <w:lang w:eastAsia="cs-CZ"/>
        </w:rPr>
      </w:pPr>
      <w:r w:rsidRPr="00FF7558">
        <w:rPr>
          <w:lang w:eastAsia="cs-CZ"/>
        </w:rPr>
        <w:t>Obnova datového obsahu aplikace ze záloh</w:t>
      </w:r>
    </w:p>
    <w:p w14:paraId="6822F60F" w14:textId="0F569913" w:rsidR="00FE6BCB" w:rsidRPr="00FF7558" w:rsidRDefault="00FE6BCB" w:rsidP="005B26A3">
      <w:pPr>
        <w:pStyle w:val="Odstavecseseznamem"/>
        <w:numPr>
          <w:ilvl w:val="0"/>
          <w:numId w:val="10"/>
        </w:numPr>
        <w:jc w:val="both"/>
        <w:rPr>
          <w:lang w:eastAsia="cs-CZ"/>
        </w:rPr>
      </w:pPr>
      <w:r w:rsidRPr="00FF7558">
        <w:rPr>
          <w:lang w:eastAsia="cs-CZ"/>
        </w:rPr>
        <w:t>Patchování Standardního software</w:t>
      </w:r>
    </w:p>
    <w:p w14:paraId="20468A19" w14:textId="5ECFDFAB" w:rsidR="00FE6BCB" w:rsidRPr="00FF7558" w:rsidRDefault="00FE6BCB" w:rsidP="005B26A3">
      <w:pPr>
        <w:pStyle w:val="Odstavecseseznamem"/>
        <w:numPr>
          <w:ilvl w:val="0"/>
          <w:numId w:val="10"/>
        </w:numPr>
        <w:jc w:val="both"/>
        <w:rPr>
          <w:lang w:eastAsia="cs-CZ"/>
        </w:rPr>
      </w:pPr>
      <w:r w:rsidRPr="00FF7558">
        <w:rPr>
          <w:lang w:eastAsia="cs-CZ"/>
        </w:rPr>
        <w:t>Upgrade Standardního software</w:t>
      </w:r>
    </w:p>
    <w:p w14:paraId="4D2CA318" w14:textId="722DF464" w:rsidR="00FE6BCB" w:rsidRPr="00FF7558" w:rsidRDefault="00FE6BCB" w:rsidP="00EB6E11">
      <w:pPr>
        <w:pStyle w:val="Nadpis1"/>
        <w:numPr>
          <w:ilvl w:val="0"/>
          <w:numId w:val="20"/>
        </w:numPr>
        <w:jc w:val="both"/>
      </w:pPr>
      <w:r w:rsidRPr="00FF7558">
        <w:t>Podporované prostředí</w:t>
      </w:r>
    </w:p>
    <w:p w14:paraId="0A9002F2" w14:textId="00F39FF8" w:rsidR="00FE6BCB" w:rsidRPr="00FF7558" w:rsidRDefault="00FE6BCB" w:rsidP="005B26A3">
      <w:pPr>
        <w:jc w:val="both"/>
        <w:rPr>
          <w:lang w:eastAsia="cs-CZ"/>
        </w:rPr>
      </w:pPr>
      <w:r w:rsidRPr="00FF7558">
        <w:rPr>
          <w:lang w:eastAsia="cs-CZ"/>
        </w:rPr>
        <w:t>Služby jsou poskytovány pro produkční prostředí.</w:t>
      </w:r>
    </w:p>
    <w:p w14:paraId="51CDA1BB" w14:textId="2BE3506F" w:rsidR="00FE6BCB" w:rsidRPr="00FF7558" w:rsidRDefault="00FE6BCB" w:rsidP="00EB6E11">
      <w:pPr>
        <w:pStyle w:val="Nadpis1"/>
        <w:numPr>
          <w:ilvl w:val="0"/>
          <w:numId w:val="20"/>
        </w:numPr>
        <w:jc w:val="both"/>
      </w:pPr>
      <w:r w:rsidRPr="00FF7558">
        <w:t xml:space="preserve">Provozní odpovědnosti stran při provádění Služeb </w:t>
      </w:r>
    </w:p>
    <w:p w14:paraId="58C25607" w14:textId="4582B8B3" w:rsidR="00FE6BCB" w:rsidRPr="00FF7558" w:rsidRDefault="00FE6BCB" w:rsidP="005B26A3">
      <w:pPr>
        <w:jc w:val="both"/>
        <w:rPr>
          <w:lang w:eastAsia="cs-CZ"/>
        </w:rPr>
      </w:pPr>
      <w:r w:rsidRPr="00FF7558">
        <w:rPr>
          <w:lang w:eastAsia="cs-CZ"/>
        </w:rPr>
        <w:t>Tabulka rozdělení provozních odpovědností smluvních stran:</w:t>
      </w:r>
    </w:p>
    <w:tbl>
      <w:tblPr>
        <w:tblStyle w:val="TRASK1"/>
        <w:tblW w:w="9124" w:type="dxa"/>
        <w:tblCellMar>
          <w:top w:w="57" w:type="dxa"/>
          <w:bottom w:w="57" w:type="dxa"/>
        </w:tblCellMar>
        <w:tblLook w:val="04A0" w:firstRow="1" w:lastRow="0" w:firstColumn="1" w:lastColumn="0" w:noHBand="0" w:noVBand="1"/>
      </w:tblPr>
      <w:tblGrid>
        <w:gridCol w:w="2888"/>
        <w:gridCol w:w="222"/>
        <w:gridCol w:w="2896"/>
        <w:gridCol w:w="222"/>
        <w:gridCol w:w="2896"/>
      </w:tblGrid>
      <w:tr w:rsidR="00072410" w:rsidRPr="00FF7558" w14:paraId="743ABDE8" w14:textId="77777777" w:rsidTr="005B26A3">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904" w:type="dxa"/>
            <w:tcBorders>
              <w:top w:val="single" w:sz="24" w:space="0" w:color="44546A" w:themeColor="text2"/>
              <w:bottom w:val="single" w:sz="24" w:space="0" w:color="44546A" w:themeColor="text2"/>
            </w:tcBorders>
          </w:tcPr>
          <w:p w14:paraId="76A9E52A" w14:textId="77777777" w:rsidR="00072410" w:rsidRPr="00FF7558" w:rsidRDefault="00072410" w:rsidP="00337D77">
            <w:pPr>
              <w:spacing w:line="240" w:lineRule="auto"/>
              <w:rPr>
                <w:rFonts w:ascii="Roboto Black" w:hAnsi="Roboto Black"/>
                <w:color w:val="44546A" w:themeColor="text2"/>
                <w:szCs w:val="20"/>
              </w:rPr>
            </w:pPr>
            <w:r w:rsidRPr="00FF7558">
              <w:rPr>
                <w:rFonts w:ascii="Roboto Black" w:hAnsi="Roboto Black"/>
                <w:color w:val="44546A" w:themeColor="text2"/>
                <w:szCs w:val="20"/>
              </w:rPr>
              <w:t>Typ</w:t>
            </w:r>
          </w:p>
        </w:tc>
        <w:tc>
          <w:tcPr>
            <w:tcW w:w="206" w:type="dxa"/>
            <w:tcBorders>
              <w:top w:val="nil"/>
            </w:tcBorders>
          </w:tcPr>
          <w:p w14:paraId="6EC9824D" w14:textId="77777777" w:rsidR="00072410" w:rsidRPr="00FF7558" w:rsidRDefault="00072410"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p>
        </w:tc>
        <w:tc>
          <w:tcPr>
            <w:tcW w:w="2904" w:type="dxa"/>
            <w:tcBorders>
              <w:top w:val="single" w:sz="24" w:space="0" w:color="44546A" w:themeColor="text2"/>
              <w:bottom w:val="single" w:sz="24" w:space="0" w:color="44546A" w:themeColor="text2"/>
            </w:tcBorders>
          </w:tcPr>
          <w:p w14:paraId="4398C287" w14:textId="77777777" w:rsidR="00072410" w:rsidRPr="00FF7558" w:rsidRDefault="00072410"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r w:rsidRPr="00FF7558">
              <w:rPr>
                <w:rFonts w:ascii="Roboto Black" w:hAnsi="Roboto Black"/>
                <w:color w:val="44546A" w:themeColor="text2"/>
                <w:szCs w:val="20"/>
              </w:rPr>
              <w:t>Zákazník odpovídá za</w:t>
            </w:r>
          </w:p>
        </w:tc>
        <w:tc>
          <w:tcPr>
            <w:tcW w:w="206" w:type="dxa"/>
            <w:tcBorders>
              <w:top w:val="nil"/>
            </w:tcBorders>
          </w:tcPr>
          <w:p w14:paraId="566B86F0" w14:textId="77777777" w:rsidR="00072410" w:rsidRPr="00FF7558" w:rsidRDefault="00072410"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p>
        </w:tc>
        <w:tc>
          <w:tcPr>
            <w:tcW w:w="2904" w:type="dxa"/>
            <w:tcBorders>
              <w:top w:val="single" w:sz="24" w:space="0" w:color="44546A" w:themeColor="text2"/>
              <w:bottom w:val="single" w:sz="24" w:space="0" w:color="44546A" w:themeColor="text2"/>
            </w:tcBorders>
          </w:tcPr>
          <w:p w14:paraId="7624937B" w14:textId="77777777" w:rsidR="00072410" w:rsidRPr="00FF7558" w:rsidRDefault="00072410"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r w:rsidRPr="00FF7558">
              <w:rPr>
                <w:rFonts w:ascii="Roboto Black" w:hAnsi="Roboto Black"/>
                <w:color w:val="44546A" w:themeColor="text2"/>
                <w:szCs w:val="20"/>
              </w:rPr>
              <w:t>Poskytovatel odpovídá za</w:t>
            </w:r>
          </w:p>
        </w:tc>
      </w:tr>
      <w:tr w:rsidR="00072410" w:rsidRPr="00FF7558" w14:paraId="4B604443" w14:textId="77777777" w:rsidTr="005B26A3">
        <w:trPr>
          <w:trHeight w:val="18"/>
        </w:trPr>
        <w:tc>
          <w:tcPr>
            <w:cnfStyle w:val="001000000000" w:firstRow="0" w:lastRow="0" w:firstColumn="1" w:lastColumn="0" w:oddVBand="0" w:evenVBand="0" w:oddHBand="0" w:evenHBand="0" w:firstRowFirstColumn="0" w:firstRowLastColumn="0" w:lastRowFirstColumn="0" w:lastRowLastColumn="0"/>
            <w:tcW w:w="2904" w:type="dxa"/>
            <w:tcBorders>
              <w:top w:val="single" w:sz="24" w:space="0" w:color="44546A" w:themeColor="text2"/>
              <w:bottom w:val="single" w:sz="8" w:space="0" w:color="E7E6E6" w:themeColor="background2"/>
            </w:tcBorders>
          </w:tcPr>
          <w:p w14:paraId="0C946099" w14:textId="77777777" w:rsidR="00072410" w:rsidRPr="00FF7558" w:rsidRDefault="00072410" w:rsidP="005B26A3">
            <w:pPr>
              <w:spacing w:before="0" w:line="240" w:lineRule="auto"/>
              <w:rPr>
                <w:sz w:val="4"/>
                <w:szCs w:val="4"/>
              </w:rPr>
            </w:pPr>
          </w:p>
        </w:tc>
        <w:tc>
          <w:tcPr>
            <w:tcW w:w="206" w:type="dxa"/>
            <w:tcBorders>
              <w:top w:val="nil"/>
              <w:bottom w:val="nil"/>
            </w:tcBorders>
          </w:tcPr>
          <w:p w14:paraId="334A960A"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2904" w:type="dxa"/>
            <w:tcBorders>
              <w:top w:val="single" w:sz="24" w:space="0" w:color="44546A" w:themeColor="text2"/>
              <w:bottom w:val="single" w:sz="8" w:space="0" w:color="E7E6E6" w:themeColor="background2"/>
            </w:tcBorders>
          </w:tcPr>
          <w:p w14:paraId="4F6AC9E9"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206" w:type="dxa"/>
            <w:tcBorders>
              <w:top w:val="nil"/>
              <w:bottom w:val="nil"/>
            </w:tcBorders>
          </w:tcPr>
          <w:p w14:paraId="4ED0C609"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2904" w:type="dxa"/>
            <w:tcBorders>
              <w:top w:val="single" w:sz="24" w:space="0" w:color="44546A" w:themeColor="text2"/>
              <w:bottom w:val="single" w:sz="8" w:space="0" w:color="E7E6E6" w:themeColor="background2"/>
            </w:tcBorders>
          </w:tcPr>
          <w:p w14:paraId="3A4A31AB"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r>
      <w:tr w:rsidR="00072410" w:rsidRPr="00FF7558" w14:paraId="1F37F156" w14:textId="77777777" w:rsidTr="005B26A3">
        <w:trPr>
          <w:trHeight w:val="2536"/>
        </w:trPr>
        <w:tc>
          <w:tcPr>
            <w:cnfStyle w:val="001000000000" w:firstRow="0" w:lastRow="0" w:firstColumn="1" w:lastColumn="0" w:oddVBand="0" w:evenVBand="0" w:oddHBand="0" w:evenHBand="0" w:firstRowFirstColumn="0" w:firstRowLastColumn="0" w:lastRowFirstColumn="0" w:lastRowLastColumn="0"/>
            <w:tcW w:w="290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4727A1B2" w14:textId="77777777" w:rsidR="00072410" w:rsidRPr="00FF7558" w:rsidRDefault="00072410" w:rsidP="00337D77">
            <w:pPr>
              <w:pStyle w:val="Odstavecseseznamem"/>
              <w:spacing w:line="240" w:lineRule="auto"/>
              <w:ind w:left="284"/>
            </w:pPr>
            <w:r w:rsidRPr="00FF7558">
              <w:t>Softwarová aplikace</w:t>
            </w:r>
          </w:p>
        </w:tc>
        <w:tc>
          <w:tcPr>
            <w:tcW w:w="206" w:type="dxa"/>
            <w:tcBorders>
              <w:top w:val="nil"/>
              <w:left w:val="single" w:sz="8" w:space="0" w:color="E7E6E6" w:themeColor="background2"/>
              <w:bottom w:val="nil"/>
              <w:right w:val="single" w:sz="8" w:space="0" w:color="E7E6E6" w:themeColor="background2"/>
            </w:tcBorders>
            <w:vAlign w:val="top"/>
          </w:tcPr>
          <w:p w14:paraId="5672FDF5" w14:textId="77777777" w:rsidR="00072410" w:rsidRPr="00FF7558" w:rsidRDefault="00072410" w:rsidP="00337D77">
            <w:pPr>
              <w:cnfStyle w:val="000000000000" w:firstRow="0" w:lastRow="0" w:firstColumn="0" w:lastColumn="0" w:oddVBand="0" w:evenVBand="0" w:oddHBand="0" w:evenHBand="0" w:firstRowFirstColumn="0" w:firstRowLastColumn="0" w:lastRowFirstColumn="0" w:lastRowLastColumn="0"/>
            </w:pPr>
          </w:p>
        </w:tc>
        <w:tc>
          <w:tcPr>
            <w:tcW w:w="290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1485871C"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správu a provoz aplikace</w:t>
            </w:r>
          </w:p>
          <w:p w14:paraId="619CEE40"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realizaci zásahů k zajištění provozuschopnosti aplikace</w:t>
            </w:r>
          </w:p>
          <w:p w14:paraId="5C6CE61D"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datový obsah aplikace, jeho konzistenci</w:t>
            </w:r>
          </w:p>
          <w:p w14:paraId="58C4D0B5"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úvodní diagnostiku stavu aplikace v případě vzniku incidentu</w:t>
            </w:r>
          </w:p>
          <w:p w14:paraId="1187985B"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nasazování nových verzí/</w:t>
            </w:r>
            <w:proofErr w:type="spellStart"/>
            <w:r w:rsidRPr="00FF7558">
              <w:t>bugfixů</w:t>
            </w:r>
            <w:proofErr w:type="spellEnd"/>
            <w:r w:rsidRPr="00FF7558">
              <w:t xml:space="preserve"> aplikace do produkčního prostředí (seznam uvolněných oprav je evidován v Portálu podpory)</w:t>
            </w:r>
          </w:p>
          <w:p w14:paraId="19ECA46B"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klasifikaci a kategorizaci:</w:t>
            </w:r>
          </w:p>
          <w:p w14:paraId="266C49AE" w14:textId="77777777" w:rsidR="00072410" w:rsidRPr="00FF7558" w:rsidRDefault="00072410" w:rsidP="00337D77">
            <w:pPr>
              <w:pStyle w:val="Odstavecseseznamem"/>
              <w:spacing w:line="240" w:lineRule="auto"/>
              <w:ind w:left="284"/>
              <w:cnfStyle w:val="000000000000" w:firstRow="0" w:lastRow="0" w:firstColumn="0" w:lastColumn="0" w:oddVBand="0" w:evenVBand="0" w:oddHBand="0" w:evenHBand="0" w:firstRowFirstColumn="0" w:firstRowLastColumn="0" w:lastRowFirstColumn="0" w:lastRowLastColumn="0"/>
            </w:pPr>
            <w:r w:rsidRPr="00FF7558">
              <w:t>dopad</w:t>
            </w:r>
          </w:p>
          <w:p w14:paraId="23536384" w14:textId="77777777" w:rsidR="00072410" w:rsidRPr="00FF7558" w:rsidRDefault="00072410" w:rsidP="00337D77">
            <w:pPr>
              <w:pStyle w:val="Odstavecseseznamem"/>
              <w:spacing w:line="240" w:lineRule="auto"/>
              <w:ind w:left="284"/>
              <w:cnfStyle w:val="000000000000" w:firstRow="0" w:lastRow="0" w:firstColumn="0" w:lastColumn="0" w:oddVBand="0" w:evenVBand="0" w:oddHBand="0" w:evenHBand="0" w:firstRowFirstColumn="0" w:firstRowLastColumn="0" w:lastRowFirstColumn="0" w:lastRowLastColumn="0"/>
            </w:pPr>
            <w:r w:rsidRPr="00FF7558">
              <w:t>kritičnost</w:t>
            </w:r>
          </w:p>
        </w:tc>
        <w:tc>
          <w:tcPr>
            <w:tcW w:w="206" w:type="dxa"/>
            <w:tcBorders>
              <w:top w:val="nil"/>
              <w:left w:val="single" w:sz="8" w:space="0" w:color="E7E6E6" w:themeColor="background2"/>
              <w:bottom w:val="nil"/>
              <w:right w:val="single" w:sz="8" w:space="0" w:color="E7E6E6" w:themeColor="background2"/>
            </w:tcBorders>
            <w:vAlign w:val="top"/>
          </w:tcPr>
          <w:p w14:paraId="511D877C" w14:textId="77777777" w:rsidR="00072410" w:rsidRPr="00FF7558" w:rsidRDefault="00072410" w:rsidP="00337D77">
            <w:pPr>
              <w:cnfStyle w:val="000000000000" w:firstRow="0" w:lastRow="0" w:firstColumn="0" w:lastColumn="0" w:oddVBand="0" w:evenVBand="0" w:oddHBand="0" w:evenHBand="0" w:firstRowFirstColumn="0" w:firstRowLastColumn="0" w:lastRowFirstColumn="0" w:lastRowLastColumn="0"/>
            </w:pPr>
          </w:p>
        </w:tc>
        <w:tc>
          <w:tcPr>
            <w:tcW w:w="290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74E3734A"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návrh opatření k zajištění provozuschopnosti aplikace,</w:t>
            </w:r>
          </w:p>
          <w:p w14:paraId="54CAD684"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dodání instalačních balíků společně s </w:t>
            </w:r>
            <w:proofErr w:type="spellStart"/>
            <w:r w:rsidRPr="00FF7558">
              <w:t>release</w:t>
            </w:r>
            <w:proofErr w:type="spellEnd"/>
            <w:r w:rsidRPr="00FF7558">
              <w:t xml:space="preserve"> notes a postupem instalace, resp. také s dodatkem k dokumentaci k aplikaci,</w:t>
            </w:r>
          </w:p>
          <w:p w14:paraId="049470E1"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správu a udržování aktuální dokumentace k aplikaci,</w:t>
            </w:r>
          </w:p>
          <w:p w14:paraId="4DBB22EE"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pPr>
          </w:p>
        </w:tc>
      </w:tr>
    </w:tbl>
    <w:p w14:paraId="42F486AA" w14:textId="77777777" w:rsidR="00072410" w:rsidRPr="00FF7558" w:rsidRDefault="00072410" w:rsidP="00FE6BCB">
      <w:pPr>
        <w:ind w:left="360"/>
        <w:rPr>
          <w:lang w:eastAsia="cs-CZ"/>
        </w:rPr>
      </w:pPr>
    </w:p>
    <w:p w14:paraId="326B353E" w14:textId="77777777" w:rsidR="00FE6BCB" w:rsidRPr="00FF7558" w:rsidRDefault="00FE6BCB" w:rsidP="00FE6BCB">
      <w:pPr>
        <w:ind w:left="360"/>
        <w:rPr>
          <w:lang w:eastAsia="cs-CZ"/>
        </w:rPr>
      </w:pPr>
    </w:p>
    <w:tbl>
      <w:tblPr>
        <w:tblStyle w:val="TRASK1"/>
        <w:tblW w:w="9106" w:type="dxa"/>
        <w:tblCellMar>
          <w:top w:w="57" w:type="dxa"/>
          <w:bottom w:w="57" w:type="dxa"/>
        </w:tblCellMar>
        <w:tblLook w:val="04A0" w:firstRow="1" w:lastRow="0" w:firstColumn="1" w:lastColumn="0" w:noHBand="0" w:noVBand="1"/>
      </w:tblPr>
      <w:tblGrid>
        <w:gridCol w:w="2884"/>
        <w:gridCol w:w="222"/>
        <w:gridCol w:w="2887"/>
        <w:gridCol w:w="222"/>
        <w:gridCol w:w="2891"/>
      </w:tblGrid>
      <w:tr w:rsidR="00072410" w:rsidRPr="00FF7558" w14:paraId="128E29FA" w14:textId="77777777" w:rsidTr="00072410">
        <w:trPr>
          <w:cnfStyle w:val="100000000000" w:firstRow="1" w:lastRow="0" w:firstColumn="0" w:lastColumn="0" w:oddVBand="0" w:evenVBand="0" w:oddHBand="0" w:evenHBand="0" w:firstRowFirstColumn="0" w:firstRowLastColumn="0" w:lastRowFirstColumn="0" w:lastRowLastColumn="0"/>
          <w:trHeight w:val="2480"/>
        </w:trPr>
        <w:tc>
          <w:tcPr>
            <w:cnfStyle w:val="001000000000" w:firstRow="0" w:lastRow="0" w:firstColumn="1" w:lastColumn="0" w:oddVBand="0" w:evenVBand="0" w:oddHBand="0" w:evenHBand="0" w:firstRowFirstColumn="0" w:firstRowLastColumn="0" w:lastRowFirstColumn="0" w:lastRowLastColumn="0"/>
            <w:tcW w:w="2898"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26564962" w14:textId="77777777" w:rsidR="00072410" w:rsidRPr="00FF7558" w:rsidRDefault="00072410" w:rsidP="00337D77">
            <w:pPr>
              <w:pStyle w:val="Odstavecseseznamem"/>
              <w:spacing w:line="240" w:lineRule="auto"/>
              <w:ind w:left="284"/>
              <w:rPr>
                <w:b w:val="0"/>
              </w:rPr>
            </w:pPr>
            <w:r w:rsidRPr="00FF7558">
              <w:rPr>
                <w:b w:val="0"/>
              </w:rPr>
              <w:lastRenderedPageBreak/>
              <w:t>Standardní software</w:t>
            </w:r>
          </w:p>
        </w:tc>
        <w:tc>
          <w:tcPr>
            <w:tcW w:w="206" w:type="dxa"/>
            <w:tcBorders>
              <w:top w:val="nil"/>
              <w:left w:val="single" w:sz="8" w:space="0" w:color="E7E6E6" w:themeColor="background2"/>
              <w:right w:val="single" w:sz="8" w:space="0" w:color="E7E6E6" w:themeColor="background2"/>
            </w:tcBorders>
            <w:vAlign w:val="top"/>
          </w:tcPr>
          <w:p w14:paraId="574A0C1E" w14:textId="77777777" w:rsidR="00072410" w:rsidRPr="00FF7558" w:rsidRDefault="00072410" w:rsidP="00337D77">
            <w:pPr>
              <w:cnfStyle w:val="100000000000" w:firstRow="1" w:lastRow="0" w:firstColumn="0" w:lastColumn="0" w:oddVBand="0" w:evenVBand="0" w:oddHBand="0" w:evenHBand="0" w:firstRowFirstColumn="0" w:firstRowLastColumn="0" w:lastRowFirstColumn="0" w:lastRowLastColumn="0"/>
            </w:pPr>
          </w:p>
        </w:tc>
        <w:tc>
          <w:tcPr>
            <w:tcW w:w="2898"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4EBFBABB" w14:textId="77777777" w:rsidR="00072410" w:rsidRPr="00FF7558" w:rsidRDefault="00072410" w:rsidP="00EB6E11">
            <w:pPr>
              <w:pStyle w:val="Odstavecseseznamem"/>
              <w:numPr>
                <w:ilvl w:val="0"/>
                <w:numId w:val="14"/>
              </w:numPr>
              <w:spacing w:before="0" w:after="0" w:line="240" w:lineRule="auto"/>
              <w:ind w:left="284" w:hanging="284"/>
              <w:contextualSpacing/>
              <w:cnfStyle w:val="100000000000" w:firstRow="1" w:lastRow="0" w:firstColumn="0" w:lastColumn="0" w:oddVBand="0" w:evenVBand="0" w:oddHBand="0" w:evenHBand="0" w:firstRowFirstColumn="0" w:firstRowLastColumn="0" w:lastRowFirstColumn="0" w:lastRowLastColumn="0"/>
              <w:rPr>
                <w:b w:val="0"/>
              </w:rPr>
            </w:pPr>
            <w:r w:rsidRPr="00FF7558">
              <w:rPr>
                <w:b w:val="0"/>
              </w:rPr>
              <w:t xml:space="preserve">správu a provoz Standardního software </w:t>
            </w:r>
          </w:p>
          <w:p w14:paraId="2C6B7DFD" w14:textId="77777777" w:rsidR="00072410" w:rsidRPr="00FF7558" w:rsidRDefault="00072410" w:rsidP="00EB6E11">
            <w:pPr>
              <w:pStyle w:val="Odstavecseseznamem"/>
              <w:numPr>
                <w:ilvl w:val="0"/>
                <w:numId w:val="14"/>
              </w:numPr>
              <w:spacing w:before="0" w:after="0" w:line="240" w:lineRule="auto"/>
              <w:ind w:left="284" w:hanging="284"/>
              <w:contextualSpacing/>
              <w:cnfStyle w:val="100000000000" w:firstRow="1" w:lastRow="0" w:firstColumn="0" w:lastColumn="0" w:oddVBand="0" w:evenVBand="0" w:oddHBand="0" w:evenHBand="0" w:firstRowFirstColumn="0" w:firstRowLastColumn="0" w:lastRowFirstColumn="0" w:lastRowLastColumn="0"/>
              <w:rPr>
                <w:b w:val="0"/>
              </w:rPr>
            </w:pPr>
            <w:r w:rsidRPr="00FF7558">
              <w:rPr>
                <w:b w:val="0"/>
              </w:rPr>
              <w:t>nasazování patchů Standardního software</w:t>
            </w:r>
          </w:p>
          <w:p w14:paraId="32CD1586" w14:textId="77777777" w:rsidR="00072410" w:rsidRPr="00FF7558" w:rsidRDefault="00072410" w:rsidP="00EB6E11">
            <w:pPr>
              <w:pStyle w:val="Odstavecseseznamem"/>
              <w:numPr>
                <w:ilvl w:val="0"/>
                <w:numId w:val="14"/>
              </w:numPr>
              <w:spacing w:before="0" w:after="0" w:line="240" w:lineRule="auto"/>
              <w:ind w:left="284" w:hanging="284"/>
              <w:contextualSpacing/>
              <w:cnfStyle w:val="100000000000" w:firstRow="1" w:lastRow="0" w:firstColumn="0" w:lastColumn="0" w:oddVBand="0" w:evenVBand="0" w:oddHBand="0" w:evenHBand="0" w:firstRowFirstColumn="0" w:firstRowLastColumn="0" w:lastRowFirstColumn="0" w:lastRowLastColumn="0"/>
              <w:rPr>
                <w:b w:val="0"/>
              </w:rPr>
            </w:pPr>
            <w:r w:rsidRPr="00FF7558">
              <w:rPr>
                <w:b w:val="0"/>
              </w:rPr>
              <w:t xml:space="preserve">evidenci veškerých změn konfigurací Standardního software </w:t>
            </w:r>
          </w:p>
          <w:p w14:paraId="00BF7B84" w14:textId="77777777" w:rsidR="00072410" w:rsidRPr="00FF7558" w:rsidRDefault="00072410" w:rsidP="00EB6E11">
            <w:pPr>
              <w:pStyle w:val="Odstavecseseznamem"/>
              <w:numPr>
                <w:ilvl w:val="0"/>
                <w:numId w:val="14"/>
              </w:numPr>
              <w:spacing w:before="0" w:after="0" w:line="240" w:lineRule="auto"/>
              <w:ind w:left="284" w:hanging="284"/>
              <w:contextualSpacing/>
              <w:cnfStyle w:val="100000000000" w:firstRow="1" w:lastRow="0" w:firstColumn="0" w:lastColumn="0" w:oddVBand="0" w:evenVBand="0" w:oddHBand="0" w:evenHBand="0" w:firstRowFirstColumn="0" w:firstRowLastColumn="0" w:lastRowFirstColumn="0" w:lastRowLastColumn="0"/>
              <w:rPr>
                <w:b w:val="0"/>
              </w:rPr>
            </w:pPr>
            <w:r w:rsidRPr="00FF7558">
              <w:rPr>
                <w:b w:val="0"/>
              </w:rPr>
              <w:t>součinnost při poskytování informací o realizovaných změnách konfigurací Standardního software, které si v případě potřeby Poskytovatel může vyžádat</w:t>
            </w:r>
          </w:p>
        </w:tc>
        <w:tc>
          <w:tcPr>
            <w:tcW w:w="206" w:type="dxa"/>
            <w:tcBorders>
              <w:top w:val="nil"/>
              <w:left w:val="single" w:sz="8" w:space="0" w:color="E7E6E6" w:themeColor="background2"/>
              <w:right w:val="single" w:sz="8" w:space="0" w:color="E7E6E6" w:themeColor="background2"/>
            </w:tcBorders>
            <w:vAlign w:val="top"/>
          </w:tcPr>
          <w:p w14:paraId="4CF23585" w14:textId="77777777" w:rsidR="00072410" w:rsidRPr="00FF7558" w:rsidRDefault="00072410" w:rsidP="00337D77">
            <w:pPr>
              <w:cnfStyle w:val="100000000000" w:firstRow="1" w:lastRow="0" w:firstColumn="0" w:lastColumn="0" w:oddVBand="0" w:evenVBand="0" w:oddHBand="0" w:evenHBand="0" w:firstRowFirstColumn="0" w:firstRowLastColumn="0" w:lastRowFirstColumn="0" w:lastRowLastColumn="0"/>
            </w:pPr>
          </w:p>
        </w:tc>
        <w:tc>
          <w:tcPr>
            <w:tcW w:w="2898"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02FBFC7F" w14:textId="77777777" w:rsidR="00072410" w:rsidRPr="00FF7558" w:rsidRDefault="00072410" w:rsidP="00EB6E11">
            <w:pPr>
              <w:pStyle w:val="Odstavecseseznamem"/>
              <w:numPr>
                <w:ilvl w:val="0"/>
                <w:numId w:val="14"/>
              </w:numPr>
              <w:spacing w:before="0" w:after="0" w:line="240" w:lineRule="auto"/>
              <w:ind w:left="284" w:hanging="284"/>
              <w:contextualSpacing/>
              <w:cnfStyle w:val="100000000000" w:firstRow="1" w:lastRow="0" w:firstColumn="0" w:lastColumn="0" w:oddVBand="0" w:evenVBand="0" w:oddHBand="0" w:evenHBand="0" w:firstRowFirstColumn="0" w:firstRowLastColumn="0" w:lastRowFirstColumn="0" w:lastRowLastColumn="0"/>
            </w:pPr>
            <w:r w:rsidRPr="00FF7558">
              <w:rPr>
                <w:b w:val="0"/>
              </w:rPr>
              <w:t>návrh opatření k zajištění provozuschopnosti Standardního software</w:t>
            </w:r>
          </w:p>
          <w:p w14:paraId="18125687" w14:textId="77777777" w:rsidR="00072410" w:rsidRPr="00FF7558" w:rsidRDefault="00072410" w:rsidP="00EB6E11">
            <w:pPr>
              <w:pStyle w:val="Odstavecseseznamem"/>
              <w:numPr>
                <w:ilvl w:val="0"/>
                <w:numId w:val="14"/>
              </w:numPr>
              <w:spacing w:before="0" w:after="0" w:line="240" w:lineRule="auto"/>
              <w:ind w:left="284" w:hanging="284"/>
              <w:contextualSpacing/>
              <w:cnfStyle w:val="100000000000" w:firstRow="1" w:lastRow="0" w:firstColumn="0" w:lastColumn="0" w:oddVBand="0" w:evenVBand="0" w:oddHBand="0" w:evenHBand="0" w:firstRowFirstColumn="0" w:firstRowLastColumn="0" w:lastRowFirstColumn="0" w:lastRowLastColumn="0"/>
              <w:rPr>
                <w:b w:val="0"/>
              </w:rPr>
            </w:pPr>
            <w:r w:rsidRPr="00FF7558">
              <w:rPr>
                <w:b w:val="0"/>
              </w:rPr>
              <w:t>doporučení k nasazení patchů/ updatů Standardního software</w:t>
            </w:r>
          </w:p>
        </w:tc>
      </w:tr>
    </w:tbl>
    <w:p w14:paraId="1C2DE3E7" w14:textId="18AA056C" w:rsidR="00FE6BCB" w:rsidRPr="00FF7558" w:rsidRDefault="00FE6BCB" w:rsidP="005B26A3">
      <w:pPr>
        <w:pStyle w:val="Nadpis2"/>
        <w:rPr>
          <w:b/>
          <w:lang w:eastAsia="cs-CZ"/>
        </w:rPr>
      </w:pPr>
      <w:r w:rsidRPr="00FF7558">
        <w:rPr>
          <w:b/>
          <w:lang w:eastAsia="cs-CZ"/>
        </w:rPr>
        <w:t>Incident management</w:t>
      </w:r>
    </w:p>
    <w:p w14:paraId="278CD788" w14:textId="04DA18E5" w:rsidR="00FE6BCB" w:rsidRPr="00FF7558" w:rsidRDefault="00FE6BCB" w:rsidP="00EB6E11">
      <w:pPr>
        <w:pStyle w:val="Odstavecseseznamem"/>
        <w:numPr>
          <w:ilvl w:val="0"/>
          <w:numId w:val="21"/>
        </w:numPr>
        <w:rPr>
          <w:lang w:eastAsia="cs-CZ"/>
        </w:rPr>
      </w:pPr>
      <w:r w:rsidRPr="00FF7558">
        <w:rPr>
          <w:lang w:eastAsia="cs-CZ"/>
        </w:rPr>
        <w:t>Rozdělení odpovědností v rámci Incident management je následující:</w:t>
      </w:r>
    </w:p>
    <w:tbl>
      <w:tblPr>
        <w:tblStyle w:val="TRASK1"/>
        <w:tblW w:w="9123" w:type="dxa"/>
        <w:tblCellMar>
          <w:top w:w="57" w:type="dxa"/>
          <w:bottom w:w="57" w:type="dxa"/>
        </w:tblCellMar>
        <w:tblLook w:val="04A0" w:firstRow="1" w:lastRow="0" w:firstColumn="1" w:lastColumn="0" w:noHBand="0" w:noVBand="1"/>
      </w:tblPr>
      <w:tblGrid>
        <w:gridCol w:w="4452"/>
        <w:gridCol w:w="222"/>
        <w:gridCol w:w="4449"/>
      </w:tblGrid>
      <w:tr w:rsidR="00072410" w:rsidRPr="00FF7558" w14:paraId="348A3BC8" w14:textId="77777777" w:rsidTr="00072410">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4461" w:type="dxa"/>
            <w:tcBorders>
              <w:top w:val="single" w:sz="24" w:space="0" w:color="44546A" w:themeColor="text2"/>
              <w:bottom w:val="single" w:sz="24" w:space="0" w:color="44546A" w:themeColor="text2"/>
            </w:tcBorders>
          </w:tcPr>
          <w:p w14:paraId="3D0DFF2A" w14:textId="77777777" w:rsidR="00072410" w:rsidRPr="00FF7558" w:rsidRDefault="00072410" w:rsidP="00337D77">
            <w:pPr>
              <w:spacing w:line="240" w:lineRule="auto"/>
              <w:rPr>
                <w:rFonts w:ascii="Roboto Black" w:hAnsi="Roboto Black"/>
                <w:color w:val="44546A" w:themeColor="text2"/>
                <w:szCs w:val="20"/>
              </w:rPr>
            </w:pPr>
            <w:r w:rsidRPr="00FF7558">
              <w:rPr>
                <w:rFonts w:ascii="Roboto Black" w:hAnsi="Roboto Black" w:cs="Roboto-Black"/>
                <w:color w:val="44546A" w:themeColor="text2"/>
                <w:szCs w:val="20"/>
              </w:rPr>
              <w:t>Zákazník odpovídá za</w:t>
            </w:r>
          </w:p>
        </w:tc>
        <w:tc>
          <w:tcPr>
            <w:tcW w:w="202" w:type="dxa"/>
            <w:tcBorders>
              <w:top w:val="nil"/>
            </w:tcBorders>
          </w:tcPr>
          <w:p w14:paraId="5D02C10D" w14:textId="77777777" w:rsidR="00072410" w:rsidRPr="00FF7558" w:rsidRDefault="00072410"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p>
        </w:tc>
        <w:tc>
          <w:tcPr>
            <w:tcW w:w="4460" w:type="dxa"/>
            <w:tcBorders>
              <w:top w:val="single" w:sz="24" w:space="0" w:color="44546A" w:themeColor="text2"/>
              <w:bottom w:val="single" w:sz="24" w:space="0" w:color="44546A" w:themeColor="text2"/>
            </w:tcBorders>
          </w:tcPr>
          <w:p w14:paraId="4DB504E9" w14:textId="77777777" w:rsidR="00072410" w:rsidRPr="00FF7558" w:rsidRDefault="00072410"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r w:rsidRPr="00FF7558">
              <w:rPr>
                <w:rFonts w:ascii="Roboto Black" w:hAnsi="Roboto Black"/>
                <w:color w:val="44546A" w:themeColor="text2"/>
                <w:szCs w:val="20"/>
              </w:rPr>
              <w:t>Poskytovatel odpovídá za</w:t>
            </w:r>
          </w:p>
        </w:tc>
      </w:tr>
      <w:tr w:rsidR="00072410" w:rsidRPr="00FF7558" w14:paraId="330B542B" w14:textId="77777777" w:rsidTr="00072410">
        <w:trPr>
          <w:trHeight w:val="20"/>
        </w:trPr>
        <w:tc>
          <w:tcPr>
            <w:cnfStyle w:val="001000000000" w:firstRow="0" w:lastRow="0" w:firstColumn="1" w:lastColumn="0" w:oddVBand="0" w:evenVBand="0" w:oddHBand="0" w:evenHBand="0" w:firstRowFirstColumn="0" w:firstRowLastColumn="0" w:lastRowFirstColumn="0" w:lastRowLastColumn="0"/>
            <w:tcW w:w="4461" w:type="dxa"/>
            <w:tcBorders>
              <w:top w:val="single" w:sz="24" w:space="0" w:color="44546A" w:themeColor="text2"/>
              <w:bottom w:val="single" w:sz="8" w:space="0" w:color="E7E6E6" w:themeColor="background2"/>
            </w:tcBorders>
          </w:tcPr>
          <w:p w14:paraId="36243908" w14:textId="77777777" w:rsidR="00072410" w:rsidRPr="00FF7558" w:rsidRDefault="00072410" w:rsidP="00337D77">
            <w:pPr>
              <w:spacing w:line="240" w:lineRule="auto"/>
              <w:rPr>
                <w:sz w:val="4"/>
                <w:szCs w:val="4"/>
              </w:rPr>
            </w:pPr>
          </w:p>
        </w:tc>
        <w:tc>
          <w:tcPr>
            <w:tcW w:w="202" w:type="dxa"/>
            <w:tcBorders>
              <w:top w:val="nil"/>
              <w:bottom w:val="nil"/>
            </w:tcBorders>
          </w:tcPr>
          <w:p w14:paraId="26ACA56D"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4460" w:type="dxa"/>
            <w:tcBorders>
              <w:top w:val="single" w:sz="24" w:space="0" w:color="44546A" w:themeColor="text2"/>
              <w:bottom w:val="single" w:sz="8" w:space="0" w:color="E7E6E6" w:themeColor="background2"/>
            </w:tcBorders>
          </w:tcPr>
          <w:p w14:paraId="4852FEF2" w14:textId="77777777" w:rsidR="00072410" w:rsidRPr="00FF7558" w:rsidRDefault="00072410"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r>
      <w:tr w:rsidR="00072410" w:rsidRPr="00FF7558" w14:paraId="2BE1662D" w14:textId="77777777" w:rsidTr="00072410">
        <w:trPr>
          <w:trHeight w:val="3233"/>
        </w:trPr>
        <w:tc>
          <w:tcPr>
            <w:cnfStyle w:val="001000000000" w:firstRow="0" w:lastRow="0" w:firstColumn="1" w:lastColumn="0" w:oddVBand="0" w:evenVBand="0" w:oddHBand="0" w:evenHBand="0" w:firstRowFirstColumn="0" w:firstRowLastColumn="0" w:lastRowFirstColumn="0" w:lastRowLastColumn="0"/>
            <w:tcW w:w="446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54A8CFAF"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detekci, prvotní analýzu a diagnostiku incidentu</w:t>
            </w:r>
          </w:p>
          <w:p w14:paraId="6B345326"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zajištění potřebných logů</w:t>
            </w:r>
          </w:p>
          <w:p w14:paraId="5166CC32"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registraci incidentu do Portálu podpory</w:t>
            </w:r>
          </w:p>
          <w:p w14:paraId="6FB46983"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klasifikaci a kategorizaci:</w:t>
            </w:r>
          </w:p>
          <w:p w14:paraId="7740AE23" w14:textId="77777777" w:rsidR="00072410" w:rsidRPr="00FF7558" w:rsidRDefault="00072410" w:rsidP="00337D77">
            <w:pPr>
              <w:pStyle w:val="Odstavecseseznamem"/>
              <w:spacing w:line="240" w:lineRule="auto"/>
              <w:ind w:left="284"/>
            </w:pPr>
            <w:r w:rsidRPr="00FF7558">
              <w:t>dopad / kritičnost</w:t>
            </w:r>
          </w:p>
          <w:p w14:paraId="0765761F"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komunikaci s koncovými uživateli, kteří identifikovali incident</w:t>
            </w:r>
          </w:p>
          <w:p w14:paraId="5A712B0C"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analýzu a diagnostiku – informace o provedených diagnózách a jejich vyhodnocení</w:t>
            </w:r>
          </w:p>
          <w:p w14:paraId="428D5682"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nasazení oprav</w:t>
            </w:r>
          </w:p>
          <w:p w14:paraId="433C8953"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řízení životního cyklu incidentu</w:t>
            </w:r>
          </w:p>
          <w:p w14:paraId="046D15AA"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uzavírání incidentu</w:t>
            </w:r>
          </w:p>
          <w:p w14:paraId="67E4CC6F" w14:textId="77777777" w:rsidR="00072410" w:rsidRPr="00FF7558" w:rsidRDefault="00072410" w:rsidP="00EB6E11">
            <w:pPr>
              <w:pStyle w:val="Odstavecseseznamem"/>
              <w:numPr>
                <w:ilvl w:val="0"/>
                <w:numId w:val="14"/>
              </w:numPr>
              <w:spacing w:before="0" w:after="0" w:line="240" w:lineRule="auto"/>
              <w:ind w:left="284" w:hanging="284"/>
              <w:contextualSpacing/>
            </w:pPr>
            <w:r w:rsidRPr="00FF7558">
              <w:t>poskytování doplňujících informací potřebných pro vyřešení incidentu na vyžádání Poskytovatelem.</w:t>
            </w:r>
          </w:p>
        </w:tc>
        <w:tc>
          <w:tcPr>
            <w:tcW w:w="202" w:type="dxa"/>
            <w:tcBorders>
              <w:top w:val="nil"/>
              <w:left w:val="single" w:sz="8" w:space="0" w:color="E7E6E6" w:themeColor="background2"/>
              <w:bottom w:val="nil"/>
              <w:right w:val="single" w:sz="8" w:space="0" w:color="E7E6E6" w:themeColor="background2"/>
            </w:tcBorders>
            <w:vAlign w:val="top"/>
          </w:tcPr>
          <w:p w14:paraId="4F83A892" w14:textId="77777777" w:rsidR="00072410" w:rsidRPr="00FF7558" w:rsidRDefault="00072410" w:rsidP="00337D77">
            <w:pPr>
              <w:cnfStyle w:val="000000000000" w:firstRow="0" w:lastRow="0" w:firstColumn="0" w:lastColumn="0" w:oddVBand="0" w:evenVBand="0" w:oddHBand="0" w:evenHBand="0" w:firstRowFirstColumn="0" w:firstRowLastColumn="0" w:lastRowFirstColumn="0" w:lastRowLastColumn="0"/>
            </w:pPr>
          </w:p>
        </w:tc>
        <w:tc>
          <w:tcPr>
            <w:tcW w:w="44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08E6D89C"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analýzu a diagnostiku stavu aplikace</w:t>
            </w:r>
          </w:p>
          <w:p w14:paraId="1B109DE8"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úpravu aplikace včetně otestování úpravy, případně poskytnutí informací vedoucích k odstranění incidentu</w:t>
            </w:r>
          </w:p>
          <w:p w14:paraId="6786A0D3"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 xml:space="preserve">při </w:t>
            </w:r>
            <w:proofErr w:type="spellStart"/>
            <w:r w:rsidRPr="00FF7558">
              <w:t>bugfixu</w:t>
            </w:r>
            <w:proofErr w:type="spellEnd"/>
            <w:r w:rsidRPr="00FF7558">
              <w:t xml:space="preserve"> dodání </w:t>
            </w:r>
            <w:proofErr w:type="spellStart"/>
            <w:r w:rsidRPr="00FF7558">
              <w:t>Release</w:t>
            </w:r>
            <w:proofErr w:type="spellEnd"/>
            <w:r w:rsidRPr="00FF7558">
              <w:t xml:space="preserve"> notes</w:t>
            </w:r>
          </w:p>
          <w:p w14:paraId="32D4ACCC"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zajištění vyřešení incidentu dle parametru SLA</w:t>
            </w:r>
          </w:p>
          <w:p w14:paraId="23F5E866" w14:textId="77777777" w:rsidR="00072410" w:rsidRPr="00FF7558" w:rsidRDefault="00072410"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reporting</w:t>
            </w:r>
          </w:p>
        </w:tc>
      </w:tr>
    </w:tbl>
    <w:p w14:paraId="5E871649" w14:textId="36C97531" w:rsidR="00FE6BCB" w:rsidRPr="00FF7558" w:rsidRDefault="00FE6BCB" w:rsidP="00EB6E11">
      <w:pPr>
        <w:pStyle w:val="Odstavecseseznamem"/>
        <w:numPr>
          <w:ilvl w:val="0"/>
          <w:numId w:val="21"/>
        </w:numPr>
        <w:rPr>
          <w:lang w:eastAsia="cs-CZ"/>
        </w:rPr>
      </w:pPr>
      <w:r w:rsidRPr="00FF7558">
        <w:rPr>
          <w:lang w:eastAsia="cs-CZ"/>
        </w:rPr>
        <w:t>Postupy hlášení incidentu</w:t>
      </w:r>
    </w:p>
    <w:p w14:paraId="7F6EDBC3" w14:textId="6CFB8E2B" w:rsidR="00FE6BCB" w:rsidRPr="00FF7558" w:rsidRDefault="00FE6BCB" w:rsidP="00FE6BCB">
      <w:pPr>
        <w:ind w:left="360"/>
        <w:rPr>
          <w:lang w:eastAsia="cs-CZ"/>
        </w:rPr>
      </w:pPr>
      <w:r w:rsidRPr="00FF7558">
        <w:rPr>
          <w:lang w:eastAsia="cs-CZ"/>
        </w:rPr>
        <w:t xml:space="preserve">Prioritu incidentu určuje a zadává Zákazník. Zákazník má povinnost při hlášení incidentu na základě jeho priority postupovat podle popisu uvedeného v dokumentu Support Handbook dostupného v portále podpory na adrese </w:t>
      </w:r>
      <w:hyperlink r:id="rId11" w:history="1">
        <w:r w:rsidR="00AD6413" w:rsidRPr="00FF7558">
          <w:rPr>
            <w:rStyle w:val="Hypertextovodkaz"/>
            <w:lang w:eastAsia="cs-CZ"/>
          </w:rPr>
          <w:t>https://support.trask.cz/</w:t>
        </w:r>
      </w:hyperlink>
      <w:r w:rsidR="00AD6413" w:rsidRPr="00FF7558">
        <w:rPr>
          <w:lang w:eastAsia="cs-CZ"/>
        </w:rPr>
        <w:t xml:space="preserve"> </w:t>
      </w:r>
    </w:p>
    <w:p w14:paraId="29EB09C9" w14:textId="2CC25C32" w:rsidR="00FE6BCB" w:rsidRPr="00FF7558" w:rsidRDefault="00FE6BCB" w:rsidP="00EB6E11">
      <w:pPr>
        <w:pStyle w:val="Odstavecseseznamem"/>
        <w:numPr>
          <w:ilvl w:val="0"/>
          <w:numId w:val="21"/>
        </w:numPr>
        <w:rPr>
          <w:lang w:eastAsia="cs-CZ"/>
        </w:rPr>
      </w:pPr>
      <w:r w:rsidRPr="00FF7558">
        <w:rPr>
          <w:lang w:eastAsia="cs-CZ"/>
        </w:rPr>
        <w:t>Seznam podkladů nutných pro zadání incidentu</w:t>
      </w:r>
    </w:p>
    <w:p w14:paraId="38E33445" w14:textId="77777777" w:rsidR="00FE6BCB" w:rsidRPr="00FF7558" w:rsidRDefault="00FE6BCB" w:rsidP="00EB6E11">
      <w:pPr>
        <w:pStyle w:val="Odstavecseseznamem"/>
        <w:numPr>
          <w:ilvl w:val="0"/>
          <w:numId w:val="15"/>
        </w:numPr>
        <w:rPr>
          <w:lang w:eastAsia="cs-CZ"/>
        </w:rPr>
      </w:pPr>
      <w:r w:rsidRPr="00FF7558">
        <w:rPr>
          <w:lang w:eastAsia="cs-CZ"/>
        </w:rPr>
        <w:t xml:space="preserve">Při zadání incidentu do je Zákazník povinen definovat tyto základní atributy: </w:t>
      </w:r>
    </w:p>
    <w:p w14:paraId="7F590325" w14:textId="3BD371CB" w:rsidR="00FE6BCB" w:rsidRPr="00FF7558" w:rsidRDefault="00FE6BCB" w:rsidP="00EB6E11">
      <w:pPr>
        <w:pStyle w:val="Odstavecseseznamem"/>
        <w:numPr>
          <w:ilvl w:val="0"/>
          <w:numId w:val="15"/>
        </w:numPr>
        <w:rPr>
          <w:lang w:eastAsia="cs-CZ"/>
        </w:rPr>
      </w:pPr>
      <w:r w:rsidRPr="00FF7558">
        <w:rPr>
          <w:lang w:eastAsia="cs-CZ"/>
        </w:rPr>
        <w:t>typ = Incident,</w:t>
      </w:r>
    </w:p>
    <w:p w14:paraId="14DA989B" w14:textId="48C39394" w:rsidR="00FE6BCB" w:rsidRPr="00FF7558" w:rsidRDefault="00FE6BCB" w:rsidP="00EB6E11">
      <w:pPr>
        <w:pStyle w:val="Odstavecseseznamem"/>
        <w:numPr>
          <w:ilvl w:val="0"/>
          <w:numId w:val="15"/>
        </w:numPr>
        <w:rPr>
          <w:lang w:eastAsia="cs-CZ"/>
        </w:rPr>
      </w:pPr>
      <w:r w:rsidRPr="00FF7558">
        <w:rPr>
          <w:lang w:eastAsia="cs-CZ"/>
        </w:rPr>
        <w:t>stručný popis incidentu,</w:t>
      </w:r>
    </w:p>
    <w:p w14:paraId="211D3705" w14:textId="5B114C95" w:rsidR="00FE6BCB" w:rsidRPr="00FF7558" w:rsidRDefault="00FE6BCB" w:rsidP="00EB6E11">
      <w:pPr>
        <w:pStyle w:val="Odstavecseseznamem"/>
        <w:numPr>
          <w:ilvl w:val="0"/>
          <w:numId w:val="15"/>
        </w:numPr>
        <w:rPr>
          <w:lang w:eastAsia="cs-CZ"/>
        </w:rPr>
      </w:pPr>
      <w:r w:rsidRPr="00FF7558">
        <w:rPr>
          <w:lang w:eastAsia="cs-CZ"/>
        </w:rPr>
        <w:t>prioritu incidentu,</w:t>
      </w:r>
    </w:p>
    <w:p w14:paraId="78D483F1" w14:textId="2DECCC01" w:rsidR="00FE6BCB" w:rsidRPr="00FF7558" w:rsidRDefault="00FE6BCB" w:rsidP="00EB6E11">
      <w:pPr>
        <w:pStyle w:val="Odstavecseseznamem"/>
        <w:numPr>
          <w:ilvl w:val="0"/>
          <w:numId w:val="15"/>
        </w:numPr>
        <w:rPr>
          <w:lang w:eastAsia="cs-CZ"/>
        </w:rPr>
      </w:pPr>
      <w:r w:rsidRPr="00FF7558">
        <w:rPr>
          <w:lang w:eastAsia="cs-CZ"/>
        </w:rPr>
        <w:t>komponentu (y) uvedené v Tab. č. 1 této přílohy, která (é) incident způsobují,</w:t>
      </w:r>
    </w:p>
    <w:p w14:paraId="0BD6BF8C" w14:textId="6D81C02C" w:rsidR="00FE6BCB" w:rsidRPr="00FF7558" w:rsidRDefault="00FE6BCB" w:rsidP="00EB6E11">
      <w:pPr>
        <w:pStyle w:val="Odstavecseseznamem"/>
        <w:numPr>
          <w:ilvl w:val="0"/>
          <w:numId w:val="15"/>
        </w:numPr>
        <w:rPr>
          <w:lang w:eastAsia="cs-CZ"/>
        </w:rPr>
      </w:pPr>
      <w:r w:rsidRPr="00FF7558">
        <w:rPr>
          <w:lang w:eastAsia="cs-CZ"/>
        </w:rPr>
        <w:t>informace o provedených diagnózách a jejich vyhodnocení ze strany Zákazníka.</w:t>
      </w:r>
    </w:p>
    <w:p w14:paraId="487F0F3D" w14:textId="77777777" w:rsidR="00FE6BCB" w:rsidRPr="00FF7558" w:rsidRDefault="00FE6BCB" w:rsidP="00FE6BCB">
      <w:pPr>
        <w:ind w:left="360"/>
        <w:rPr>
          <w:lang w:eastAsia="cs-CZ"/>
        </w:rPr>
      </w:pPr>
      <w:r w:rsidRPr="00FF7558">
        <w:rPr>
          <w:lang w:eastAsia="cs-CZ"/>
        </w:rPr>
        <w:t>V případě potřeby si Poskytovatel může vyžádat výpis z evidence změn Standardního software a HW.</w:t>
      </w:r>
    </w:p>
    <w:p w14:paraId="1EDC1276" w14:textId="771B5FCA" w:rsidR="00FE6BCB" w:rsidRPr="00FF7558" w:rsidRDefault="00FE6BCB" w:rsidP="00EB6E11">
      <w:pPr>
        <w:pStyle w:val="Odstavecseseznamem"/>
        <w:keepNext/>
        <w:numPr>
          <w:ilvl w:val="0"/>
          <w:numId w:val="21"/>
        </w:numPr>
        <w:ind w:left="714" w:hanging="357"/>
        <w:rPr>
          <w:lang w:eastAsia="cs-CZ"/>
        </w:rPr>
      </w:pPr>
      <w:r w:rsidRPr="00FF7558">
        <w:rPr>
          <w:lang w:eastAsia="cs-CZ"/>
        </w:rPr>
        <w:lastRenderedPageBreak/>
        <w:t>Součinnost při řešení incidentu</w:t>
      </w:r>
    </w:p>
    <w:p w14:paraId="7BBCFC99" w14:textId="77777777" w:rsidR="00FE6BCB" w:rsidRPr="00FF7558" w:rsidRDefault="00FE6BCB" w:rsidP="00FE6BCB">
      <w:pPr>
        <w:ind w:left="360"/>
        <w:rPr>
          <w:lang w:eastAsia="cs-CZ"/>
        </w:rPr>
      </w:pPr>
      <w:r w:rsidRPr="00FF7558">
        <w:rPr>
          <w:lang w:eastAsia="cs-CZ"/>
        </w:rPr>
        <w:t>Poskytovatel má v případě řešení incidentu priority A nebo B právo vyžadovat spolupráci a součinnost ze strany Zákazníka spočívající především v zajištění oprávněné osoby, která bude v průběhu celého řešení incidentu k dispozici na telefonu nebo přímo v místě řešení incidentu.</w:t>
      </w:r>
    </w:p>
    <w:p w14:paraId="7EFED850" w14:textId="15894366" w:rsidR="00FE6BCB" w:rsidRPr="00FF7558" w:rsidRDefault="00FE6BCB" w:rsidP="00EB6E11">
      <w:pPr>
        <w:pStyle w:val="Odstavecseseznamem"/>
        <w:numPr>
          <w:ilvl w:val="0"/>
          <w:numId w:val="21"/>
        </w:numPr>
        <w:rPr>
          <w:lang w:eastAsia="cs-CZ"/>
        </w:rPr>
      </w:pPr>
      <w:r w:rsidRPr="00FF7558">
        <w:rPr>
          <w:lang w:eastAsia="cs-CZ"/>
        </w:rPr>
        <w:t>Eskalace při řešení incidentu</w:t>
      </w:r>
    </w:p>
    <w:p w14:paraId="11BD7531" w14:textId="77777777" w:rsidR="00FE6BCB" w:rsidRPr="00FF7558" w:rsidRDefault="00FE6BCB" w:rsidP="00FE6BCB">
      <w:pPr>
        <w:ind w:left="360"/>
        <w:rPr>
          <w:lang w:eastAsia="cs-CZ"/>
        </w:rPr>
      </w:pPr>
      <w:r w:rsidRPr="00FF7558">
        <w:rPr>
          <w:lang w:eastAsia="cs-CZ"/>
        </w:rPr>
        <w:t xml:space="preserve">Existuje-li objektivní důvod, že řešení incidentu bude vyžadovat delší dobu než stanovený Čas na vyřešení, zajistí Poskytovatel jeho eskalaci k Oprávněné osobě Zákazníka. Tato informace bude obsahovat stručný a věcný popis incidentu, zjištěný důvod a seznam přijatých opatření pro odstranění incidentu, včetně časového harmonogramu dalšího postupu. </w:t>
      </w:r>
    </w:p>
    <w:p w14:paraId="06A4291E" w14:textId="6A2FE783" w:rsidR="00FE6BCB" w:rsidRPr="005B26A3" w:rsidRDefault="00FE6BCB" w:rsidP="005B26A3">
      <w:pPr>
        <w:pStyle w:val="Nadpis2"/>
        <w:rPr>
          <w:b/>
          <w:lang w:eastAsia="cs-CZ"/>
        </w:rPr>
      </w:pPr>
      <w:proofErr w:type="spellStart"/>
      <w:r w:rsidRPr="005B26A3">
        <w:rPr>
          <w:b/>
          <w:lang w:eastAsia="cs-CZ"/>
        </w:rPr>
        <w:t>Problem</w:t>
      </w:r>
      <w:proofErr w:type="spellEnd"/>
      <w:r w:rsidRPr="005B26A3">
        <w:rPr>
          <w:b/>
          <w:lang w:eastAsia="cs-CZ"/>
        </w:rPr>
        <w:t xml:space="preserve"> management</w:t>
      </w:r>
    </w:p>
    <w:p w14:paraId="62CA2981" w14:textId="14B10787" w:rsidR="00FE6BCB" w:rsidRPr="00FF7558" w:rsidRDefault="00FE6BCB" w:rsidP="00EB6E11">
      <w:pPr>
        <w:pStyle w:val="Odstavecseseznamem"/>
        <w:numPr>
          <w:ilvl w:val="0"/>
          <w:numId w:val="22"/>
        </w:numPr>
        <w:rPr>
          <w:lang w:eastAsia="cs-CZ"/>
        </w:rPr>
      </w:pPr>
      <w:r w:rsidRPr="00FF7558">
        <w:rPr>
          <w:lang w:eastAsia="cs-CZ"/>
        </w:rPr>
        <w:t xml:space="preserve">Rozdělení odpovědností v rámci </w:t>
      </w:r>
      <w:proofErr w:type="spellStart"/>
      <w:r w:rsidRPr="00FF7558">
        <w:rPr>
          <w:lang w:eastAsia="cs-CZ"/>
        </w:rPr>
        <w:t>Problem</w:t>
      </w:r>
      <w:proofErr w:type="spellEnd"/>
      <w:r w:rsidRPr="00FF7558">
        <w:rPr>
          <w:lang w:eastAsia="cs-CZ"/>
        </w:rPr>
        <w:t xml:space="preserve"> management je následující:</w:t>
      </w:r>
    </w:p>
    <w:tbl>
      <w:tblPr>
        <w:tblStyle w:val="TRASK1"/>
        <w:tblW w:w="9123" w:type="dxa"/>
        <w:tblCellMar>
          <w:top w:w="57" w:type="dxa"/>
          <w:bottom w:w="57" w:type="dxa"/>
        </w:tblCellMar>
        <w:tblLook w:val="04A0" w:firstRow="1" w:lastRow="0" w:firstColumn="1" w:lastColumn="0" w:noHBand="0" w:noVBand="1"/>
      </w:tblPr>
      <w:tblGrid>
        <w:gridCol w:w="4451"/>
        <w:gridCol w:w="222"/>
        <w:gridCol w:w="4450"/>
      </w:tblGrid>
      <w:tr w:rsidR="00AD6413" w:rsidRPr="00FF7558" w14:paraId="4E8731B2" w14:textId="77777777" w:rsidTr="00AD6413">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461" w:type="dxa"/>
            <w:tcBorders>
              <w:top w:val="single" w:sz="24" w:space="0" w:color="44546A" w:themeColor="text2"/>
              <w:bottom w:val="single" w:sz="24" w:space="0" w:color="44546A" w:themeColor="text2"/>
            </w:tcBorders>
          </w:tcPr>
          <w:p w14:paraId="3B52FD10" w14:textId="77777777" w:rsidR="00AD6413" w:rsidRPr="00FF7558" w:rsidRDefault="00AD6413" w:rsidP="00337D77">
            <w:pPr>
              <w:spacing w:line="240" w:lineRule="auto"/>
              <w:rPr>
                <w:rFonts w:ascii="Roboto Black" w:hAnsi="Roboto Black"/>
                <w:color w:val="44546A" w:themeColor="text2"/>
                <w:szCs w:val="20"/>
              </w:rPr>
            </w:pPr>
            <w:r w:rsidRPr="00FF7558">
              <w:rPr>
                <w:rFonts w:ascii="Roboto Black" w:hAnsi="Roboto Black" w:cs="Roboto-Black"/>
                <w:color w:val="44546A" w:themeColor="text2"/>
                <w:szCs w:val="20"/>
              </w:rPr>
              <w:t xml:space="preserve">Zákazník odpovídá za </w:t>
            </w:r>
          </w:p>
        </w:tc>
        <w:tc>
          <w:tcPr>
            <w:tcW w:w="202" w:type="dxa"/>
            <w:tcBorders>
              <w:top w:val="nil"/>
            </w:tcBorders>
          </w:tcPr>
          <w:p w14:paraId="79C30F8C" w14:textId="77777777" w:rsidR="00AD6413" w:rsidRPr="00FF7558" w:rsidRDefault="00AD6413"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p>
        </w:tc>
        <w:tc>
          <w:tcPr>
            <w:tcW w:w="4460" w:type="dxa"/>
            <w:tcBorders>
              <w:top w:val="single" w:sz="24" w:space="0" w:color="44546A" w:themeColor="text2"/>
              <w:bottom w:val="single" w:sz="24" w:space="0" w:color="44546A" w:themeColor="text2"/>
            </w:tcBorders>
          </w:tcPr>
          <w:p w14:paraId="4B386BAA" w14:textId="77777777" w:rsidR="00AD6413" w:rsidRPr="00FF7558" w:rsidRDefault="00AD6413"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r w:rsidRPr="00FF7558">
              <w:rPr>
                <w:rFonts w:ascii="Roboto Black" w:hAnsi="Roboto Black"/>
                <w:color w:val="44546A" w:themeColor="text2"/>
                <w:szCs w:val="20"/>
              </w:rPr>
              <w:t>Poskytovatel odpovídá za</w:t>
            </w:r>
          </w:p>
        </w:tc>
      </w:tr>
      <w:tr w:rsidR="00AD6413" w:rsidRPr="00FF7558" w14:paraId="4A26142E" w14:textId="77777777" w:rsidTr="00AD6413">
        <w:trPr>
          <w:trHeight w:val="22"/>
        </w:trPr>
        <w:tc>
          <w:tcPr>
            <w:cnfStyle w:val="001000000000" w:firstRow="0" w:lastRow="0" w:firstColumn="1" w:lastColumn="0" w:oddVBand="0" w:evenVBand="0" w:oddHBand="0" w:evenHBand="0" w:firstRowFirstColumn="0" w:firstRowLastColumn="0" w:lastRowFirstColumn="0" w:lastRowLastColumn="0"/>
            <w:tcW w:w="4461" w:type="dxa"/>
            <w:tcBorders>
              <w:top w:val="single" w:sz="24" w:space="0" w:color="44546A" w:themeColor="text2"/>
              <w:bottom w:val="single" w:sz="8" w:space="0" w:color="E7E6E6" w:themeColor="background2"/>
            </w:tcBorders>
          </w:tcPr>
          <w:p w14:paraId="338A6ACF" w14:textId="77777777" w:rsidR="00AD6413" w:rsidRPr="00FF7558" w:rsidRDefault="00AD6413" w:rsidP="00337D77">
            <w:pPr>
              <w:spacing w:line="240" w:lineRule="auto"/>
              <w:rPr>
                <w:sz w:val="4"/>
                <w:szCs w:val="4"/>
              </w:rPr>
            </w:pPr>
          </w:p>
        </w:tc>
        <w:tc>
          <w:tcPr>
            <w:tcW w:w="202" w:type="dxa"/>
            <w:tcBorders>
              <w:top w:val="nil"/>
              <w:bottom w:val="nil"/>
            </w:tcBorders>
          </w:tcPr>
          <w:p w14:paraId="60304550" w14:textId="77777777" w:rsidR="00AD6413" w:rsidRPr="00FF7558" w:rsidRDefault="00AD6413"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4460" w:type="dxa"/>
            <w:tcBorders>
              <w:top w:val="single" w:sz="24" w:space="0" w:color="44546A" w:themeColor="text2"/>
              <w:bottom w:val="single" w:sz="8" w:space="0" w:color="E7E6E6" w:themeColor="background2"/>
            </w:tcBorders>
          </w:tcPr>
          <w:p w14:paraId="36DFFE28" w14:textId="77777777" w:rsidR="00AD6413" w:rsidRPr="00FF7558" w:rsidRDefault="00AD6413"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r>
      <w:tr w:rsidR="00AD6413" w:rsidRPr="00FF7558" w14:paraId="6549415F" w14:textId="77777777" w:rsidTr="00AD6413">
        <w:trPr>
          <w:trHeight w:val="2565"/>
        </w:trPr>
        <w:tc>
          <w:tcPr>
            <w:cnfStyle w:val="001000000000" w:firstRow="0" w:lastRow="0" w:firstColumn="1" w:lastColumn="0" w:oddVBand="0" w:evenVBand="0" w:oddHBand="0" w:evenHBand="0" w:firstRowFirstColumn="0" w:firstRowLastColumn="0" w:lastRowFirstColumn="0" w:lastRowLastColumn="0"/>
            <w:tcW w:w="446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31E105C6" w14:textId="77777777" w:rsidR="00AD6413" w:rsidRPr="00FF7558" w:rsidRDefault="00AD6413" w:rsidP="00EB6E11">
            <w:pPr>
              <w:pStyle w:val="Odstavecseseznamem"/>
              <w:numPr>
                <w:ilvl w:val="0"/>
                <w:numId w:val="14"/>
              </w:numPr>
              <w:spacing w:before="0" w:after="0" w:line="240" w:lineRule="auto"/>
              <w:ind w:left="284" w:hanging="284"/>
              <w:contextualSpacing/>
            </w:pPr>
            <w:r w:rsidRPr="00FF7558">
              <w:t>zadávání identifikovaných problémů do Portálu podpory</w:t>
            </w:r>
          </w:p>
          <w:p w14:paraId="20A74756" w14:textId="77777777" w:rsidR="00AD6413" w:rsidRPr="00FF7558" w:rsidRDefault="00AD6413" w:rsidP="00EB6E11">
            <w:pPr>
              <w:pStyle w:val="Odstavecseseznamem"/>
              <w:numPr>
                <w:ilvl w:val="0"/>
                <w:numId w:val="14"/>
              </w:numPr>
              <w:spacing w:before="0" w:after="0" w:line="240" w:lineRule="auto"/>
              <w:ind w:left="284" w:hanging="284"/>
              <w:contextualSpacing/>
            </w:pPr>
            <w:r w:rsidRPr="00FF7558">
              <w:t xml:space="preserve">schvalování navržených změn v případě, kdy je problém řešen změnou = </w:t>
            </w:r>
            <w:proofErr w:type="spellStart"/>
            <w:r w:rsidRPr="00FF7558">
              <w:t>Change</w:t>
            </w:r>
            <w:proofErr w:type="spellEnd"/>
            <w:r w:rsidRPr="00FF7558">
              <w:t xml:space="preserve"> </w:t>
            </w:r>
            <w:proofErr w:type="spellStart"/>
            <w:r w:rsidRPr="00FF7558">
              <w:t>managemennt</w:t>
            </w:r>
            <w:proofErr w:type="spellEnd"/>
          </w:p>
          <w:p w14:paraId="4C686FE1" w14:textId="77777777" w:rsidR="00AD6413" w:rsidRPr="00FF7558" w:rsidRDefault="00AD6413" w:rsidP="00EB6E11">
            <w:pPr>
              <w:pStyle w:val="Odstavecseseznamem"/>
              <w:numPr>
                <w:ilvl w:val="0"/>
                <w:numId w:val="14"/>
              </w:numPr>
              <w:spacing w:before="0" w:after="0" w:line="240" w:lineRule="auto"/>
              <w:ind w:left="284" w:hanging="284"/>
              <w:contextualSpacing/>
            </w:pPr>
            <w:r w:rsidRPr="00FF7558">
              <w:t>zajištění odpovídajících zdrojů (technických, personálních) pro adekvátní řešení problému</w:t>
            </w:r>
          </w:p>
          <w:p w14:paraId="5D98E912" w14:textId="77777777" w:rsidR="00AD6413" w:rsidRPr="00FF7558" w:rsidRDefault="00AD6413" w:rsidP="00EB6E11">
            <w:pPr>
              <w:pStyle w:val="Odstavecseseznamem"/>
              <w:numPr>
                <w:ilvl w:val="0"/>
                <w:numId w:val="14"/>
              </w:numPr>
              <w:spacing w:before="0" w:after="0" w:line="240" w:lineRule="auto"/>
              <w:ind w:left="284" w:hanging="284"/>
              <w:contextualSpacing/>
            </w:pPr>
            <w:r w:rsidRPr="00FF7558">
              <w:t>prosazení řešení problémů a poskytnutí součinnosti během řešení problémů</w:t>
            </w:r>
          </w:p>
          <w:p w14:paraId="4E324BAD" w14:textId="77777777" w:rsidR="00AD6413" w:rsidRPr="00FF7558" w:rsidRDefault="00AD6413" w:rsidP="00EB6E11">
            <w:pPr>
              <w:pStyle w:val="Odstavecseseznamem"/>
              <w:numPr>
                <w:ilvl w:val="0"/>
                <w:numId w:val="14"/>
              </w:numPr>
              <w:spacing w:before="0" w:after="0" w:line="240" w:lineRule="auto"/>
              <w:ind w:left="284" w:hanging="284"/>
              <w:contextualSpacing/>
            </w:pPr>
            <w:r w:rsidRPr="00FF7558">
              <w:t>zajištění stanoviska a plánu řešení identifikovaných problémů</w:t>
            </w:r>
          </w:p>
          <w:p w14:paraId="7A8E1A83" w14:textId="77777777" w:rsidR="00AD6413" w:rsidRPr="00FF7558" w:rsidRDefault="00AD6413" w:rsidP="00EB6E11">
            <w:pPr>
              <w:pStyle w:val="Odstavecseseznamem"/>
              <w:numPr>
                <w:ilvl w:val="0"/>
                <w:numId w:val="14"/>
              </w:numPr>
              <w:spacing w:before="0" w:after="0" w:line="240" w:lineRule="auto"/>
              <w:ind w:left="284" w:hanging="284"/>
              <w:contextualSpacing/>
            </w:pPr>
            <w:r w:rsidRPr="00FF7558">
              <w:t>řízení životního cyklu problému</w:t>
            </w:r>
          </w:p>
        </w:tc>
        <w:tc>
          <w:tcPr>
            <w:tcW w:w="202" w:type="dxa"/>
            <w:tcBorders>
              <w:top w:val="nil"/>
              <w:left w:val="single" w:sz="8" w:space="0" w:color="E7E6E6" w:themeColor="background2"/>
              <w:bottom w:val="nil"/>
              <w:right w:val="single" w:sz="8" w:space="0" w:color="E7E6E6" w:themeColor="background2"/>
            </w:tcBorders>
            <w:vAlign w:val="top"/>
          </w:tcPr>
          <w:p w14:paraId="389C1EA8" w14:textId="77777777" w:rsidR="00AD6413" w:rsidRPr="00FF7558" w:rsidRDefault="00AD6413" w:rsidP="00337D77">
            <w:pPr>
              <w:cnfStyle w:val="000000000000" w:firstRow="0" w:lastRow="0" w:firstColumn="0" w:lastColumn="0" w:oddVBand="0" w:evenVBand="0" w:oddHBand="0" w:evenHBand="0" w:firstRowFirstColumn="0" w:firstRowLastColumn="0" w:lastRowFirstColumn="0" w:lastRowLastColumn="0"/>
            </w:pPr>
          </w:p>
        </w:tc>
        <w:tc>
          <w:tcPr>
            <w:tcW w:w="44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5850F1AA" w14:textId="77777777" w:rsidR="00AD6413" w:rsidRPr="00FF7558" w:rsidRDefault="00AD6413"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identifikování problémů (jako příčinu incidentů, sledování aplikace) a jejich zadání do Portálu podpory</w:t>
            </w:r>
          </w:p>
          <w:p w14:paraId="3453F068" w14:textId="77777777" w:rsidR="00AD6413" w:rsidRPr="00FF7558" w:rsidRDefault="00AD6413"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návrh řešení zadaných problémů</w:t>
            </w:r>
          </w:p>
          <w:p w14:paraId="133AA3F8" w14:textId="77777777" w:rsidR="00AD6413" w:rsidRPr="00FF7558" w:rsidRDefault="00AD6413"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 xml:space="preserve"> evidování průběhu řešení úkolů v rámci problém managementu a evidování množství spotřebovaného času na řešení</w:t>
            </w:r>
          </w:p>
          <w:p w14:paraId="4BB120EF" w14:textId="77777777" w:rsidR="00AD6413" w:rsidRPr="00FF7558" w:rsidRDefault="00AD6413"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reporting</w:t>
            </w:r>
          </w:p>
        </w:tc>
      </w:tr>
    </w:tbl>
    <w:p w14:paraId="1CA80D00" w14:textId="45F622DE" w:rsidR="00FE6BCB" w:rsidRPr="00FF7558" w:rsidRDefault="00FE6BCB" w:rsidP="00EB6E11">
      <w:pPr>
        <w:pStyle w:val="Odstavecseseznamem"/>
        <w:numPr>
          <w:ilvl w:val="0"/>
          <w:numId w:val="22"/>
        </w:numPr>
        <w:rPr>
          <w:lang w:eastAsia="cs-CZ"/>
        </w:rPr>
      </w:pPr>
      <w:r w:rsidRPr="00FF7558">
        <w:rPr>
          <w:lang w:eastAsia="cs-CZ"/>
        </w:rPr>
        <w:t>Případ typu „</w:t>
      </w:r>
      <w:proofErr w:type="spellStart"/>
      <w:r w:rsidRPr="00FF7558">
        <w:rPr>
          <w:lang w:eastAsia="cs-CZ"/>
        </w:rPr>
        <w:t>Problem</w:t>
      </w:r>
      <w:proofErr w:type="spellEnd"/>
      <w:r w:rsidRPr="00FF7558">
        <w:rPr>
          <w:lang w:eastAsia="cs-CZ"/>
        </w:rPr>
        <w:t xml:space="preserve">“ je procesován pouze v rámci priorit „C“ nebo „C+“.  Při zadání problému do Portálu podpory je Zákazník povinen definovat tyto základní atributy: </w:t>
      </w:r>
    </w:p>
    <w:p w14:paraId="760778B0" w14:textId="119259E2" w:rsidR="00FE6BCB" w:rsidRPr="00FF7558" w:rsidRDefault="00FE6BCB" w:rsidP="00EB6E11">
      <w:pPr>
        <w:pStyle w:val="Odstavecseseznamem"/>
        <w:numPr>
          <w:ilvl w:val="0"/>
          <w:numId w:val="16"/>
        </w:numPr>
        <w:rPr>
          <w:lang w:eastAsia="cs-CZ"/>
        </w:rPr>
      </w:pPr>
      <w:r w:rsidRPr="00FF7558">
        <w:rPr>
          <w:lang w:eastAsia="cs-CZ"/>
        </w:rPr>
        <w:t xml:space="preserve">typ = </w:t>
      </w:r>
      <w:proofErr w:type="spellStart"/>
      <w:r w:rsidRPr="00FF7558">
        <w:rPr>
          <w:lang w:eastAsia="cs-CZ"/>
        </w:rPr>
        <w:t>Problem</w:t>
      </w:r>
      <w:proofErr w:type="spellEnd"/>
      <w:r w:rsidRPr="00FF7558">
        <w:rPr>
          <w:lang w:eastAsia="cs-CZ"/>
        </w:rPr>
        <w:t>,</w:t>
      </w:r>
    </w:p>
    <w:p w14:paraId="17ADE0EA" w14:textId="228CB4D0" w:rsidR="00FE6BCB" w:rsidRPr="00FF7558" w:rsidRDefault="00FE6BCB" w:rsidP="00EB6E11">
      <w:pPr>
        <w:pStyle w:val="Odstavecseseznamem"/>
        <w:numPr>
          <w:ilvl w:val="0"/>
          <w:numId w:val="16"/>
        </w:numPr>
        <w:rPr>
          <w:lang w:eastAsia="cs-CZ"/>
        </w:rPr>
      </w:pPr>
      <w:r w:rsidRPr="00FF7558">
        <w:rPr>
          <w:lang w:eastAsia="cs-CZ"/>
        </w:rPr>
        <w:t>stručný popis problému,</w:t>
      </w:r>
    </w:p>
    <w:p w14:paraId="049A36EB" w14:textId="4B1980EF" w:rsidR="00FE6BCB" w:rsidRPr="00FF7558" w:rsidRDefault="00FE6BCB" w:rsidP="00EB6E11">
      <w:pPr>
        <w:pStyle w:val="Odstavecseseznamem"/>
        <w:numPr>
          <w:ilvl w:val="0"/>
          <w:numId w:val="16"/>
        </w:numPr>
        <w:rPr>
          <w:lang w:eastAsia="cs-CZ"/>
        </w:rPr>
      </w:pPr>
      <w:r w:rsidRPr="00FF7558">
        <w:rPr>
          <w:lang w:eastAsia="cs-CZ"/>
        </w:rPr>
        <w:t>komponentu (y) uvedené v Tab. č. 1 této přílohy, která (é) problém způsobují,</w:t>
      </w:r>
    </w:p>
    <w:p w14:paraId="2B399AE8" w14:textId="7A3B23B6" w:rsidR="00FE6BCB" w:rsidRPr="00FF7558" w:rsidRDefault="00FE6BCB" w:rsidP="00EB6E11">
      <w:pPr>
        <w:pStyle w:val="Odstavecseseznamem"/>
        <w:numPr>
          <w:ilvl w:val="0"/>
          <w:numId w:val="16"/>
        </w:numPr>
        <w:rPr>
          <w:lang w:eastAsia="cs-CZ"/>
        </w:rPr>
      </w:pPr>
      <w:r w:rsidRPr="00FF7558">
        <w:rPr>
          <w:lang w:eastAsia="cs-CZ"/>
        </w:rPr>
        <w:t>seznam incidentů, které jsou řešeny zadávaným problémem,</w:t>
      </w:r>
    </w:p>
    <w:p w14:paraId="5BF87F56" w14:textId="2FBA97AD" w:rsidR="00FE6BCB" w:rsidRPr="00FF7558" w:rsidRDefault="00FE6BCB" w:rsidP="00EB6E11">
      <w:pPr>
        <w:pStyle w:val="Odstavecseseznamem"/>
        <w:numPr>
          <w:ilvl w:val="0"/>
          <w:numId w:val="16"/>
        </w:numPr>
        <w:rPr>
          <w:lang w:eastAsia="cs-CZ"/>
        </w:rPr>
      </w:pPr>
      <w:r w:rsidRPr="00FF7558">
        <w:rPr>
          <w:lang w:eastAsia="cs-CZ"/>
        </w:rPr>
        <w:t>detailní popis nalezené společné příčiny incidentů uvedených v seznamu.</w:t>
      </w:r>
    </w:p>
    <w:p w14:paraId="32E8F0B5" w14:textId="533AEE2B" w:rsidR="00FE6BCB" w:rsidRPr="005B26A3" w:rsidRDefault="00FE6BCB" w:rsidP="005B26A3">
      <w:pPr>
        <w:pStyle w:val="Nadpis2"/>
        <w:rPr>
          <w:b/>
          <w:lang w:eastAsia="cs-CZ"/>
        </w:rPr>
      </w:pPr>
      <w:r w:rsidRPr="005B26A3">
        <w:rPr>
          <w:b/>
          <w:lang w:eastAsia="cs-CZ"/>
        </w:rPr>
        <w:t>Change management</w:t>
      </w:r>
    </w:p>
    <w:p w14:paraId="2594D4C5" w14:textId="36EF988C" w:rsidR="005B26A3" w:rsidRDefault="00FE6BCB" w:rsidP="00EB6E11">
      <w:pPr>
        <w:pStyle w:val="Odstavecseseznamem"/>
        <w:numPr>
          <w:ilvl w:val="0"/>
          <w:numId w:val="23"/>
        </w:numPr>
        <w:rPr>
          <w:lang w:eastAsia="cs-CZ"/>
        </w:rPr>
      </w:pPr>
      <w:r w:rsidRPr="00FF7558">
        <w:rPr>
          <w:lang w:eastAsia="cs-CZ"/>
        </w:rPr>
        <w:t>Rozdělení odpovědností v rámci Change management je následující:</w:t>
      </w:r>
    </w:p>
    <w:p w14:paraId="20BBF59F" w14:textId="65CAA888" w:rsidR="0083651C" w:rsidRDefault="0083651C" w:rsidP="0083651C">
      <w:pPr>
        <w:pStyle w:val="Odstavecseseznamem"/>
        <w:ind w:left="720"/>
        <w:rPr>
          <w:lang w:eastAsia="cs-CZ"/>
        </w:rPr>
      </w:pPr>
    </w:p>
    <w:p w14:paraId="2AB04618" w14:textId="477DD4A5" w:rsidR="0083651C" w:rsidRDefault="0083651C" w:rsidP="0083651C">
      <w:pPr>
        <w:pStyle w:val="Odstavecseseznamem"/>
        <w:ind w:left="720"/>
        <w:rPr>
          <w:lang w:eastAsia="cs-CZ"/>
        </w:rPr>
      </w:pPr>
    </w:p>
    <w:p w14:paraId="4153942F" w14:textId="3E68AB89" w:rsidR="0083651C" w:rsidRDefault="0083651C" w:rsidP="0083651C">
      <w:pPr>
        <w:pStyle w:val="Odstavecseseznamem"/>
        <w:ind w:left="720"/>
        <w:rPr>
          <w:lang w:eastAsia="cs-CZ"/>
        </w:rPr>
      </w:pPr>
    </w:p>
    <w:p w14:paraId="50898627" w14:textId="46EC68C6" w:rsidR="0083651C" w:rsidRDefault="0083651C" w:rsidP="0083651C">
      <w:pPr>
        <w:pStyle w:val="Odstavecseseznamem"/>
        <w:ind w:left="720"/>
        <w:rPr>
          <w:lang w:eastAsia="cs-CZ"/>
        </w:rPr>
      </w:pPr>
    </w:p>
    <w:p w14:paraId="767C4F44" w14:textId="19F9CDA8" w:rsidR="0083651C" w:rsidRDefault="0083651C" w:rsidP="0083651C">
      <w:pPr>
        <w:pStyle w:val="Odstavecseseznamem"/>
        <w:ind w:left="720"/>
        <w:rPr>
          <w:lang w:eastAsia="cs-CZ"/>
        </w:rPr>
      </w:pPr>
    </w:p>
    <w:p w14:paraId="1F535384" w14:textId="77777777" w:rsidR="0083651C" w:rsidRPr="00FF7558" w:rsidRDefault="0083651C" w:rsidP="0083651C">
      <w:pPr>
        <w:pStyle w:val="Odstavecseseznamem"/>
        <w:ind w:left="720"/>
        <w:rPr>
          <w:lang w:eastAsia="cs-CZ"/>
        </w:rPr>
      </w:pPr>
    </w:p>
    <w:tbl>
      <w:tblPr>
        <w:tblStyle w:val="TRASK1"/>
        <w:tblW w:w="8986" w:type="dxa"/>
        <w:tblCellMar>
          <w:top w:w="57" w:type="dxa"/>
          <w:bottom w:w="57" w:type="dxa"/>
        </w:tblCellMar>
        <w:tblLook w:val="04A0" w:firstRow="1" w:lastRow="0" w:firstColumn="1" w:lastColumn="0" w:noHBand="0" w:noVBand="1"/>
      </w:tblPr>
      <w:tblGrid>
        <w:gridCol w:w="4383"/>
        <w:gridCol w:w="222"/>
        <w:gridCol w:w="4381"/>
      </w:tblGrid>
      <w:tr w:rsidR="00133495" w:rsidRPr="00FF7558" w14:paraId="4BBC711C" w14:textId="77777777" w:rsidTr="0013349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394" w:type="dxa"/>
            <w:tcBorders>
              <w:top w:val="single" w:sz="24" w:space="0" w:color="44546A" w:themeColor="text2"/>
              <w:bottom w:val="single" w:sz="24" w:space="0" w:color="44546A" w:themeColor="text2"/>
            </w:tcBorders>
          </w:tcPr>
          <w:p w14:paraId="2C1BD2B3" w14:textId="77777777" w:rsidR="00133495" w:rsidRPr="00FF7558" w:rsidRDefault="00133495" w:rsidP="00337D77">
            <w:pPr>
              <w:spacing w:line="240" w:lineRule="auto"/>
              <w:rPr>
                <w:rFonts w:ascii="Roboto Black" w:hAnsi="Roboto Black"/>
                <w:color w:val="44546A" w:themeColor="text2"/>
                <w:szCs w:val="20"/>
              </w:rPr>
            </w:pPr>
            <w:r w:rsidRPr="00FF7558">
              <w:rPr>
                <w:rFonts w:ascii="Roboto Black" w:hAnsi="Roboto Black" w:cs="Roboto-Black"/>
                <w:color w:val="44546A" w:themeColor="text2"/>
                <w:szCs w:val="20"/>
              </w:rPr>
              <w:lastRenderedPageBreak/>
              <w:t xml:space="preserve">Zákazník odpovídá za </w:t>
            </w:r>
          </w:p>
        </w:tc>
        <w:tc>
          <w:tcPr>
            <w:tcW w:w="199" w:type="dxa"/>
            <w:tcBorders>
              <w:top w:val="nil"/>
            </w:tcBorders>
          </w:tcPr>
          <w:p w14:paraId="426EEA94" w14:textId="77777777" w:rsidR="00133495" w:rsidRPr="00FF7558" w:rsidRDefault="00133495"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p>
        </w:tc>
        <w:tc>
          <w:tcPr>
            <w:tcW w:w="4393" w:type="dxa"/>
            <w:tcBorders>
              <w:top w:val="single" w:sz="24" w:space="0" w:color="44546A" w:themeColor="text2"/>
              <w:bottom w:val="single" w:sz="24" w:space="0" w:color="44546A" w:themeColor="text2"/>
            </w:tcBorders>
          </w:tcPr>
          <w:p w14:paraId="342A0988" w14:textId="77777777" w:rsidR="00133495" w:rsidRPr="00FF7558" w:rsidRDefault="00133495"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r w:rsidRPr="00FF7558">
              <w:rPr>
                <w:rFonts w:ascii="Roboto Black" w:hAnsi="Roboto Black"/>
                <w:color w:val="44546A" w:themeColor="text2"/>
                <w:szCs w:val="20"/>
              </w:rPr>
              <w:t>Poskytovatel odpovídá za</w:t>
            </w:r>
          </w:p>
        </w:tc>
      </w:tr>
      <w:tr w:rsidR="00133495" w:rsidRPr="00FF7558" w14:paraId="21486A99" w14:textId="77777777" w:rsidTr="00133495">
        <w:trPr>
          <w:trHeight w:val="18"/>
        </w:trPr>
        <w:tc>
          <w:tcPr>
            <w:cnfStyle w:val="001000000000" w:firstRow="0" w:lastRow="0" w:firstColumn="1" w:lastColumn="0" w:oddVBand="0" w:evenVBand="0" w:oddHBand="0" w:evenHBand="0" w:firstRowFirstColumn="0" w:firstRowLastColumn="0" w:lastRowFirstColumn="0" w:lastRowLastColumn="0"/>
            <w:tcW w:w="4394" w:type="dxa"/>
            <w:tcBorders>
              <w:top w:val="single" w:sz="24" w:space="0" w:color="44546A" w:themeColor="text2"/>
              <w:bottom w:val="single" w:sz="8" w:space="0" w:color="E7E6E6" w:themeColor="background2"/>
            </w:tcBorders>
          </w:tcPr>
          <w:p w14:paraId="174C1CAF" w14:textId="77777777" w:rsidR="00133495" w:rsidRPr="00FF7558" w:rsidRDefault="00133495" w:rsidP="00337D77">
            <w:pPr>
              <w:spacing w:line="240" w:lineRule="auto"/>
              <w:rPr>
                <w:sz w:val="4"/>
                <w:szCs w:val="4"/>
              </w:rPr>
            </w:pPr>
          </w:p>
        </w:tc>
        <w:tc>
          <w:tcPr>
            <w:tcW w:w="199" w:type="dxa"/>
            <w:tcBorders>
              <w:top w:val="nil"/>
              <w:bottom w:val="nil"/>
            </w:tcBorders>
          </w:tcPr>
          <w:p w14:paraId="5DF5336C" w14:textId="77777777" w:rsidR="00133495" w:rsidRPr="00FF7558" w:rsidRDefault="00133495"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4393" w:type="dxa"/>
            <w:tcBorders>
              <w:top w:val="single" w:sz="24" w:space="0" w:color="44546A" w:themeColor="text2"/>
              <w:bottom w:val="single" w:sz="8" w:space="0" w:color="E7E6E6" w:themeColor="background2"/>
            </w:tcBorders>
          </w:tcPr>
          <w:p w14:paraId="22C2ABE0" w14:textId="77777777" w:rsidR="00133495" w:rsidRPr="00FF7558" w:rsidRDefault="00133495"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r>
      <w:tr w:rsidR="00133495" w:rsidRPr="00FF7558" w14:paraId="3794E1A9" w14:textId="77777777" w:rsidTr="00133495">
        <w:trPr>
          <w:trHeight w:val="1520"/>
        </w:trPr>
        <w:tc>
          <w:tcPr>
            <w:cnfStyle w:val="001000000000" w:firstRow="0" w:lastRow="0" w:firstColumn="1" w:lastColumn="0" w:oddVBand="0" w:evenVBand="0" w:oddHBand="0" w:evenHBand="0" w:firstRowFirstColumn="0" w:firstRowLastColumn="0" w:lastRowFirstColumn="0" w:lastRowLastColumn="0"/>
            <w:tcW w:w="4394"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722E283A" w14:textId="77777777" w:rsidR="00133495" w:rsidRPr="00FF7558" w:rsidRDefault="00133495" w:rsidP="00EB6E11">
            <w:pPr>
              <w:pStyle w:val="Odstavecseseznamem"/>
              <w:numPr>
                <w:ilvl w:val="0"/>
                <w:numId w:val="14"/>
              </w:numPr>
              <w:spacing w:before="0" w:after="0" w:line="240" w:lineRule="auto"/>
              <w:ind w:left="284" w:hanging="284"/>
              <w:contextualSpacing/>
            </w:pPr>
            <w:r w:rsidRPr="00FF7558">
              <w:t>registraci a evidenci změn</w:t>
            </w:r>
          </w:p>
          <w:p w14:paraId="6FCA1F32" w14:textId="77777777" w:rsidR="00133495" w:rsidRPr="00FF7558" w:rsidRDefault="00133495" w:rsidP="00EB6E11">
            <w:pPr>
              <w:pStyle w:val="Odstavecseseznamem"/>
              <w:numPr>
                <w:ilvl w:val="0"/>
                <w:numId w:val="14"/>
              </w:numPr>
              <w:spacing w:before="0" w:after="0" w:line="240" w:lineRule="auto"/>
              <w:ind w:left="284" w:hanging="284"/>
              <w:contextualSpacing/>
            </w:pPr>
            <w:r w:rsidRPr="00FF7558">
              <w:t>jejich prioritizace a kategorizace</w:t>
            </w:r>
          </w:p>
          <w:p w14:paraId="381BB12F" w14:textId="77777777" w:rsidR="00133495" w:rsidRPr="00FF7558" w:rsidRDefault="00133495" w:rsidP="00EB6E11">
            <w:pPr>
              <w:pStyle w:val="Odstavecseseznamem"/>
              <w:numPr>
                <w:ilvl w:val="0"/>
                <w:numId w:val="14"/>
              </w:numPr>
              <w:spacing w:before="0" w:after="0" w:line="240" w:lineRule="auto"/>
              <w:ind w:left="284" w:hanging="284"/>
              <w:contextualSpacing/>
            </w:pPr>
            <w:r w:rsidRPr="00FF7558">
              <w:t xml:space="preserve">plánování a schválení k realizaci (s ohledem na </w:t>
            </w:r>
            <w:proofErr w:type="spellStart"/>
            <w:r w:rsidRPr="00FF7558">
              <w:t>Telease</w:t>
            </w:r>
            <w:proofErr w:type="spellEnd"/>
            <w:r w:rsidRPr="00FF7558">
              <w:t xml:space="preserve"> management)</w:t>
            </w:r>
          </w:p>
          <w:p w14:paraId="196920D5" w14:textId="77777777" w:rsidR="00133495" w:rsidRPr="00FF7558" w:rsidRDefault="00133495" w:rsidP="00EB6E11">
            <w:pPr>
              <w:pStyle w:val="Odstavecseseznamem"/>
              <w:numPr>
                <w:ilvl w:val="0"/>
                <w:numId w:val="14"/>
              </w:numPr>
              <w:spacing w:before="0" w:after="0" w:line="240" w:lineRule="auto"/>
              <w:ind w:left="284" w:hanging="284"/>
              <w:contextualSpacing/>
            </w:pPr>
            <w:r w:rsidRPr="00FF7558">
              <w:t>zajištění zdrojů pro realizaci změn včetně koordinace třetích stran</w:t>
            </w:r>
          </w:p>
          <w:p w14:paraId="711D4D2A" w14:textId="77777777" w:rsidR="00133495" w:rsidRPr="00FF7558" w:rsidRDefault="00133495" w:rsidP="00EB6E11">
            <w:pPr>
              <w:pStyle w:val="Odstavecseseznamem"/>
              <w:numPr>
                <w:ilvl w:val="0"/>
                <w:numId w:val="14"/>
              </w:numPr>
              <w:spacing w:before="0" w:after="0" w:line="240" w:lineRule="auto"/>
              <w:ind w:left="284" w:hanging="284"/>
              <w:contextualSpacing/>
            </w:pPr>
            <w:r w:rsidRPr="00FF7558">
              <w:t>řízení životního cyklu změn</w:t>
            </w:r>
          </w:p>
        </w:tc>
        <w:tc>
          <w:tcPr>
            <w:tcW w:w="199" w:type="dxa"/>
            <w:tcBorders>
              <w:top w:val="nil"/>
              <w:left w:val="single" w:sz="8" w:space="0" w:color="E7E6E6" w:themeColor="background2"/>
              <w:bottom w:val="nil"/>
              <w:right w:val="single" w:sz="8" w:space="0" w:color="E7E6E6" w:themeColor="background2"/>
            </w:tcBorders>
            <w:vAlign w:val="top"/>
          </w:tcPr>
          <w:p w14:paraId="0C263088" w14:textId="77777777" w:rsidR="00133495" w:rsidRPr="00FF7558" w:rsidRDefault="00133495" w:rsidP="00337D77">
            <w:pPr>
              <w:cnfStyle w:val="000000000000" w:firstRow="0" w:lastRow="0" w:firstColumn="0" w:lastColumn="0" w:oddVBand="0" w:evenVBand="0" w:oddHBand="0" w:evenHBand="0" w:firstRowFirstColumn="0" w:firstRowLastColumn="0" w:lastRowFirstColumn="0" w:lastRowLastColumn="0"/>
            </w:pPr>
          </w:p>
        </w:tc>
        <w:tc>
          <w:tcPr>
            <w:tcW w:w="4393"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30209704" w14:textId="77777777" w:rsidR="00133495" w:rsidRPr="00FF7558" w:rsidRDefault="00133495"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analýza změny – vyhodnocení dopadu</w:t>
            </w:r>
          </w:p>
          <w:p w14:paraId="6D4E4479" w14:textId="77777777" w:rsidR="00133495" w:rsidRPr="00FF7558" w:rsidRDefault="00133495"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návrh řešení změny</w:t>
            </w:r>
          </w:p>
          <w:p w14:paraId="6EA5D5DB" w14:textId="77777777" w:rsidR="00133495" w:rsidRPr="00FF7558" w:rsidRDefault="00133495"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realizaci schválené změny</w:t>
            </w:r>
          </w:p>
          <w:p w14:paraId="6B0A3528" w14:textId="77777777" w:rsidR="00133495" w:rsidRPr="00FF7558" w:rsidRDefault="00133495"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dokumentaci změny</w:t>
            </w:r>
          </w:p>
          <w:p w14:paraId="01A63074" w14:textId="77777777" w:rsidR="00133495" w:rsidRPr="00FF7558" w:rsidRDefault="00133495" w:rsidP="00337D77">
            <w:pPr>
              <w:pStyle w:val="Odstavecseseznamem"/>
              <w:spacing w:line="240" w:lineRule="auto"/>
              <w:ind w:left="284"/>
              <w:cnfStyle w:val="000000000000" w:firstRow="0" w:lastRow="0" w:firstColumn="0" w:lastColumn="0" w:oddVBand="0" w:evenVBand="0" w:oddHBand="0" w:evenHBand="0" w:firstRowFirstColumn="0" w:firstRowLastColumn="0" w:lastRowFirstColumn="0" w:lastRowLastColumn="0"/>
            </w:pPr>
            <w:proofErr w:type="spellStart"/>
            <w:r w:rsidRPr="00FF7558">
              <w:t>release</w:t>
            </w:r>
            <w:proofErr w:type="spellEnd"/>
            <w:r w:rsidRPr="00FF7558">
              <w:t xml:space="preserve"> notes</w:t>
            </w:r>
          </w:p>
          <w:p w14:paraId="5F9D7B6D" w14:textId="77777777" w:rsidR="00133495" w:rsidRPr="00FF7558" w:rsidRDefault="00133495" w:rsidP="00337D77">
            <w:pPr>
              <w:pStyle w:val="Odstavecseseznamem"/>
              <w:spacing w:line="240" w:lineRule="auto"/>
              <w:ind w:left="284"/>
              <w:cnfStyle w:val="000000000000" w:firstRow="0" w:lastRow="0" w:firstColumn="0" w:lastColumn="0" w:oddVBand="0" w:evenVBand="0" w:oddHBand="0" w:evenHBand="0" w:firstRowFirstColumn="0" w:firstRowLastColumn="0" w:lastRowFirstColumn="0" w:lastRowLastColumn="0"/>
            </w:pPr>
            <w:r w:rsidRPr="00FF7558">
              <w:t>postup instalace</w:t>
            </w:r>
          </w:p>
        </w:tc>
      </w:tr>
    </w:tbl>
    <w:p w14:paraId="5C8BF140" w14:textId="3B4C891B" w:rsidR="00FE6BCB" w:rsidRPr="00FF7558" w:rsidRDefault="00FE6BCB" w:rsidP="00EB6E11">
      <w:pPr>
        <w:pStyle w:val="Odstavecseseznamem"/>
        <w:numPr>
          <w:ilvl w:val="0"/>
          <w:numId w:val="23"/>
        </w:numPr>
        <w:jc w:val="both"/>
        <w:rPr>
          <w:lang w:eastAsia="cs-CZ"/>
        </w:rPr>
      </w:pPr>
      <w:r w:rsidRPr="00FF7558">
        <w:rPr>
          <w:lang w:eastAsia="cs-CZ"/>
        </w:rPr>
        <w:t xml:space="preserve">Změna je procesována pouze v rámci priorit „C“ nebo „C+“. Při zadání změny do Portálu podpory je Zákazník povinen definovat tyto základní atributy: </w:t>
      </w:r>
    </w:p>
    <w:p w14:paraId="7FB30A13" w14:textId="5D57B816" w:rsidR="00FE6BCB" w:rsidRPr="00FF7558" w:rsidRDefault="00FE6BCB" w:rsidP="00EB6E11">
      <w:pPr>
        <w:pStyle w:val="Odstavecseseznamem"/>
        <w:numPr>
          <w:ilvl w:val="0"/>
          <w:numId w:val="17"/>
        </w:numPr>
        <w:rPr>
          <w:lang w:eastAsia="cs-CZ"/>
        </w:rPr>
      </w:pPr>
      <w:r w:rsidRPr="00FF7558">
        <w:rPr>
          <w:lang w:eastAsia="cs-CZ"/>
        </w:rPr>
        <w:t xml:space="preserve">Typ = </w:t>
      </w:r>
      <w:proofErr w:type="spellStart"/>
      <w:r w:rsidRPr="00FF7558">
        <w:rPr>
          <w:lang w:eastAsia="cs-CZ"/>
        </w:rPr>
        <w:t>Change</w:t>
      </w:r>
      <w:proofErr w:type="spellEnd"/>
      <w:r w:rsidRPr="00FF7558">
        <w:rPr>
          <w:lang w:eastAsia="cs-CZ"/>
        </w:rPr>
        <w:t xml:space="preserve"> </w:t>
      </w:r>
      <w:proofErr w:type="spellStart"/>
      <w:r w:rsidRPr="00FF7558">
        <w:rPr>
          <w:lang w:eastAsia="cs-CZ"/>
        </w:rPr>
        <w:t>Request</w:t>
      </w:r>
      <w:proofErr w:type="spellEnd"/>
    </w:p>
    <w:p w14:paraId="12967557" w14:textId="29E0CA52" w:rsidR="00FE6BCB" w:rsidRPr="00FF7558" w:rsidRDefault="00FE6BCB" w:rsidP="00EB6E11">
      <w:pPr>
        <w:pStyle w:val="Odstavecseseznamem"/>
        <w:numPr>
          <w:ilvl w:val="0"/>
          <w:numId w:val="17"/>
        </w:numPr>
        <w:rPr>
          <w:lang w:eastAsia="cs-CZ"/>
        </w:rPr>
      </w:pPr>
      <w:r w:rsidRPr="00FF7558">
        <w:rPr>
          <w:lang w:eastAsia="cs-CZ"/>
        </w:rPr>
        <w:t>komponenta uvedená v Tab. č. 1 této přílohy vč. verze, která má být měněna,</w:t>
      </w:r>
    </w:p>
    <w:p w14:paraId="31203697" w14:textId="386A4212" w:rsidR="00FE6BCB" w:rsidRPr="00FF7558" w:rsidRDefault="00FE6BCB" w:rsidP="00EB6E11">
      <w:pPr>
        <w:pStyle w:val="Odstavecseseznamem"/>
        <w:numPr>
          <w:ilvl w:val="0"/>
          <w:numId w:val="17"/>
        </w:numPr>
        <w:rPr>
          <w:lang w:eastAsia="cs-CZ"/>
        </w:rPr>
      </w:pPr>
      <w:r w:rsidRPr="00FF7558">
        <w:rPr>
          <w:lang w:eastAsia="cs-CZ"/>
        </w:rPr>
        <w:t>detailní popis změny,</w:t>
      </w:r>
    </w:p>
    <w:p w14:paraId="3BDB0A3C" w14:textId="38BFBF49" w:rsidR="00FE6BCB" w:rsidRPr="00FF7558" w:rsidRDefault="00FE6BCB" w:rsidP="00EB6E11">
      <w:pPr>
        <w:pStyle w:val="Odstavecseseznamem"/>
        <w:numPr>
          <w:ilvl w:val="0"/>
          <w:numId w:val="17"/>
        </w:numPr>
        <w:rPr>
          <w:lang w:eastAsia="cs-CZ"/>
        </w:rPr>
      </w:pPr>
      <w:r w:rsidRPr="00FF7558">
        <w:rPr>
          <w:lang w:eastAsia="cs-CZ"/>
        </w:rPr>
        <w:t>důvod a dopady změny,</w:t>
      </w:r>
    </w:p>
    <w:p w14:paraId="5D246F4B" w14:textId="17D5706B" w:rsidR="00FE6BCB" w:rsidRPr="00FF7558" w:rsidRDefault="00FE6BCB" w:rsidP="00EB6E11">
      <w:pPr>
        <w:pStyle w:val="Odstavecseseznamem"/>
        <w:numPr>
          <w:ilvl w:val="0"/>
          <w:numId w:val="17"/>
        </w:numPr>
        <w:rPr>
          <w:lang w:eastAsia="cs-CZ"/>
        </w:rPr>
      </w:pPr>
      <w:r w:rsidRPr="00FF7558">
        <w:rPr>
          <w:lang w:eastAsia="cs-CZ"/>
        </w:rPr>
        <w:t>důsledky nerealizace změny,</w:t>
      </w:r>
    </w:p>
    <w:p w14:paraId="59CE85BB" w14:textId="15AB61FE" w:rsidR="00FE6BCB" w:rsidRPr="00FF7558" w:rsidRDefault="00FE6BCB" w:rsidP="00EB6E11">
      <w:pPr>
        <w:pStyle w:val="Odstavecseseznamem"/>
        <w:numPr>
          <w:ilvl w:val="0"/>
          <w:numId w:val="17"/>
        </w:numPr>
        <w:rPr>
          <w:lang w:eastAsia="cs-CZ"/>
        </w:rPr>
      </w:pPr>
      <w:r w:rsidRPr="00FF7558">
        <w:rPr>
          <w:lang w:eastAsia="cs-CZ"/>
        </w:rPr>
        <w:t xml:space="preserve">plán implementace – identifikace </w:t>
      </w:r>
      <w:proofErr w:type="spellStart"/>
      <w:r w:rsidRPr="00FF7558">
        <w:rPr>
          <w:lang w:eastAsia="cs-CZ"/>
        </w:rPr>
        <w:t>release</w:t>
      </w:r>
      <w:proofErr w:type="spellEnd"/>
      <w:r w:rsidRPr="00FF7558">
        <w:rPr>
          <w:lang w:eastAsia="cs-CZ"/>
        </w:rPr>
        <w:t>, datum a čas nasazení,</w:t>
      </w:r>
    </w:p>
    <w:p w14:paraId="4520B7CD" w14:textId="2BE01AE0" w:rsidR="00FE6BCB" w:rsidRPr="005B26A3" w:rsidRDefault="00FE6BCB" w:rsidP="005B26A3">
      <w:pPr>
        <w:pStyle w:val="Nadpis2"/>
        <w:rPr>
          <w:b/>
          <w:lang w:eastAsia="cs-CZ"/>
        </w:rPr>
      </w:pPr>
      <w:proofErr w:type="spellStart"/>
      <w:r w:rsidRPr="005B26A3">
        <w:rPr>
          <w:b/>
          <w:lang w:eastAsia="cs-CZ"/>
        </w:rPr>
        <w:t>Release</w:t>
      </w:r>
      <w:proofErr w:type="spellEnd"/>
      <w:r w:rsidRPr="005B26A3">
        <w:rPr>
          <w:b/>
          <w:lang w:eastAsia="cs-CZ"/>
        </w:rPr>
        <w:t xml:space="preserve"> management</w:t>
      </w:r>
    </w:p>
    <w:p w14:paraId="133818DB" w14:textId="415FDB80" w:rsidR="00FE6BCB" w:rsidRPr="00FF7558" w:rsidRDefault="00FE6BCB" w:rsidP="00EB6E11">
      <w:pPr>
        <w:pStyle w:val="Odstavecseseznamem"/>
        <w:numPr>
          <w:ilvl w:val="0"/>
          <w:numId w:val="24"/>
        </w:numPr>
        <w:jc w:val="both"/>
        <w:rPr>
          <w:lang w:eastAsia="cs-CZ"/>
        </w:rPr>
      </w:pPr>
      <w:r w:rsidRPr="00FF7558">
        <w:rPr>
          <w:lang w:eastAsia="cs-CZ"/>
        </w:rPr>
        <w:t xml:space="preserve">Rozdělení odpovědností v rámci </w:t>
      </w:r>
      <w:proofErr w:type="spellStart"/>
      <w:r w:rsidRPr="00FF7558">
        <w:rPr>
          <w:lang w:eastAsia="cs-CZ"/>
        </w:rPr>
        <w:t>Release</w:t>
      </w:r>
      <w:proofErr w:type="spellEnd"/>
      <w:r w:rsidRPr="00FF7558">
        <w:rPr>
          <w:lang w:eastAsia="cs-CZ"/>
        </w:rPr>
        <w:t xml:space="preserve"> management je následující:</w:t>
      </w:r>
    </w:p>
    <w:tbl>
      <w:tblPr>
        <w:tblStyle w:val="TRASK1"/>
        <w:tblW w:w="8970" w:type="dxa"/>
        <w:tblCellMar>
          <w:top w:w="57" w:type="dxa"/>
          <w:bottom w:w="57" w:type="dxa"/>
        </w:tblCellMar>
        <w:tblLook w:val="04A0" w:firstRow="1" w:lastRow="0" w:firstColumn="1" w:lastColumn="0" w:noHBand="0" w:noVBand="1"/>
      </w:tblPr>
      <w:tblGrid>
        <w:gridCol w:w="4375"/>
        <w:gridCol w:w="222"/>
        <w:gridCol w:w="4373"/>
      </w:tblGrid>
      <w:tr w:rsidR="00FE75C1" w:rsidRPr="00FF7558" w14:paraId="3032FBFF" w14:textId="77777777" w:rsidTr="00FE75C1">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386" w:type="dxa"/>
            <w:tcBorders>
              <w:top w:val="single" w:sz="24" w:space="0" w:color="44546A" w:themeColor="text2"/>
              <w:bottom w:val="single" w:sz="24" w:space="0" w:color="44546A" w:themeColor="text2"/>
            </w:tcBorders>
          </w:tcPr>
          <w:p w14:paraId="5CDEF06E" w14:textId="77777777" w:rsidR="00FE75C1" w:rsidRPr="00FF7558" w:rsidRDefault="00FE75C1" w:rsidP="00337D77">
            <w:pPr>
              <w:spacing w:line="240" w:lineRule="auto"/>
              <w:rPr>
                <w:rFonts w:ascii="Roboto Black" w:hAnsi="Roboto Black"/>
                <w:color w:val="44546A" w:themeColor="text2"/>
                <w:szCs w:val="20"/>
              </w:rPr>
            </w:pPr>
            <w:r w:rsidRPr="00FF7558">
              <w:rPr>
                <w:rFonts w:ascii="Roboto Black" w:hAnsi="Roboto Black" w:cs="Roboto-Black"/>
                <w:color w:val="44546A" w:themeColor="text2"/>
                <w:szCs w:val="20"/>
              </w:rPr>
              <w:t>Zákazník odpovídá za</w:t>
            </w:r>
          </w:p>
        </w:tc>
        <w:tc>
          <w:tcPr>
            <w:tcW w:w="199" w:type="dxa"/>
            <w:tcBorders>
              <w:top w:val="nil"/>
            </w:tcBorders>
          </w:tcPr>
          <w:p w14:paraId="6FBA978E" w14:textId="77777777" w:rsidR="00FE75C1" w:rsidRPr="00FF7558" w:rsidRDefault="00FE75C1"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p>
        </w:tc>
        <w:tc>
          <w:tcPr>
            <w:tcW w:w="4385" w:type="dxa"/>
            <w:tcBorders>
              <w:top w:val="single" w:sz="24" w:space="0" w:color="44546A" w:themeColor="text2"/>
              <w:bottom w:val="single" w:sz="24" w:space="0" w:color="44546A" w:themeColor="text2"/>
            </w:tcBorders>
          </w:tcPr>
          <w:p w14:paraId="64551C7E" w14:textId="77777777" w:rsidR="00FE75C1" w:rsidRPr="00FF7558" w:rsidRDefault="00FE75C1" w:rsidP="00337D77">
            <w:pPr>
              <w:spacing w:line="240" w:lineRule="auto"/>
              <w:cnfStyle w:val="100000000000" w:firstRow="1" w:lastRow="0" w:firstColumn="0" w:lastColumn="0" w:oddVBand="0" w:evenVBand="0" w:oddHBand="0" w:evenHBand="0" w:firstRowFirstColumn="0" w:firstRowLastColumn="0" w:lastRowFirstColumn="0" w:lastRowLastColumn="0"/>
              <w:rPr>
                <w:rFonts w:ascii="Roboto Black" w:hAnsi="Roboto Black"/>
                <w:color w:val="44546A" w:themeColor="text2"/>
                <w:szCs w:val="20"/>
              </w:rPr>
            </w:pPr>
            <w:r w:rsidRPr="00FF7558">
              <w:rPr>
                <w:rFonts w:ascii="Roboto Black" w:hAnsi="Roboto Black"/>
                <w:color w:val="44546A" w:themeColor="text2"/>
                <w:szCs w:val="20"/>
              </w:rPr>
              <w:t>Poskytovatel odpovídá za</w:t>
            </w:r>
          </w:p>
        </w:tc>
      </w:tr>
      <w:tr w:rsidR="00FE75C1" w:rsidRPr="00FF7558" w14:paraId="7A18653D" w14:textId="77777777" w:rsidTr="00FE75C1">
        <w:trPr>
          <w:trHeight w:val="20"/>
        </w:trPr>
        <w:tc>
          <w:tcPr>
            <w:cnfStyle w:val="001000000000" w:firstRow="0" w:lastRow="0" w:firstColumn="1" w:lastColumn="0" w:oddVBand="0" w:evenVBand="0" w:oddHBand="0" w:evenHBand="0" w:firstRowFirstColumn="0" w:firstRowLastColumn="0" w:lastRowFirstColumn="0" w:lastRowLastColumn="0"/>
            <w:tcW w:w="4386" w:type="dxa"/>
            <w:tcBorders>
              <w:top w:val="single" w:sz="24" w:space="0" w:color="44546A" w:themeColor="text2"/>
              <w:bottom w:val="single" w:sz="8" w:space="0" w:color="E7E6E6" w:themeColor="background2"/>
            </w:tcBorders>
          </w:tcPr>
          <w:p w14:paraId="2EFA2088" w14:textId="77777777" w:rsidR="00FE75C1" w:rsidRPr="00FF7558" w:rsidRDefault="00FE75C1" w:rsidP="00337D77">
            <w:pPr>
              <w:spacing w:line="240" w:lineRule="auto"/>
              <w:rPr>
                <w:sz w:val="4"/>
                <w:szCs w:val="4"/>
              </w:rPr>
            </w:pPr>
          </w:p>
        </w:tc>
        <w:tc>
          <w:tcPr>
            <w:tcW w:w="199" w:type="dxa"/>
            <w:tcBorders>
              <w:top w:val="nil"/>
              <w:bottom w:val="nil"/>
            </w:tcBorders>
          </w:tcPr>
          <w:p w14:paraId="4CBED267" w14:textId="77777777" w:rsidR="00FE75C1" w:rsidRPr="00FF7558" w:rsidRDefault="00FE75C1"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c>
          <w:tcPr>
            <w:tcW w:w="4385" w:type="dxa"/>
            <w:tcBorders>
              <w:top w:val="single" w:sz="24" w:space="0" w:color="44546A" w:themeColor="text2"/>
              <w:bottom w:val="single" w:sz="8" w:space="0" w:color="E7E6E6" w:themeColor="background2"/>
            </w:tcBorders>
          </w:tcPr>
          <w:p w14:paraId="4F9AA0D2" w14:textId="77777777" w:rsidR="00FE75C1" w:rsidRPr="00FF7558" w:rsidRDefault="00FE75C1" w:rsidP="00337D77">
            <w:pPr>
              <w:spacing w:line="240" w:lineRule="auto"/>
              <w:cnfStyle w:val="000000000000" w:firstRow="0" w:lastRow="0" w:firstColumn="0" w:lastColumn="0" w:oddVBand="0" w:evenVBand="0" w:oddHBand="0" w:evenHBand="0" w:firstRowFirstColumn="0" w:firstRowLastColumn="0" w:lastRowFirstColumn="0" w:lastRowLastColumn="0"/>
              <w:rPr>
                <w:sz w:val="4"/>
                <w:szCs w:val="4"/>
              </w:rPr>
            </w:pPr>
          </w:p>
        </w:tc>
      </w:tr>
      <w:tr w:rsidR="00FE75C1" w:rsidRPr="00FF7558" w14:paraId="3ED3C529" w14:textId="77777777" w:rsidTr="00FE75C1">
        <w:trPr>
          <w:trHeight w:val="1501"/>
        </w:trPr>
        <w:tc>
          <w:tcPr>
            <w:cnfStyle w:val="001000000000" w:firstRow="0" w:lastRow="0" w:firstColumn="1" w:lastColumn="0" w:oddVBand="0" w:evenVBand="0" w:oddHBand="0" w:evenHBand="0" w:firstRowFirstColumn="0" w:firstRowLastColumn="0" w:lastRowFirstColumn="0" w:lastRowLastColumn="0"/>
            <w:tcW w:w="438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14F0C3E8" w14:textId="77777777" w:rsidR="00FE75C1" w:rsidRPr="00FF7558" w:rsidRDefault="00FE75C1" w:rsidP="00EB6E11">
            <w:pPr>
              <w:pStyle w:val="Odstavecseseznamem"/>
              <w:numPr>
                <w:ilvl w:val="0"/>
                <w:numId w:val="14"/>
              </w:numPr>
              <w:spacing w:before="0" w:after="0" w:line="240" w:lineRule="auto"/>
              <w:ind w:left="284" w:hanging="284"/>
              <w:contextualSpacing/>
            </w:pPr>
            <w:r w:rsidRPr="00FF7558">
              <w:t>provoz a správu úložiště platných verzí aplikace, Standardního software</w:t>
            </w:r>
          </w:p>
          <w:p w14:paraId="739860BD" w14:textId="77777777" w:rsidR="00FE75C1" w:rsidRPr="00FF7558" w:rsidRDefault="00FE75C1" w:rsidP="00EB6E11">
            <w:pPr>
              <w:pStyle w:val="Odstavecseseznamem"/>
              <w:numPr>
                <w:ilvl w:val="0"/>
                <w:numId w:val="14"/>
              </w:numPr>
              <w:spacing w:before="0" w:after="0" w:line="240" w:lineRule="auto"/>
              <w:ind w:left="284" w:hanging="284"/>
              <w:contextualSpacing/>
            </w:pPr>
            <w:r w:rsidRPr="00FF7558">
              <w:t xml:space="preserve">definici </w:t>
            </w:r>
            <w:proofErr w:type="spellStart"/>
            <w:r w:rsidRPr="00FF7558">
              <w:t>releasů</w:t>
            </w:r>
            <w:proofErr w:type="spellEnd"/>
            <w:r w:rsidRPr="00FF7558">
              <w:t xml:space="preserve"> a plánu jejich vydávání</w:t>
            </w:r>
          </w:p>
          <w:p w14:paraId="37C41B1C" w14:textId="77777777" w:rsidR="00FE75C1" w:rsidRPr="00FF7558" w:rsidRDefault="00FE75C1" w:rsidP="00EB6E11">
            <w:pPr>
              <w:pStyle w:val="Odstavecseseznamem"/>
              <w:numPr>
                <w:ilvl w:val="0"/>
                <w:numId w:val="14"/>
              </w:numPr>
              <w:spacing w:before="0" w:after="0" w:line="240" w:lineRule="auto"/>
              <w:ind w:left="284" w:hanging="284"/>
              <w:contextualSpacing/>
            </w:pPr>
            <w:r w:rsidRPr="00FF7558">
              <w:t>uživatelské testování před uvolněním do produkčního prostředí</w:t>
            </w:r>
          </w:p>
          <w:p w14:paraId="7950E31A" w14:textId="77777777" w:rsidR="00FE75C1" w:rsidRPr="00FF7558" w:rsidRDefault="00FE75C1" w:rsidP="00EB6E11">
            <w:pPr>
              <w:pStyle w:val="Odstavecseseznamem"/>
              <w:numPr>
                <w:ilvl w:val="0"/>
                <w:numId w:val="14"/>
              </w:numPr>
              <w:spacing w:before="0" w:after="0" w:line="240" w:lineRule="auto"/>
              <w:ind w:left="284" w:hanging="284"/>
              <w:contextualSpacing/>
            </w:pPr>
            <w:r w:rsidRPr="00FF7558">
              <w:t xml:space="preserve">zajištění součinnosti třetích stran při definování, realizaci, testování a podpoře nových </w:t>
            </w:r>
            <w:proofErr w:type="spellStart"/>
            <w:r w:rsidRPr="00FF7558">
              <w:t>releasů</w:t>
            </w:r>
            <w:proofErr w:type="spellEnd"/>
          </w:p>
        </w:tc>
        <w:tc>
          <w:tcPr>
            <w:tcW w:w="199" w:type="dxa"/>
            <w:tcBorders>
              <w:top w:val="nil"/>
              <w:left w:val="single" w:sz="8" w:space="0" w:color="E7E6E6" w:themeColor="background2"/>
              <w:bottom w:val="nil"/>
              <w:right w:val="single" w:sz="8" w:space="0" w:color="E7E6E6" w:themeColor="background2"/>
            </w:tcBorders>
            <w:vAlign w:val="top"/>
          </w:tcPr>
          <w:p w14:paraId="2F2545CC" w14:textId="77777777" w:rsidR="00FE75C1" w:rsidRPr="00FF7558" w:rsidRDefault="00FE75C1" w:rsidP="00337D77">
            <w:pPr>
              <w:cnfStyle w:val="000000000000" w:firstRow="0" w:lastRow="0" w:firstColumn="0" w:lastColumn="0" w:oddVBand="0" w:evenVBand="0" w:oddHBand="0" w:evenHBand="0" w:firstRowFirstColumn="0" w:firstRowLastColumn="0" w:lastRowFirstColumn="0" w:lastRowLastColumn="0"/>
            </w:pPr>
          </w:p>
        </w:tc>
        <w:tc>
          <w:tcPr>
            <w:tcW w:w="4385"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top"/>
          </w:tcPr>
          <w:p w14:paraId="43F36592" w14:textId="77777777" w:rsidR="00FE75C1" w:rsidRPr="00FF7558" w:rsidRDefault="00FE75C1"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údržbu aplikační dokumentace</w:t>
            </w:r>
          </w:p>
          <w:p w14:paraId="6B8C704C" w14:textId="77777777" w:rsidR="00FE75C1" w:rsidRPr="00FF7558" w:rsidRDefault="00FE75C1"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evidenci nutných změn a oprav, které mají být součástí dalšího vydání</w:t>
            </w:r>
          </w:p>
          <w:p w14:paraId="05BD00C9" w14:textId="77777777" w:rsidR="00FE75C1" w:rsidRPr="00FF7558" w:rsidRDefault="00FE75C1" w:rsidP="00EB6E11">
            <w:pPr>
              <w:pStyle w:val="Odstavecseseznamem"/>
              <w:numPr>
                <w:ilvl w:val="0"/>
                <w:numId w:val="14"/>
              </w:numPr>
              <w:spacing w:before="0" w:after="0" w:line="240" w:lineRule="auto"/>
              <w:ind w:left="284" w:hanging="284"/>
              <w:contextualSpacing/>
              <w:cnfStyle w:val="000000000000" w:firstRow="0" w:lastRow="0" w:firstColumn="0" w:lastColumn="0" w:oddVBand="0" w:evenVBand="0" w:oddHBand="0" w:evenHBand="0" w:firstRowFirstColumn="0" w:firstRowLastColumn="0" w:lastRowFirstColumn="0" w:lastRowLastColumn="0"/>
            </w:pPr>
            <w:r w:rsidRPr="00FF7558">
              <w:t xml:space="preserve">vydávání doporučení k plánování </w:t>
            </w:r>
            <w:proofErr w:type="spellStart"/>
            <w:r w:rsidRPr="00FF7558">
              <w:t>releasů</w:t>
            </w:r>
            <w:proofErr w:type="spellEnd"/>
            <w:r w:rsidRPr="00FF7558">
              <w:t xml:space="preserve"> z pohledu funkčnosti aplikace</w:t>
            </w:r>
          </w:p>
        </w:tc>
      </w:tr>
    </w:tbl>
    <w:p w14:paraId="1FA73B99" w14:textId="333639B8" w:rsidR="00FE6BCB" w:rsidRPr="00FF7558" w:rsidRDefault="00FE6BCB" w:rsidP="00EB6E11">
      <w:pPr>
        <w:pStyle w:val="Odstavecseseznamem"/>
        <w:numPr>
          <w:ilvl w:val="0"/>
          <w:numId w:val="24"/>
        </w:numPr>
        <w:jc w:val="both"/>
        <w:rPr>
          <w:lang w:eastAsia="cs-CZ"/>
        </w:rPr>
      </w:pPr>
      <w:r w:rsidRPr="00FF7558">
        <w:rPr>
          <w:lang w:eastAsia="cs-CZ"/>
        </w:rPr>
        <w:t xml:space="preserve">Při zadání </w:t>
      </w:r>
      <w:proofErr w:type="spellStart"/>
      <w:r w:rsidRPr="00FF7558">
        <w:rPr>
          <w:lang w:eastAsia="cs-CZ"/>
        </w:rPr>
        <w:t>Release</w:t>
      </w:r>
      <w:proofErr w:type="spellEnd"/>
      <w:r w:rsidRPr="00FF7558">
        <w:rPr>
          <w:lang w:eastAsia="cs-CZ"/>
        </w:rPr>
        <w:t xml:space="preserve"> do Portálu podpory je Zákazník povinen definovat tyto základní atributy: </w:t>
      </w:r>
    </w:p>
    <w:p w14:paraId="6DA61AC5" w14:textId="29669D5F" w:rsidR="00FE6BCB" w:rsidRPr="00FF7558" w:rsidRDefault="00FE6BCB" w:rsidP="00EB6E11">
      <w:pPr>
        <w:pStyle w:val="Odstavecseseznamem"/>
        <w:numPr>
          <w:ilvl w:val="0"/>
          <w:numId w:val="18"/>
        </w:numPr>
        <w:rPr>
          <w:lang w:eastAsia="cs-CZ"/>
        </w:rPr>
      </w:pPr>
      <w:r w:rsidRPr="00FF7558">
        <w:rPr>
          <w:lang w:eastAsia="cs-CZ"/>
        </w:rPr>
        <w:t xml:space="preserve">typ = </w:t>
      </w:r>
      <w:proofErr w:type="spellStart"/>
      <w:r w:rsidRPr="00FF7558">
        <w:rPr>
          <w:lang w:eastAsia="cs-CZ"/>
        </w:rPr>
        <w:t>Service</w:t>
      </w:r>
      <w:proofErr w:type="spellEnd"/>
      <w:r w:rsidRPr="00FF7558">
        <w:rPr>
          <w:lang w:eastAsia="cs-CZ"/>
        </w:rPr>
        <w:t xml:space="preserve"> </w:t>
      </w:r>
      <w:proofErr w:type="spellStart"/>
      <w:r w:rsidRPr="00FF7558">
        <w:rPr>
          <w:lang w:eastAsia="cs-CZ"/>
        </w:rPr>
        <w:t>Request</w:t>
      </w:r>
      <w:proofErr w:type="spellEnd"/>
      <w:r w:rsidRPr="00FF7558">
        <w:rPr>
          <w:lang w:eastAsia="cs-CZ"/>
        </w:rPr>
        <w:t>,</w:t>
      </w:r>
    </w:p>
    <w:p w14:paraId="185DEEA1" w14:textId="5FA411E2" w:rsidR="00FE6BCB" w:rsidRPr="00FF7558" w:rsidRDefault="00FE6BCB" w:rsidP="00EB6E11">
      <w:pPr>
        <w:pStyle w:val="Odstavecseseznamem"/>
        <w:numPr>
          <w:ilvl w:val="0"/>
          <w:numId w:val="18"/>
        </w:numPr>
        <w:rPr>
          <w:lang w:eastAsia="cs-CZ"/>
        </w:rPr>
      </w:pPr>
      <w:r w:rsidRPr="00FF7558">
        <w:rPr>
          <w:lang w:eastAsia="cs-CZ"/>
        </w:rPr>
        <w:t>komponentu (y) uvedené v Tab. č.1 této přílohy, které (</w:t>
      </w:r>
      <w:proofErr w:type="spellStart"/>
      <w:r w:rsidRPr="00FF7558">
        <w:rPr>
          <w:lang w:eastAsia="cs-CZ"/>
        </w:rPr>
        <w:t>ých</w:t>
      </w:r>
      <w:proofErr w:type="spellEnd"/>
      <w:r w:rsidRPr="00FF7558">
        <w:rPr>
          <w:lang w:eastAsia="cs-CZ"/>
        </w:rPr>
        <w:t xml:space="preserve">) se </w:t>
      </w:r>
      <w:proofErr w:type="spellStart"/>
      <w:r w:rsidRPr="00FF7558">
        <w:rPr>
          <w:lang w:eastAsia="cs-CZ"/>
        </w:rPr>
        <w:t>release</w:t>
      </w:r>
      <w:proofErr w:type="spellEnd"/>
      <w:r w:rsidRPr="00FF7558">
        <w:rPr>
          <w:lang w:eastAsia="cs-CZ"/>
        </w:rPr>
        <w:t xml:space="preserve"> týká,</w:t>
      </w:r>
    </w:p>
    <w:p w14:paraId="66986217" w14:textId="5418E78C" w:rsidR="00FE6BCB" w:rsidRPr="00FF7558" w:rsidRDefault="00FE6BCB" w:rsidP="00EB6E11">
      <w:pPr>
        <w:pStyle w:val="Odstavecseseznamem"/>
        <w:numPr>
          <w:ilvl w:val="0"/>
          <w:numId w:val="18"/>
        </w:numPr>
        <w:rPr>
          <w:lang w:eastAsia="cs-CZ"/>
        </w:rPr>
      </w:pPr>
      <w:r w:rsidRPr="00FF7558">
        <w:rPr>
          <w:lang w:eastAsia="cs-CZ"/>
        </w:rPr>
        <w:t xml:space="preserve">uvedení původní verze a verze nasazované komponenty v rámci daného </w:t>
      </w:r>
      <w:proofErr w:type="spellStart"/>
      <w:r w:rsidRPr="00FF7558">
        <w:rPr>
          <w:lang w:eastAsia="cs-CZ"/>
        </w:rPr>
        <w:t>releasu</w:t>
      </w:r>
      <w:proofErr w:type="spellEnd"/>
      <w:r w:rsidRPr="00FF7558">
        <w:rPr>
          <w:lang w:eastAsia="cs-CZ"/>
        </w:rPr>
        <w:t xml:space="preserve"> návrh termínu</w:t>
      </w:r>
    </w:p>
    <w:p w14:paraId="7EF7F0C2" w14:textId="77777777" w:rsidR="00FE6BCB" w:rsidRPr="00FF7558" w:rsidRDefault="00FE6BCB" w:rsidP="00FE6BCB">
      <w:pPr>
        <w:ind w:left="360"/>
        <w:rPr>
          <w:lang w:eastAsia="cs-CZ"/>
        </w:rPr>
      </w:pPr>
      <w:r w:rsidRPr="00FF7558">
        <w:rPr>
          <w:lang w:eastAsia="cs-CZ"/>
        </w:rPr>
        <w:t> </w:t>
      </w:r>
    </w:p>
    <w:p w14:paraId="4762E819" w14:textId="77777777" w:rsidR="00FE75C1" w:rsidRPr="00FF7558" w:rsidRDefault="00FE75C1">
      <w:pPr>
        <w:spacing w:before="0" w:after="160" w:line="259" w:lineRule="auto"/>
        <w:rPr>
          <w:b/>
          <w:noProof/>
          <w:color w:val="0022EE"/>
          <w:spacing w:val="-10"/>
          <w:sz w:val="36"/>
          <w:szCs w:val="44"/>
          <w:lang w:eastAsia="cs-CZ"/>
        </w:rPr>
      </w:pPr>
      <w:r w:rsidRPr="00FF7558">
        <w:br w:type="page"/>
      </w:r>
    </w:p>
    <w:p w14:paraId="08DC2B9B" w14:textId="30585288" w:rsidR="00FE6BCB" w:rsidRPr="00FF7558" w:rsidRDefault="00FE6BCB" w:rsidP="00FE75C1">
      <w:pPr>
        <w:pStyle w:val="Nzev"/>
      </w:pPr>
      <w:r w:rsidRPr="00FF7558">
        <w:lastRenderedPageBreak/>
        <w:t>Příloha č. 5</w:t>
      </w:r>
    </w:p>
    <w:p w14:paraId="018186CB" w14:textId="204735A1" w:rsidR="00FE6BCB" w:rsidRDefault="00FE6BCB" w:rsidP="00FE75C1">
      <w:pPr>
        <w:pStyle w:val="Nzev"/>
      </w:pPr>
      <w:r w:rsidRPr="00FF7558">
        <w:t>Specifikace ceny licence</w:t>
      </w:r>
    </w:p>
    <w:p w14:paraId="66E11244" w14:textId="78C4C541" w:rsidR="00893FB4" w:rsidRPr="00893FB4" w:rsidRDefault="00893FB4" w:rsidP="00CB368F">
      <w:pPr>
        <w:pStyle w:val="Nadpis1"/>
        <w:numPr>
          <w:ilvl w:val="0"/>
          <w:numId w:val="33"/>
        </w:numPr>
      </w:pPr>
      <w:r>
        <w:t>Produkční prostředí</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512"/>
      </w:tblGrid>
      <w:tr w:rsidR="00FE75C1" w:rsidRPr="00FF7558" w14:paraId="5D46AD35" w14:textId="77777777" w:rsidTr="00FE75C1">
        <w:trPr>
          <w:trHeight w:val="494"/>
          <w:jc w:val="right"/>
        </w:trPr>
        <w:tc>
          <w:tcPr>
            <w:tcW w:w="6565" w:type="dxa"/>
            <w:shd w:val="clear" w:color="auto" w:fill="D9D9D9"/>
            <w:vAlign w:val="center"/>
          </w:tcPr>
          <w:p w14:paraId="3318E7D0" w14:textId="77777777" w:rsidR="00FE75C1" w:rsidRPr="00FF7558" w:rsidRDefault="00FE75C1" w:rsidP="00337D77">
            <w:pPr>
              <w:ind w:left="360"/>
              <w:jc w:val="both"/>
              <w:rPr>
                <w:b/>
                <w:bCs/>
                <w:lang w:eastAsia="cs-CZ"/>
              </w:rPr>
            </w:pPr>
            <w:r w:rsidRPr="00FF7558">
              <w:rPr>
                <w:b/>
                <w:bCs/>
                <w:lang w:eastAsia="cs-CZ"/>
              </w:rPr>
              <w:t>Položka / cenová hladina za 1 rok</w:t>
            </w:r>
          </w:p>
        </w:tc>
        <w:tc>
          <w:tcPr>
            <w:tcW w:w="2512" w:type="dxa"/>
            <w:shd w:val="clear" w:color="auto" w:fill="D9D9D9"/>
            <w:vAlign w:val="center"/>
          </w:tcPr>
          <w:p w14:paraId="5D81F2A6" w14:textId="77777777" w:rsidR="00FE75C1" w:rsidRPr="00FF7558" w:rsidRDefault="00FE75C1" w:rsidP="00337D77">
            <w:pPr>
              <w:ind w:left="360"/>
              <w:jc w:val="both"/>
              <w:rPr>
                <w:b/>
                <w:bCs/>
                <w:lang w:eastAsia="cs-CZ"/>
              </w:rPr>
            </w:pPr>
            <w:r w:rsidRPr="00FF7558">
              <w:rPr>
                <w:b/>
                <w:bCs/>
                <w:lang w:eastAsia="cs-CZ"/>
              </w:rPr>
              <w:t>Částka v Kč bez DPH</w:t>
            </w:r>
          </w:p>
        </w:tc>
      </w:tr>
      <w:tr w:rsidR="00FE75C1" w:rsidRPr="00FF7558" w14:paraId="6E5C4101" w14:textId="77777777" w:rsidTr="00FE75C1">
        <w:trPr>
          <w:trHeight w:val="494"/>
          <w:jc w:val="right"/>
        </w:trPr>
        <w:tc>
          <w:tcPr>
            <w:tcW w:w="6565" w:type="dxa"/>
            <w:shd w:val="clear" w:color="auto" w:fill="auto"/>
            <w:vAlign w:val="center"/>
          </w:tcPr>
          <w:p w14:paraId="7B6FC176" w14:textId="3CD355D3" w:rsidR="00FE75C1" w:rsidRPr="00FF7558" w:rsidRDefault="00FE75C1" w:rsidP="00FE75C1">
            <w:pPr>
              <w:pStyle w:val="Bezmezer"/>
              <w:rPr>
                <w:lang w:eastAsia="cs-CZ"/>
              </w:rPr>
            </w:pPr>
            <w:r w:rsidRPr="00FF7558">
              <w:rPr>
                <w:lang w:eastAsia="cs-CZ"/>
              </w:rPr>
              <w:t xml:space="preserve">SW startovací licence (Licence na vytěžení </w:t>
            </w:r>
            <w:r w:rsidR="00337D77" w:rsidRPr="00FF7558">
              <w:rPr>
                <w:lang w:eastAsia="cs-CZ"/>
              </w:rPr>
              <w:t>2</w:t>
            </w:r>
            <w:r w:rsidRPr="00FF7558">
              <w:rPr>
                <w:lang w:eastAsia="cs-CZ"/>
              </w:rPr>
              <w:t>0.000 dokladů)</w:t>
            </w:r>
          </w:p>
        </w:tc>
        <w:tc>
          <w:tcPr>
            <w:tcW w:w="2512" w:type="dxa"/>
            <w:shd w:val="clear" w:color="auto" w:fill="auto"/>
            <w:vAlign w:val="center"/>
          </w:tcPr>
          <w:p w14:paraId="095DCBB3" w14:textId="3491E95E" w:rsidR="00FE75C1" w:rsidRPr="00FF7558" w:rsidRDefault="0056252E" w:rsidP="00FE75C1">
            <w:pPr>
              <w:pStyle w:val="Bezmezer"/>
              <w:jc w:val="right"/>
              <w:rPr>
                <w:lang w:eastAsia="cs-CZ"/>
              </w:rPr>
            </w:pPr>
            <w:r w:rsidRPr="00FF7558">
              <w:rPr>
                <w:lang w:eastAsia="cs-CZ"/>
              </w:rPr>
              <w:t>1</w:t>
            </w:r>
            <w:r w:rsidR="004879F3">
              <w:rPr>
                <w:lang w:eastAsia="cs-CZ"/>
              </w:rPr>
              <w:t>9</w:t>
            </w:r>
            <w:r w:rsidRPr="00FF7558">
              <w:rPr>
                <w:lang w:eastAsia="cs-CZ"/>
              </w:rPr>
              <w:t>6</w:t>
            </w:r>
            <w:r w:rsidR="00FE75C1" w:rsidRPr="00FF7558">
              <w:rPr>
                <w:lang w:eastAsia="cs-CZ"/>
              </w:rPr>
              <w:t>.000,00</w:t>
            </w:r>
          </w:p>
        </w:tc>
      </w:tr>
      <w:tr w:rsidR="00FE75C1" w:rsidRPr="00FF7558" w14:paraId="39F3F6FE" w14:textId="77777777" w:rsidTr="00FE75C1">
        <w:trPr>
          <w:trHeight w:val="494"/>
          <w:jc w:val="right"/>
        </w:trPr>
        <w:tc>
          <w:tcPr>
            <w:tcW w:w="6565" w:type="dxa"/>
            <w:shd w:val="clear" w:color="auto" w:fill="auto"/>
            <w:vAlign w:val="center"/>
          </w:tcPr>
          <w:p w14:paraId="5921FB73" w14:textId="77777777" w:rsidR="00FE75C1" w:rsidRPr="00FF7558" w:rsidRDefault="00FE75C1" w:rsidP="00FE75C1">
            <w:pPr>
              <w:pStyle w:val="Bezmezer"/>
              <w:rPr>
                <w:lang w:eastAsia="cs-CZ"/>
              </w:rPr>
            </w:pPr>
            <w:r w:rsidRPr="00FF7558">
              <w:rPr>
                <w:lang w:eastAsia="cs-CZ"/>
              </w:rPr>
              <w:t xml:space="preserve">Cenová hladina do 50.000 celkově vytěžených dokladů – </w:t>
            </w:r>
          </w:p>
          <w:p w14:paraId="07B84751" w14:textId="390E300D" w:rsidR="00FE75C1" w:rsidRPr="00FF7558" w:rsidRDefault="00FE75C1" w:rsidP="00FE75C1">
            <w:pPr>
              <w:pStyle w:val="Bezmezer"/>
              <w:rPr>
                <w:lang w:eastAsia="cs-CZ"/>
              </w:rPr>
            </w:pPr>
            <w:r w:rsidRPr="00FF7558">
              <w:rPr>
                <w:lang w:eastAsia="cs-CZ"/>
              </w:rPr>
              <w:t xml:space="preserve">cena za 1 vytěžený doklad nad </w:t>
            </w:r>
            <w:r w:rsidR="0056252E" w:rsidRPr="00FF7558">
              <w:rPr>
                <w:lang w:eastAsia="cs-CZ"/>
              </w:rPr>
              <w:t>2</w:t>
            </w:r>
            <w:r w:rsidRPr="00FF7558">
              <w:rPr>
                <w:lang w:eastAsia="cs-CZ"/>
              </w:rPr>
              <w:t>0 000 vytěžených dokladů</w:t>
            </w:r>
          </w:p>
        </w:tc>
        <w:tc>
          <w:tcPr>
            <w:tcW w:w="2512" w:type="dxa"/>
            <w:shd w:val="clear" w:color="auto" w:fill="auto"/>
            <w:vAlign w:val="center"/>
          </w:tcPr>
          <w:p w14:paraId="4394AE6A" w14:textId="77777777" w:rsidR="00FE75C1" w:rsidRPr="00FF7558" w:rsidRDefault="00FE75C1" w:rsidP="00FE75C1">
            <w:pPr>
              <w:pStyle w:val="Bezmezer"/>
              <w:jc w:val="right"/>
              <w:rPr>
                <w:lang w:eastAsia="cs-CZ"/>
              </w:rPr>
            </w:pPr>
            <w:r w:rsidRPr="00FF7558">
              <w:rPr>
                <w:lang w:eastAsia="cs-CZ"/>
              </w:rPr>
              <w:t xml:space="preserve">16,10 </w:t>
            </w:r>
          </w:p>
        </w:tc>
      </w:tr>
      <w:tr w:rsidR="00FE75C1" w:rsidRPr="00FF7558" w14:paraId="0193213D" w14:textId="77777777" w:rsidTr="00FE75C1">
        <w:trPr>
          <w:trHeight w:val="494"/>
          <w:jc w:val="right"/>
        </w:trPr>
        <w:tc>
          <w:tcPr>
            <w:tcW w:w="6565" w:type="dxa"/>
            <w:shd w:val="clear" w:color="auto" w:fill="auto"/>
            <w:vAlign w:val="center"/>
          </w:tcPr>
          <w:p w14:paraId="5F5749FC" w14:textId="77777777" w:rsidR="00FE75C1" w:rsidRPr="00FF7558" w:rsidRDefault="00FE75C1" w:rsidP="00FE75C1">
            <w:pPr>
              <w:pStyle w:val="Bezmezer"/>
              <w:rPr>
                <w:lang w:eastAsia="cs-CZ"/>
              </w:rPr>
            </w:pPr>
            <w:r w:rsidRPr="00FF7558">
              <w:rPr>
                <w:lang w:eastAsia="cs-CZ"/>
              </w:rPr>
              <w:t xml:space="preserve">Cenová hladina do 75.000 celkově vytěžených dokladů – </w:t>
            </w:r>
          </w:p>
          <w:p w14:paraId="32BE2EFA" w14:textId="389A63C2" w:rsidR="00FE75C1" w:rsidRPr="00FF7558" w:rsidRDefault="00FE75C1" w:rsidP="00FE75C1">
            <w:pPr>
              <w:pStyle w:val="Bezmezer"/>
              <w:rPr>
                <w:lang w:eastAsia="cs-CZ"/>
              </w:rPr>
            </w:pPr>
            <w:r w:rsidRPr="00FF7558">
              <w:rPr>
                <w:lang w:eastAsia="cs-CZ"/>
              </w:rPr>
              <w:t xml:space="preserve">cena za 1 vytěžený doklad nad </w:t>
            </w:r>
            <w:r w:rsidR="0056252E" w:rsidRPr="00FF7558">
              <w:rPr>
                <w:lang w:eastAsia="cs-CZ"/>
              </w:rPr>
              <w:t>2</w:t>
            </w:r>
            <w:r w:rsidRPr="00FF7558">
              <w:rPr>
                <w:lang w:eastAsia="cs-CZ"/>
              </w:rPr>
              <w:t>0 000 vytěžených dokladů</w:t>
            </w:r>
          </w:p>
        </w:tc>
        <w:tc>
          <w:tcPr>
            <w:tcW w:w="2512" w:type="dxa"/>
            <w:shd w:val="clear" w:color="auto" w:fill="auto"/>
            <w:vAlign w:val="center"/>
          </w:tcPr>
          <w:p w14:paraId="451CEBE9" w14:textId="77777777" w:rsidR="00FE75C1" w:rsidRPr="00FF7558" w:rsidRDefault="00FE75C1" w:rsidP="00FE75C1">
            <w:pPr>
              <w:pStyle w:val="Bezmezer"/>
              <w:jc w:val="right"/>
              <w:rPr>
                <w:lang w:eastAsia="cs-CZ"/>
              </w:rPr>
            </w:pPr>
            <w:r w:rsidRPr="00FF7558">
              <w:rPr>
                <w:lang w:eastAsia="cs-CZ"/>
              </w:rPr>
              <w:t>14,00</w:t>
            </w:r>
          </w:p>
        </w:tc>
      </w:tr>
      <w:tr w:rsidR="00FE75C1" w:rsidRPr="00FF7558" w14:paraId="251AFC02" w14:textId="77777777" w:rsidTr="00FE75C1">
        <w:trPr>
          <w:trHeight w:val="494"/>
          <w:jc w:val="right"/>
        </w:trPr>
        <w:tc>
          <w:tcPr>
            <w:tcW w:w="6565" w:type="dxa"/>
            <w:shd w:val="clear" w:color="auto" w:fill="auto"/>
            <w:vAlign w:val="center"/>
          </w:tcPr>
          <w:p w14:paraId="046EE19A" w14:textId="77777777" w:rsidR="00FE75C1" w:rsidRPr="00FF7558" w:rsidRDefault="00FE75C1" w:rsidP="00FE75C1">
            <w:pPr>
              <w:pStyle w:val="Bezmezer"/>
              <w:rPr>
                <w:lang w:eastAsia="cs-CZ"/>
              </w:rPr>
            </w:pPr>
            <w:r w:rsidRPr="00FF7558">
              <w:rPr>
                <w:lang w:eastAsia="cs-CZ"/>
              </w:rPr>
              <w:t xml:space="preserve">Cenová hladina do 100.000 celkově vytěžených dokladů – </w:t>
            </w:r>
          </w:p>
          <w:p w14:paraId="2CD18C84" w14:textId="7CA760B7" w:rsidR="00FE75C1" w:rsidRPr="00FF7558" w:rsidRDefault="00FE75C1" w:rsidP="00FE75C1">
            <w:pPr>
              <w:pStyle w:val="Bezmezer"/>
              <w:rPr>
                <w:lang w:eastAsia="cs-CZ"/>
              </w:rPr>
            </w:pPr>
            <w:r w:rsidRPr="00FF7558">
              <w:rPr>
                <w:lang w:eastAsia="cs-CZ"/>
              </w:rPr>
              <w:t xml:space="preserve">cena za 1 vytěžený doklad nad </w:t>
            </w:r>
            <w:r w:rsidR="0056252E" w:rsidRPr="00FF7558">
              <w:rPr>
                <w:lang w:eastAsia="cs-CZ"/>
              </w:rPr>
              <w:t>2</w:t>
            </w:r>
            <w:r w:rsidRPr="00FF7558">
              <w:rPr>
                <w:lang w:eastAsia="cs-CZ"/>
              </w:rPr>
              <w:t>0 000 vytěžených dokladů</w:t>
            </w:r>
          </w:p>
        </w:tc>
        <w:tc>
          <w:tcPr>
            <w:tcW w:w="2512" w:type="dxa"/>
            <w:shd w:val="clear" w:color="auto" w:fill="auto"/>
            <w:vAlign w:val="center"/>
          </w:tcPr>
          <w:p w14:paraId="7E08726F" w14:textId="77777777" w:rsidR="00FE75C1" w:rsidRPr="00FF7558" w:rsidRDefault="00FE75C1" w:rsidP="00FE75C1">
            <w:pPr>
              <w:pStyle w:val="Bezmezer"/>
              <w:jc w:val="right"/>
              <w:rPr>
                <w:lang w:eastAsia="cs-CZ"/>
              </w:rPr>
            </w:pPr>
            <w:r w:rsidRPr="00FF7558">
              <w:rPr>
                <w:lang w:eastAsia="cs-CZ"/>
              </w:rPr>
              <w:t>9,90</w:t>
            </w:r>
          </w:p>
        </w:tc>
      </w:tr>
      <w:tr w:rsidR="00FE75C1" w:rsidRPr="00FF7558" w14:paraId="593CD16D" w14:textId="77777777" w:rsidTr="00FE75C1">
        <w:trPr>
          <w:trHeight w:val="494"/>
          <w:jc w:val="right"/>
        </w:trPr>
        <w:tc>
          <w:tcPr>
            <w:tcW w:w="6565" w:type="dxa"/>
            <w:shd w:val="clear" w:color="auto" w:fill="auto"/>
            <w:vAlign w:val="center"/>
          </w:tcPr>
          <w:p w14:paraId="17429559" w14:textId="77777777" w:rsidR="00FE75C1" w:rsidRPr="00FF7558" w:rsidRDefault="00FE75C1" w:rsidP="00FE75C1">
            <w:pPr>
              <w:pStyle w:val="Bezmezer"/>
              <w:rPr>
                <w:lang w:eastAsia="cs-CZ"/>
              </w:rPr>
            </w:pPr>
            <w:r w:rsidRPr="00FF7558">
              <w:rPr>
                <w:lang w:eastAsia="cs-CZ"/>
              </w:rPr>
              <w:t xml:space="preserve">Cenová hladina do 150.000 celkově vytěžených dokladů – </w:t>
            </w:r>
          </w:p>
          <w:p w14:paraId="706828C8" w14:textId="077C861B" w:rsidR="00FE75C1" w:rsidRPr="00FF7558" w:rsidRDefault="00FE75C1" w:rsidP="00FE75C1">
            <w:pPr>
              <w:pStyle w:val="Bezmezer"/>
              <w:rPr>
                <w:lang w:eastAsia="cs-CZ"/>
              </w:rPr>
            </w:pPr>
            <w:r w:rsidRPr="00FF7558">
              <w:rPr>
                <w:lang w:eastAsia="cs-CZ"/>
              </w:rPr>
              <w:t xml:space="preserve">cena za 1 vytěžený doklad nad </w:t>
            </w:r>
            <w:r w:rsidR="0056252E" w:rsidRPr="00FF7558">
              <w:rPr>
                <w:lang w:eastAsia="cs-CZ"/>
              </w:rPr>
              <w:t>2</w:t>
            </w:r>
            <w:r w:rsidRPr="00FF7558">
              <w:rPr>
                <w:lang w:eastAsia="cs-CZ"/>
              </w:rPr>
              <w:t>0 000 vytěžených dokladů</w:t>
            </w:r>
          </w:p>
        </w:tc>
        <w:tc>
          <w:tcPr>
            <w:tcW w:w="2512" w:type="dxa"/>
            <w:shd w:val="clear" w:color="auto" w:fill="auto"/>
            <w:vAlign w:val="center"/>
          </w:tcPr>
          <w:p w14:paraId="66F17C5C" w14:textId="77777777" w:rsidR="00FE75C1" w:rsidRPr="00FF7558" w:rsidRDefault="00FE75C1" w:rsidP="00FE75C1">
            <w:pPr>
              <w:pStyle w:val="Bezmezer"/>
              <w:jc w:val="right"/>
              <w:rPr>
                <w:lang w:eastAsia="cs-CZ"/>
              </w:rPr>
            </w:pPr>
            <w:r w:rsidRPr="00FF7558">
              <w:rPr>
                <w:lang w:eastAsia="cs-CZ"/>
              </w:rPr>
              <w:t>9,50</w:t>
            </w:r>
          </w:p>
        </w:tc>
      </w:tr>
      <w:tr w:rsidR="00FE75C1" w:rsidRPr="00FF7558" w14:paraId="05C2F9AA" w14:textId="77777777" w:rsidTr="00FE75C1">
        <w:trPr>
          <w:trHeight w:val="494"/>
          <w:jc w:val="right"/>
        </w:trPr>
        <w:tc>
          <w:tcPr>
            <w:tcW w:w="6565" w:type="dxa"/>
            <w:shd w:val="clear" w:color="auto" w:fill="auto"/>
            <w:vAlign w:val="center"/>
          </w:tcPr>
          <w:p w14:paraId="0D3B340B" w14:textId="77777777" w:rsidR="00FE75C1" w:rsidRPr="00FF7558" w:rsidRDefault="00FE75C1" w:rsidP="00FE75C1">
            <w:pPr>
              <w:pStyle w:val="Bezmezer"/>
              <w:rPr>
                <w:lang w:eastAsia="cs-CZ"/>
              </w:rPr>
            </w:pPr>
            <w:r w:rsidRPr="00FF7558">
              <w:rPr>
                <w:lang w:eastAsia="cs-CZ"/>
              </w:rPr>
              <w:t xml:space="preserve">Cenová hladina do 250.000 celkově vytěžených dokladů – </w:t>
            </w:r>
          </w:p>
          <w:p w14:paraId="33483D9F" w14:textId="34B64CA7" w:rsidR="00FE75C1" w:rsidRPr="00FF7558" w:rsidRDefault="00FE75C1" w:rsidP="00FE75C1">
            <w:pPr>
              <w:pStyle w:val="Bezmezer"/>
              <w:rPr>
                <w:lang w:eastAsia="cs-CZ"/>
              </w:rPr>
            </w:pPr>
            <w:r w:rsidRPr="00FF7558">
              <w:rPr>
                <w:lang w:eastAsia="cs-CZ"/>
              </w:rPr>
              <w:t xml:space="preserve">cena za 1 vytěžený doklad nad </w:t>
            </w:r>
            <w:r w:rsidR="0056252E" w:rsidRPr="00FF7558">
              <w:rPr>
                <w:lang w:eastAsia="cs-CZ"/>
              </w:rPr>
              <w:t>2</w:t>
            </w:r>
            <w:r w:rsidRPr="00FF7558">
              <w:rPr>
                <w:lang w:eastAsia="cs-CZ"/>
              </w:rPr>
              <w:t>0 000 vytěžených dokladů</w:t>
            </w:r>
          </w:p>
        </w:tc>
        <w:tc>
          <w:tcPr>
            <w:tcW w:w="2512" w:type="dxa"/>
            <w:shd w:val="clear" w:color="auto" w:fill="auto"/>
            <w:vAlign w:val="center"/>
          </w:tcPr>
          <w:p w14:paraId="7570DC5E" w14:textId="77777777" w:rsidR="00FE75C1" w:rsidRPr="00FF7558" w:rsidRDefault="00FE75C1" w:rsidP="00FE75C1">
            <w:pPr>
              <w:pStyle w:val="Bezmezer"/>
              <w:jc w:val="right"/>
              <w:rPr>
                <w:lang w:eastAsia="cs-CZ"/>
              </w:rPr>
            </w:pPr>
            <w:r w:rsidRPr="00FF7558">
              <w:rPr>
                <w:lang w:eastAsia="cs-CZ"/>
              </w:rPr>
              <w:t>7,00</w:t>
            </w:r>
          </w:p>
        </w:tc>
      </w:tr>
      <w:tr w:rsidR="00FE75C1" w:rsidRPr="00FF7558" w14:paraId="35262993" w14:textId="77777777" w:rsidTr="00FE75C1">
        <w:trPr>
          <w:trHeight w:val="494"/>
          <w:jc w:val="right"/>
        </w:trPr>
        <w:tc>
          <w:tcPr>
            <w:tcW w:w="6565" w:type="dxa"/>
            <w:shd w:val="clear" w:color="auto" w:fill="auto"/>
            <w:vAlign w:val="center"/>
          </w:tcPr>
          <w:p w14:paraId="23F09772" w14:textId="77777777" w:rsidR="00FE75C1" w:rsidRPr="00FF7558" w:rsidRDefault="00FE75C1" w:rsidP="00FE75C1">
            <w:pPr>
              <w:pStyle w:val="Bezmezer"/>
              <w:rPr>
                <w:lang w:eastAsia="cs-CZ"/>
              </w:rPr>
            </w:pPr>
            <w:r w:rsidRPr="00FF7558">
              <w:rPr>
                <w:lang w:eastAsia="cs-CZ"/>
              </w:rPr>
              <w:t xml:space="preserve">Cenová hladina do 500.000 celkově vytěžených dokladů – </w:t>
            </w:r>
          </w:p>
          <w:p w14:paraId="5FEEBC17" w14:textId="41721AA7" w:rsidR="00FE75C1" w:rsidRPr="00FF7558" w:rsidRDefault="00FE75C1" w:rsidP="00FE75C1">
            <w:pPr>
              <w:pStyle w:val="Bezmezer"/>
              <w:rPr>
                <w:lang w:eastAsia="cs-CZ"/>
              </w:rPr>
            </w:pPr>
            <w:r w:rsidRPr="00FF7558">
              <w:rPr>
                <w:lang w:eastAsia="cs-CZ"/>
              </w:rPr>
              <w:t xml:space="preserve">cena za 1 vytěžený doklad nad </w:t>
            </w:r>
            <w:r w:rsidR="0056252E" w:rsidRPr="00FF7558">
              <w:rPr>
                <w:lang w:eastAsia="cs-CZ"/>
              </w:rPr>
              <w:t>2</w:t>
            </w:r>
            <w:r w:rsidRPr="00FF7558">
              <w:rPr>
                <w:lang w:eastAsia="cs-CZ"/>
              </w:rPr>
              <w:t>0 000 vytěžených dokladů</w:t>
            </w:r>
          </w:p>
        </w:tc>
        <w:tc>
          <w:tcPr>
            <w:tcW w:w="2512" w:type="dxa"/>
            <w:shd w:val="clear" w:color="auto" w:fill="auto"/>
            <w:vAlign w:val="center"/>
          </w:tcPr>
          <w:p w14:paraId="64B2A9BA" w14:textId="77777777" w:rsidR="00FE75C1" w:rsidRPr="00FF7558" w:rsidRDefault="00FE75C1" w:rsidP="00FE75C1">
            <w:pPr>
              <w:pStyle w:val="Bezmezer"/>
              <w:jc w:val="right"/>
              <w:rPr>
                <w:lang w:eastAsia="cs-CZ"/>
              </w:rPr>
            </w:pPr>
            <w:r w:rsidRPr="00FF7558">
              <w:rPr>
                <w:lang w:eastAsia="cs-CZ"/>
              </w:rPr>
              <w:t>3,90</w:t>
            </w:r>
          </w:p>
        </w:tc>
      </w:tr>
    </w:tbl>
    <w:p w14:paraId="6E13CA68" w14:textId="73058E46" w:rsidR="00A232FB" w:rsidRDefault="001F7D0D" w:rsidP="00CB368F">
      <w:pPr>
        <w:pStyle w:val="Nadpis1"/>
      </w:pPr>
      <w:r>
        <w:t>Neprodukční prostředí</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512"/>
      </w:tblGrid>
      <w:tr w:rsidR="001F7D0D" w:rsidRPr="00FF7558" w14:paraId="5090AB77" w14:textId="77777777" w:rsidTr="007208F4">
        <w:trPr>
          <w:trHeight w:val="494"/>
          <w:jc w:val="right"/>
        </w:trPr>
        <w:tc>
          <w:tcPr>
            <w:tcW w:w="6565" w:type="dxa"/>
            <w:shd w:val="clear" w:color="auto" w:fill="D9D9D9"/>
            <w:vAlign w:val="center"/>
          </w:tcPr>
          <w:p w14:paraId="783A8D8B" w14:textId="2A49BD6F" w:rsidR="001F7D0D" w:rsidRPr="00FF7558" w:rsidRDefault="001F7D0D" w:rsidP="007208F4">
            <w:pPr>
              <w:ind w:left="360"/>
              <w:jc w:val="both"/>
              <w:rPr>
                <w:b/>
                <w:bCs/>
                <w:lang w:eastAsia="cs-CZ"/>
              </w:rPr>
            </w:pPr>
            <w:r w:rsidRPr="00FF7558">
              <w:rPr>
                <w:b/>
                <w:bCs/>
                <w:lang w:eastAsia="cs-CZ"/>
              </w:rPr>
              <w:t>Položka</w:t>
            </w:r>
          </w:p>
        </w:tc>
        <w:tc>
          <w:tcPr>
            <w:tcW w:w="2512" w:type="dxa"/>
            <w:shd w:val="clear" w:color="auto" w:fill="D9D9D9"/>
            <w:vAlign w:val="center"/>
          </w:tcPr>
          <w:p w14:paraId="79551843" w14:textId="77777777" w:rsidR="001F7D0D" w:rsidRPr="00FF7558" w:rsidRDefault="001F7D0D" w:rsidP="007208F4">
            <w:pPr>
              <w:ind w:left="360"/>
              <w:jc w:val="both"/>
              <w:rPr>
                <w:b/>
                <w:bCs/>
                <w:lang w:eastAsia="cs-CZ"/>
              </w:rPr>
            </w:pPr>
            <w:r w:rsidRPr="00FF7558">
              <w:rPr>
                <w:b/>
                <w:bCs/>
                <w:lang w:eastAsia="cs-CZ"/>
              </w:rPr>
              <w:t>Částka v Kč bez DPH</w:t>
            </w:r>
          </w:p>
        </w:tc>
      </w:tr>
      <w:tr w:rsidR="001F7D0D" w:rsidRPr="00FF7558" w14:paraId="54048BC1" w14:textId="77777777" w:rsidTr="007208F4">
        <w:trPr>
          <w:trHeight w:val="494"/>
          <w:jc w:val="right"/>
        </w:trPr>
        <w:tc>
          <w:tcPr>
            <w:tcW w:w="6565" w:type="dxa"/>
            <w:shd w:val="clear" w:color="auto" w:fill="auto"/>
            <w:vAlign w:val="center"/>
          </w:tcPr>
          <w:p w14:paraId="590EC813" w14:textId="656D89C5" w:rsidR="001F7D0D" w:rsidRPr="00FF7558" w:rsidRDefault="001F7D0D" w:rsidP="007208F4">
            <w:pPr>
              <w:pStyle w:val="Bezmezer"/>
              <w:rPr>
                <w:lang w:eastAsia="cs-CZ"/>
              </w:rPr>
            </w:pPr>
            <w:r w:rsidRPr="00FF7558">
              <w:rPr>
                <w:lang w:eastAsia="cs-CZ"/>
              </w:rPr>
              <w:t xml:space="preserve">SW </w:t>
            </w:r>
            <w:r>
              <w:rPr>
                <w:lang w:eastAsia="cs-CZ"/>
              </w:rPr>
              <w:t>l</w:t>
            </w:r>
            <w:r w:rsidRPr="00FF7558">
              <w:rPr>
                <w:lang w:eastAsia="cs-CZ"/>
              </w:rPr>
              <w:t xml:space="preserve">icence (Licence na vytěžení </w:t>
            </w:r>
            <w:r w:rsidR="00473C70">
              <w:rPr>
                <w:lang w:eastAsia="cs-CZ"/>
              </w:rPr>
              <w:t>1</w:t>
            </w:r>
            <w:r w:rsidRPr="00FF7558">
              <w:rPr>
                <w:lang w:eastAsia="cs-CZ"/>
              </w:rPr>
              <w:t>.000 dokladů)</w:t>
            </w:r>
            <w:r w:rsidR="00473C70">
              <w:rPr>
                <w:lang w:eastAsia="cs-CZ"/>
              </w:rPr>
              <w:t xml:space="preserve"> na rok</w:t>
            </w:r>
          </w:p>
        </w:tc>
        <w:tc>
          <w:tcPr>
            <w:tcW w:w="2512" w:type="dxa"/>
            <w:shd w:val="clear" w:color="auto" w:fill="auto"/>
            <w:vAlign w:val="center"/>
          </w:tcPr>
          <w:p w14:paraId="271E648F" w14:textId="364B448D" w:rsidR="001F7D0D" w:rsidRPr="00FF7558" w:rsidRDefault="001F7D0D" w:rsidP="007208F4">
            <w:pPr>
              <w:pStyle w:val="Bezmezer"/>
              <w:jc w:val="right"/>
              <w:rPr>
                <w:lang w:eastAsia="cs-CZ"/>
              </w:rPr>
            </w:pPr>
            <w:r w:rsidRPr="00FF7558">
              <w:rPr>
                <w:lang w:eastAsia="cs-CZ"/>
              </w:rPr>
              <w:t>6.000,00</w:t>
            </w:r>
          </w:p>
        </w:tc>
      </w:tr>
    </w:tbl>
    <w:p w14:paraId="5CDE1F05" w14:textId="6EF953E1" w:rsidR="00FE6BCB" w:rsidRPr="00FF7558" w:rsidRDefault="00FE6BCB" w:rsidP="00CB368F">
      <w:pPr>
        <w:pStyle w:val="Nadpis1"/>
      </w:pPr>
      <w:bookmarkStart w:id="3" w:name="_GoBack"/>
      <w:r w:rsidRPr="00FF7558">
        <w:t>Pro výpočet ceny za rozdíl se postupuje následovně:</w:t>
      </w:r>
    </w:p>
    <w:bookmarkEnd w:id="3"/>
    <w:p w14:paraId="5058DF0D" w14:textId="427077E4" w:rsidR="00FE6BCB" w:rsidRPr="00FF7558" w:rsidRDefault="00FE6BCB" w:rsidP="005B26A3">
      <w:pPr>
        <w:pStyle w:val="Nadpis2"/>
        <w:jc w:val="both"/>
        <w:rPr>
          <w:lang w:eastAsia="cs-CZ"/>
        </w:rPr>
      </w:pPr>
      <w:r w:rsidRPr="00FF7558">
        <w:rPr>
          <w:lang w:eastAsia="cs-CZ"/>
        </w:rPr>
        <w:t xml:space="preserve">Celkový počet vytěžených dokladů za uplynulé období 1 roku je použit pro stanovení cenové hladiny dle tabulky výše. </w:t>
      </w:r>
    </w:p>
    <w:p w14:paraId="38A71148" w14:textId="38F5763A" w:rsidR="00FE6BCB" w:rsidRPr="00FF7558" w:rsidRDefault="005B26A3" w:rsidP="00A679A4">
      <w:pPr>
        <w:pStyle w:val="Nadpis2"/>
        <w:jc w:val="both"/>
        <w:rPr>
          <w:lang w:eastAsia="cs-CZ"/>
        </w:rPr>
      </w:pPr>
      <w:r>
        <w:rPr>
          <w:lang w:eastAsia="cs-CZ"/>
        </w:rPr>
        <w:t>O</w:t>
      </w:r>
      <w:r w:rsidR="00FE6BCB" w:rsidRPr="00FF7558">
        <w:rPr>
          <w:lang w:eastAsia="cs-CZ"/>
        </w:rPr>
        <w:t xml:space="preserve">d počtu celkově vytěžených dokladů je odečten počet vytěžených dokladů uvedený v SW startovací licenci, což je </w:t>
      </w:r>
      <w:r w:rsidR="0056252E" w:rsidRPr="00FF7558">
        <w:rPr>
          <w:lang w:eastAsia="cs-CZ"/>
        </w:rPr>
        <w:t>2</w:t>
      </w:r>
      <w:r w:rsidR="00FE6BCB" w:rsidRPr="00FF7558">
        <w:rPr>
          <w:lang w:eastAsia="cs-CZ"/>
        </w:rPr>
        <w:t xml:space="preserve">0 000 vytěžených dokladů, a </w:t>
      </w:r>
      <w:r w:rsidR="00A679A4">
        <w:rPr>
          <w:lang w:eastAsia="cs-CZ"/>
        </w:rPr>
        <w:t>t</w:t>
      </w:r>
      <w:r w:rsidR="00FE6BCB" w:rsidRPr="00FF7558">
        <w:rPr>
          <w:lang w:eastAsia="cs-CZ"/>
        </w:rPr>
        <w:t xml:space="preserve">akto vzniklý rozdíl je vynásoben částkou odpovídající cenové hladině – ceně 1 vytěženého dokladu nad </w:t>
      </w:r>
      <w:r w:rsidR="0056252E" w:rsidRPr="00FF7558">
        <w:rPr>
          <w:lang w:eastAsia="cs-CZ"/>
        </w:rPr>
        <w:t>2</w:t>
      </w:r>
      <w:r w:rsidR="00FE6BCB" w:rsidRPr="00FF7558">
        <w:rPr>
          <w:lang w:eastAsia="cs-CZ"/>
        </w:rPr>
        <w:t>0 000 vytěžených dokladů dle tabulky výše, tzv. cena za rozdíl.</w:t>
      </w:r>
    </w:p>
    <w:p w14:paraId="5C02E27C" w14:textId="2B70D6B0" w:rsidR="00024D53" w:rsidRPr="005B26A3" w:rsidRDefault="00024D53" w:rsidP="0056252E">
      <w:pPr>
        <w:spacing w:before="0" w:after="0" w:line="260" w:lineRule="exact"/>
        <w:jc w:val="both"/>
        <w:rPr>
          <w:rFonts w:eastAsia="Calibri" w:cs="Arial"/>
          <w:spacing w:val="0"/>
          <w:szCs w:val="18"/>
          <w:lang w:eastAsia="cs-CZ"/>
        </w:rPr>
      </w:pPr>
      <w:r w:rsidRPr="005B26A3">
        <w:rPr>
          <w:rFonts w:eastAsia="Calibri" w:cs="Arial"/>
          <w:spacing w:val="0"/>
          <w:szCs w:val="18"/>
          <w:lang w:eastAsia="cs-CZ"/>
        </w:rPr>
        <w:t>Celková cena licence za 1 rok je pak součtem ceny za SW startovací licenci splatné na začátku 1 roku a tzv. cenou za rozdíl splatné na konci 1 roku.</w:t>
      </w:r>
    </w:p>
    <w:p w14:paraId="1D83F8B5" w14:textId="22E8D6A9" w:rsidR="00024D53" w:rsidRPr="005B26A3" w:rsidRDefault="00024D53" w:rsidP="005B26A3">
      <w:pPr>
        <w:spacing w:after="0" w:line="260" w:lineRule="exact"/>
        <w:jc w:val="both"/>
        <w:rPr>
          <w:rFonts w:eastAsia="Calibri" w:cs="Arial"/>
          <w:spacing w:val="0"/>
          <w:szCs w:val="18"/>
          <w:lang w:eastAsia="cs-CZ"/>
        </w:rPr>
      </w:pPr>
      <w:r w:rsidRPr="005B26A3">
        <w:rPr>
          <w:rFonts w:eastAsia="Calibri" w:cs="Arial"/>
          <w:spacing w:val="0"/>
          <w:szCs w:val="18"/>
          <w:lang w:eastAsia="cs-CZ"/>
        </w:rPr>
        <w:t xml:space="preserve">Vytěženým dokladem pro účely určení ceny se rozumí soubor, který je korektně přijat ke zpracování </w:t>
      </w:r>
      <w:r w:rsidR="0056252E" w:rsidRPr="005B26A3">
        <w:rPr>
          <w:rFonts w:eastAsia="Calibri" w:cs="Arial"/>
          <w:spacing w:val="0"/>
          <w:szCs w:val="18"/>
          <w:lang w:eastAsia="cs-CZ"/>
        </w:rPr>
        <w:br/>
      </w:r>
      <w:r w:rsidRPr="005B26A3">
        <w:rPr>
          <w:rFonts w:eastAsia="Calibri" w:cs="Arial"/>
          <w:spacing w:val="0"/>
          <w:szCs w:val="18"/>
          <w:lang w:eastAsia="cs-CZ"/>
        </w:rPr>
        <w:t>v Trask ZenID, je dle vzhledu detektován jako podporovaný typ dokladu a následně na něm bylo provedeno OCR zpracování bez ohledu na vyhodnocení přesnosti vytěžených dat.</w:t>
      </w:r>
    </w:p>
    <w:p w14:paraId="0752688E" w14:textId="0D0F79D0" w:rsidR="00024D53" w:rsidRPr="005B26A3" w:rsidRDefault="00024D53" w:rsidP="005B26A3">
      <w:pPr>
        <w:spacing w:after="0" w:line="260" w:lineRule="exact"/>
        <w:jc w:val="both"/>
        <w:rPr>
          <w:rFonts w:eastAsia="Calibri" w:cs="Arial"/>
          <w:spacing w:val="0"/>
          <w:szCs w:val="18"/>
          <w:lang w:eastAsia="cs-CZ"/>
        </w:rPr>
      </w:pPr>
      <w:r w:rsidRPr="005B26A3">
        <w:rPr>
          <w:rFonts w:eastAsia="Calibri" w:cs="Arial"/>
          <w:bCs/>
          <w:spacing w:val="0"/>
          <w:szCs w:val="18"/>
          <w:lang w:eastAsia="cs-CZ"/>
        </w:rPr>
        <w:t>SW testovací licence</w:t>
      </w:r>
      <w:r w:rsidRPr="005B26A3">
        <w:rPr>
          <w:rFonts w:eastAsia="Calibri" w:cs="Arial"/>
          <w:spacing w:val="0"/>
          <w:szCs w:val="18"/>
          <w:lang w:eastAsia="cs-CZ"/>
        </w:rPr>
        <w:t xml:space="preserve"> je objemově omezená a nesmí být použita pro produkční prostředí/vytěžování dokladů.</w:t>
      </w:r>
    </w:p>
    <w:p w14:paraId="7F81BAAB" w14:textId="77777777" w:rsidR="00024D53" w:rsidRPr="005B26A3" w:rsidRDefault="00024D53" w:rsidP="0056252E">
      <w:pPr>
        <w:spacing w:after="0" w:line="260" w:lineRule="exact"/>
        <w:jc w:val="both"/>
        <w:rPr>
          <w:rFonts w:eastAsia="Calibri" w:cs="Arial"/>
          <w:spacing w:val="0"/>
          <w:szCs w:val="18"/>
          <w:lang w:eastAsia="cs-CZ"/>
        </w:rPr>
      </w:pPr>
      <w:r w:rsidRPr="005B26A3">
        <w:rPr>
          <w:rFonts w:eastAsia="Calibri" w:cs="Arial"/>
          <w:spacing w:val="0"/>
          <w:szCs w:val="18"/>
          <w:lang w:eastAsia="cs-CZ"/>
        </w:rPr>
        <w:t xml:space="preserve">Výše uvedené ceny jsou bez DPH. </w:t>
      </w:r>
    </w:p>
    <w:p w14:paraId="7E64FF3B" w14:textId="77777777" w:rsidR="00FE6BCB" w:rsidRPr="00FF7558" w:rsidRDefault="00FE6BCB" w:rsidP="00FE6BCB">
      <w:pPr>
        <w:ind w:left="360"/>
        <w:rPr>
          <w:lang w:eastAsia="cs-CZ"/>
        </w:rPr>
      </w:pPr>
    </w:p>
    <w:p w14:paraId="2AE439A7" w14:textId="77777777" w:rsidR="007C7294" w:rsidRPr="00FF7558" w:rsidRDefault="007C7294" w:rsidP="00882699">
      <w:pPr>
        <w:ind w:left="360"/>
        <w:rPr>
          <w:lang w:eastAsia="cs-CZ"/>
        </w:rPr>
      </w:pPr>
    </w:p>
    <w:sectPr w:rsidR="007C7294" w:rsidRPr="00FF7558" w:rsidSect="00120604">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567"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2BD2" w14:textId="77777777" w:rsidR="00AC2899" w:rsidRDefault="00AC2899" w:rsidP="00415385">
      <w:r>
        <w:separator/>
      </w:r>
    </w:p>
  </w:endnote>
  <w:endnote w:type="continuationSeparator" w:id="0">
    <w:p w14:paraId="09A151B3" w14:textId="77777777" w:rsidR="00AC2899" w:rsidRDefault="00AC2899" w:rsidP="00415385">
      <w:r>
        <w:continuationSeparator/>
      </w:r>
    </w:p>
  </w:endnote>
  <w:endnote w:type="continuationNotice" w:id="1">
    <w:p w14:paraId="6CF5379F" w14:textId="77777777" w:rsidR="00AC2899" w:rsidRDefault="00AC28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enia Serif Pro">
    <w:altName w:val="Times New Roman"/>
    <w:panose1 w:val="00000000000000000000"/>
    <w:charset w:val="00"/>
    <w:family w:val="modern"/>
    <w:notTrueType/>
    <w:pitch w:val="variable"/>
    <w:sig w:usb0="A00000AF" w:usb1="1000207A" w:usb2="00000000" w:usb3="00000000" w:csb0="0000009B" w:csb1="00000000"/>
  </w:font>
  <w:font w:name="Roboto">
    <w:altName w:val="Arial"/>
    <w:charset w:val="EE"/>
    <w:family w:val="auto"/>
    <w:pitch w:val="variable"/>
    <w:sig w:usb0="E0000AFF" w:usb1="5000217F" w:usb2="00000021" w:usb3="00000000" w:csb0="0000019F" w:csb1="00000000"/>
  </w:font>
  <w:font w:name="Neue Haas Unica Pro">
    <w:charset w:val="00"/>
    <w:family w:val="swiss"/>
    <w:pitch w:val="variable"/>
    <w:sig w:usb0="A0000027" w:usb1="00000003" w:usb2="00000000" w:usb3="00000000" w:csb0="00000093" w:csb1="00000000"/>
  </w:font>
  <w:font w:name="Roboto Black">
    <w:altName w:val="Arial"/>
    <w:charset w:val="00"/>
    <w:family w:val="auto"/>
    <w:pitch w:val="variable"/>
    <w:sig w:usb0="00000001" w:usb1="5000205B" w:usb2="00000020" w:usb3="00000000" w:csb0="0000019F" w:csb1="00000000"/>
  </w:font>
  <w:font w:name="Roboto-Black">
    <w:altName w:val="Robot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32F9" w14:textId="77777777" w:rsidR="007208F4" w:rsidRDefault="007208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1DC1" w14:textId="77777777" w:rsidR="007208F4" w:rsidRDefault="007208F4" w:rsidP="00C012C2">
    <w:pPr>
      <w:pStyle w:val="Zpat"/>
      <w:tabs>
        <w:tab w:val="clear" w:pos="9072"/>
      </w:tabs>
      <w:ind w:right="-285"/>
      <w:jc w:val="right"/>
    </w:pPr>
  </w:p>
  <w:p w14:paraId="49773361" w14:textId="77777777" w:rsidR="007208F4" w:rsidRDefault="007208F4" w:rsidP="00C012C2">
    <w:pPr>
      <w:pStyle w:val="Zpat"/>
      <w:tabs>
        <w:tab w:val="clear" w:pos="9072"/>
      </w:tabs>
      <w:ind w:right="-285"/>
      <w:jc w:val="right"/>
    </w:pPr>
    <w:r>
      <w:rPr>
        <w:noProof/>
        <w:lang w:eastAsia="cs-CZ"/>
      </w:rPr>
      <w:drawing>
        <wp:anchor distT="0" distB="0" distL="114300" distR="114300" simplePos="0" relativeHeight="251658241" behindDoc="1" locked="0" layoutInCell="1" allowOverlap="1" wp14:anchorId="1F6866CE" wp14:editId="033CA3FD">
          <wp:simplePos x="0" y="0"/>
          <wp:positionH relativeFrom="column">
            <wp:posOffset>5145174</wp:posOffset>
          </wp:positionH>
          <wp:positionV relativeFrom="page">
            <wp:posOffset>9901555</wp:posOffset>
          </wp:positionV>
          <wp:extent cx="792000" cy="291600"/>
          <wp:effectExtent l="0" t="0" r="0" b="0"/>
          <wp:wrapNone/>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Trask logo (šediv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000" cy="2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37FB" w14:textId="77777777" w:rsidR="007208F4" w:rsidRDefault="007208F4" w:rsidP="00C012C2">
    <w:pPr>
      <w:pStyle w:val="Zpat"/>
      <w:spacing w:before="240"/>
    </w:pPr>
    <w:r>
      <w:rPr>
        <w:noProof/>
        <w:lang w:eastAsia="cs-CZ"/>
      </w:rPr>
      <w:drawing>
        <wp:inline distT="0" distB="0" distL="0" distR="0" wp14:anchorId="486BC866" wp14:editId="69F3C054">
          <wp:extent cx="2278800" cy="327600"/>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sk Logo s claimem (šedivé).png"/>
                  <pic:cNvPicPr/>
                </pic:nvPicPr>
                <pic:blipFill rotWithShape="1">
                  <a:blip r:embed="rId1">
                    <a:extLst>
                      <a:ext uri="{28A0092B-C50C-407E-A947-70E740481C1C}">
                        <a14:useLocalDpi xmlns:a14="http://schemas.microsoft.com/office/drawing/2010/main" val="0"/>
                      </a:ext>
                    </a:extLst>
                  </a:blip>
                  <a:srcRect l="2776"/>
                  <a:stretch/>
                </pic:blipFill>
                <pic:spPr bwMode="auto">
                  <a:xfrm>
                    <a:off x="0" y="0"/>
                    <a:ext cx="2278800" cy="327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F5CA" w14:textId="77777777" w:rsidR="00AC2899" w:rsidRDefault="00AC2899" w:rsidP="00415385">
      <w:r>
        <w:separator/>
      </w:r>
    </w:p>
  </w:footnote>
  <w:footnote w:type="continuationSeparator" w:id="0">
    <w:p w14:paraId="3692C780" w14:textId="77777777" w:rsidR="00AC2899" w:rsidRDefault="00AC2899" w:rsidP="00415385">
      <w:r>
        <w:continuationSeparator/>
      </w:r>
    </w:p>
  </w:footnote>
  <w:footnote w:type="continuationNotice" w:id="1">
    <w:p w14:paraId="67637346" w14:textId="77777777" w:rsidR="00AC2899" w:rsidRDefault="00AC28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B685" w14:textId="77777777" w:rsidR="007208F4" w:rsidRDefault="007208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6029" w14:textId="77777777" w:rsidR="007208F4" w:rsidRDefault="007208F4" w:rsidP="00415385">
    <w:pPr>
      <w:pStyle w:val="Zhlav"/>
    </w:pPr>
    <w:r>
      <w:rPr>
        <w:noProof/>
        <w:lang w:eastAsia="cs-CZ"/>
      </w:rPr>
      <mc:AlternateContent>
        <mc:Choice Requires="wpg">
          <w:drawing>
            <wp:anchor distT="0" distB="0" distL="114300" distR="114300" simplePos="0" relativeHeight="251658240" behindDoc="0" locked="0" layoutInCell="1" allowOverlap="1" wp14:anchorId="602F373D" wp14:editId="0E66F8ED">
              <wp:simplePos x="0" y="0"/>
              <wp:positionH relativeFrom="column">
                <wp:posOffset>5951220</wp:posOffset>
              </wp:positionH>
              <wp:positionV relativeFrom="paragraph">
                <wp:posOffset>226695</wp:posOffset>
              </wp:positionV>
              <wp:extent cx="416560" cy="1471295"/>
              <wp:effectExtent l="0" t="0" r="0" b="0"/>
              <wp:wrapSquare wrapText="bothSides"/>
              <wp:docPr id="1"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1471295"/>
                        <a:chOff x="-574" y="0"/>
                        <a:chExt cx="4208" cy="12121"/>
                      </a:xfrm>
                    </wpg:grpSpPr>
                    <wps:wsp>
                      <wps:cNvPr id="2" name="Textové pole 2"/>
                      <wps:cNvSpPr txBox="1">
                        <a:spLocks/>
                      </wps:cNvSpPr>
                      <wps:spPr bwMode="auto">
                        <a:xfrm>
                          <a:off x="-574" y="1192"/>
                          <a:ext cx="4208" cy="10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64E1A" w14:textId="77777777" w:rsidR="007208F4" w:rsidRPr="002A3644" w:rsidRDefault="007208F4" w:rsidP="00415385">
                            <w:pPr>
                              <w:rPr>
                                <w:color w:val="7F7F7F" w:themeColor="text1" w:themeTint="80"/>
                                <w:sz w:val="10"/>
                              </w:rPr>
                            </w:pPr>
                            <w:r w:rsidRPr="002A3644">
                              <w:rPr>
                                <w:rFonts w:cs="Arial"/>
                                <w:color w:val="7F7F7F" w:themeColor="text1" w:themeTint="80"/>
                                <w:sz w:val="10"/>
                              </w:rPr>
                              <w:t>│</w:t>
                            </w:r>
                            <w:r w:rsidRPr="002A3644">
                              <w:rPr>
                                <w:color w:val="7F7F7F" w:themeColor="text1" w:themeTint="80"/>
                                <w:sz w:val="10"/>
                              </w:rPr>
                              <w:t xml:space="preserve"> Smlouva o poskytování služeb</w:t>
                            </w:r>
                          </w:p>
                        </w:txbxContent>
                      </wps:txbx>
                      <wps:bodyPr rot="0" vert="vert" wrap="square" lIns="91440" tIns="45720" rIns="91440" bIns="45720" anchor="t" anchorCtr="0" upright="1">
                        <a:noAutofit/>
                      </wps:bodyPr>
                    </wps:wsp>
                    <wps:wsp>
                      <wps:cNvPr id="3" name="Textové pole 2"/>
                      <wps:cNvSpPr txBox="1">
                        <a:spLocks/>
                      </wps:cNvSpPr>
                      <wps:spPr bwMode="auto">
                        <a:xfrm>
                          <a:off x="408" y="0"/>
                          <a:ext cx="2349" cy="2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AE9EB" w14:textId="77777777" w:rsidR="007208F4" w:rsidRPr="006F6716" w:rsidRDefault="00AC2899" w:rsidP="00415385">
                            <w:pPr>
                              <w:pStyle w:val="Zhlav"/>
                            </w:pPr>
                            <w:sdt>
                              <w:sdtPr>
                                <w:id w:val="2012567929"/>
                                <w:docPartObj>
                                  <w:docPartGallery w:val="Page Numbers (Top of Page)"/>
                                  <w:docPartUnique/>
                                </w:docPartObj>
                              </w:sdtPr>
                              <w:sdtEndPr/>
                              <w:sdtContent>
                                <w:r w:rsidR="007208F4">
                                  <w:fldChar w:fldCharType="begin"/>
                                </w:r>
                                <w:r w:rsidR="007208F4">
                                  <w:instrText>PAGE   \* MERGEFORMAT</w:instrText>
                                </w:r>
                                <w:r w:rsidR="007208F4">
                                  <w:fldChar w:fldCharType="separate"/>
                                </w:r>
                                <w:r w:rsidR="007208F4">
                                  <w:rPr>
                                    <w:noProof/>
                                  </w:rPr>
                                  <w:t>7</w:t>
                                </w:r>
                                <w:r w:rsidR="007208F4">
                                  <w:rPr>
                                    <w:noProof/>
                                  </w:rPr>
                                  <w:fldChar w:fldCharType="end"/>
                                </w:r>
                              </w:sdtContent>
                            </w:sdt>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F373D" id="Skupina 6" o:spid="_x0000_s1026" style="position:absolute;margin-left:468.6pt;margin-top:17.85pt;width:32.8pt;height:115.85pt;z-index:251658240" coordorigin="-574" coordsize="4208,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IhVwMAACALAAAOAAAAZHJzL2Uyb0RvYy54bWzsVttu3DYQfQ+QfyD4LutirnYlWA7ivRgB&#10;3CaAkw/gSpRERCIVkrtap+gH9Tv6YxmSe7ODtEGCtHmIHgiSMxzOnJk54tWLXd+hLVOaS1Hg+CLC&#10;iIlSVlw0BX73dhXMMNKGiop2UrACPzCNX1w/f3Y1DjlLZCu7iikERoTOx6HArTFDHoa6bFlP9YUc&#10;mABhLVVPDSxVE1aKjmC978IkitJwlKoalCyZ1rC78EJ87ezXNSvN67rWzKCuwOCbcaNy49qO4fUV&#10;zRtFh5aXezfoN3jRUy7g0qOpBTUUbRT/zFTPSyW1rM1FKftQ1jUvmYsBoomjJ9HcKrkZXCxNPjbD&#10;ESaA9glO32y2/H37RiFeQe4wErSHFN2/3wxcUJRacMahyUHnVg33wxvlI4TpnSzfaxCHT+V23Xhl&#10;tB5/kxUYpBsjHTi7WvXWBISNdi4HD8ccsJ1BJWySOJ2kkKkSRDGZxkk28UkqW8ikPRZMpgSj08my&#10;XR7OJhGUmzuZxElsz4U097c6T/ee2bCg3PQJUf19iN63dGAuUdqitUc0OSD6FoKT27//QoPsGEo8&#10;rk7TgorM7kZCXLHDSJ9je9TxHmur/W+oHuGJ48xdRfMjtid8oizJHuFD80Fpc8tkj+ykwAp6x3lE&#10;t3faeCgPKjaJQq5418E+zTvxaAMw9ztwLxy1MuuBa4c/sihbzpYzEpAkXQYkWiyCl6s5CdJVPJ0s&#10;Lhfz+SL+094bk7zlVcWEvebQmjH5ukTtScI31bE5tex4Zc1Zl7Rq1vNOoS0Fali5bw/ImVr42A1X&#10;TxDLk5DihEQ3SRas0tk0ICsyCbJpNAuiOLvJ0ohkZLF6HNIdF+z7Q0JjgbNJMvF188XYIvd9HhvN&#10;e26AfDveF3h2VKJ5y2i1FJVLraG88/MzKKz7Jygg3YdEQ5Pp3Fapr1ezW+/Ait1cy+oBildJqCzo&#10;bvhjwMSOGI3AvgXWHzZUMYy6VwKaMYsJsXTtFmQyTWChziXrcwkVZSuB1MGYn86Np/jNoHjTwk2+&#10;t4R8CVRUc1fNJ68cjTk++I+I4fJ/IQZiyfFEm7YlLeEmlyTzpJmk0eUvTvjFCT+cE/bvjX+iBujn&#10;jz8ZNbgXBDzDHPPtn4z2nXe+dlRyethefwIAAP//AwBQSwMEFAAGAAgAAAAhAIV1m3TiAAAACwEA&#10;AA8AAABkcnMvZG93bnJldi54bWxMj8FOwzAQRO9I/IO1SNyonYQ2JcSpqgo4VUi0SBU3N94mUeN1&#10;FLtJ+ve4Jziu9mnmTb6aTMsG7F1jSUI0E8CQSqsbqiR879+flsCcV6RVawklXNHBqri/y1Wm7Uhf&#10;OOx8xUIIuUxJqL3vMs5dWaNRbmY7pPA72d4oH86+4rpXYwg3LY+FWHCjGgoNtepwU2N53l2MhI9R&#10;jeskehu259Pm+rOffx62EUr5+DCtX4F5nPwfDDf9oA5FcDraC2nHWgkvSRoHVEIyT4HdACHiMOYo&#10;IV6kz8CLnP/fUPwCAAD//wMAUEsBAi0AFAAGAAgAAAAhALaDOJL+AAAA4QEAABMAAAAAAAAAAAAA&#10;AAAAAAAAAFtDb250ZW50X1R5cGVzXS54bWxQSwECLQAUAAYACAAAACEAOP0h/9YAAACUAQAACwAA&#10;AAAAAAAAAAAAAAAvAQAAX3JlbHMvLnJlbHNQSwECLQAUAAYACAAAACEAV+0iIVcDAAAgCwAADgAA&#10;AAAAAAAAAAAAAAAuAgAAZHJzL2Uyb0RvYy54bWxQSwECLQAUAAYACAAAACEAhXWbdOIAAAALAQAA&#10;DwAAAAAAAAAAAAAAAACxBQAAZHJzL2Rvd25yZXYueG1sUEsFBgAAAAAEAAQA8wAAAMAGAAAAAA==&#10;">
              <v:shapetype id="_x0000_t202" coordsize="21600,21600" o:spt="202" path="m,l,21600r21600,l21600,xe">
                <v:stroke joinstyle="miter"/>
                <v:path gradientshapeok="t" o:connecttype="rect"/>
              </v:shapetype>
              <v:shape id="Textové pole 2" o:spid="_x0000_s1027" type="#_x0000_t202" style="position:absolute;left:-574;top:1192;width:4208;height:10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W6vwAAANoAAAAPAAAAZHJzL2Rvd25yZXYueG1sRI9Bi8Iw&#10;FITvgv8hvIW9abpVpHSNsgiCFw9bxfOjeTalzUtpYlv//UYQ9jjMzDfMdj/ZVgzU+9qxgq9lAoK4&#10;dLrmSsH1clxkIHxA1tg6JgVP8rDfzWdbzLUb+ZeGIlQiQtjnqMCE0OVS+tKQRb90HXH07q63GKLs&#10;K6l7HCPctjJNko20WHNcMNjRwVDZFA+roDHN2bnU1mkxTJleUbW+2VGpz4/p5xtEoCn8h9/tk1aQ&#10;wutKvAFy9wcAAP//AwBQSwECLQAUAAYACAAAACEA2+H2y+4AAACFAQAAEwAAAAAAAAAAAAAAAAAA&#10;AAAAW0NvbnRlbnRfVHlwZXNdLnhtbFBLAQItABQABgAIAAAAIQBa9CxbvwAAABUBAAALAAAAAAAA&#10;AAAAAAAAAB8BAABfcmVscy8ucmVsc1BLAQItABQABgAIAAAAIQCHslW6vwAAANoAAAAPAAAAAAAA&#10;AAAAAAAAAAcCAABkcnMvZG93bnJldi54bWxQSwUGAAAAAAMAAwC3AAAA8wIAAAAA&#10;" filled="f" stroked="f">
                <v:path arrowok="t"/>
                <v:textbox style="layout-flow:vertical">
                  <w:txbxContent>
                    <w:p w14:paraId="47264E1A" w14:textId="77777777" w:rsidR="008A7BC2" w:rsidRPr="002A3644" w:rsidRDefault="008A7BC2" w:rsidP="00415385">
                      <w:pPr>
                        <w:rPr>
                          <w:color w:val="7F7F7F" w:themeColor="text1" w:themeTint="80"/>
                          <w:sz w:val="10"/>
                        </w:rPr>
                      </w:pPr>
                      <w:r w:rsidRPr="002A3644">
                        <w:rPr>
                          <w:rFonts w:cs="Arial"/>
                          <w:color w:val="7F7F7F" w:themeColor="text1" w:themeTint="80"/>
                          <w:sz w:val="10"/>
                        </w:rPr>
                        <w:t>│</w:t>
                      </w:r>
                      <w:r w:rsidRPr="002A3644">
                        <w:rPr>
                          <w:color w:val="7F7F7F" w:themeColor="text1" w:themeTint="80"/>
                          <w:sz w:val="10"/>
                        </w:rPr>
                        <w:t xml:space="preserve"> Smlouva o poskytování služeb</w:t>
                      </w:r>
                    </w:p>
                  </w:txbxContent>
                </v:textbox>
              </v:shape>
              <v:shape id="Textové pole 2" o:spid="_x0000_s1028" type="#_x0000_t202" style="position:absolute;left:408;width:234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hiwQAAANoAAAAPAAAAZHJzL2Rvd25yZXYueG1sRI/dagIx&#10;FITvC75DOELvalaF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CigeGLBAAAA2gAAAA8AAAAA&#10;AAAAAAAAAAAABwIAAGRycy9kb3ducmV2LnhtbFBLBQYAAAAAAwADALcAAAD1AgAAAAA=&#10;" filled="f" stroked="f">
                <v:path arrowok="t"/>
                <v:textbox>
                  <w:txbxContent>
                    <w:p w14:paraId="429AE9EB" w14:textId="77777777" w:rsidR="008A7BC2" w:rsidRPr="006F6716" w:rsidRDefault="00FE0F63" w:rsidP="00415385">
                      <w:pPr>
                        <w:pStyle w:val="Zhlav"/>
                      </w:pPr>
                      <w:sdt>
                        <w:sdtPr>
                          <w:id w:val="2012567929"/>
                          <w:docPartObj>
                            <w:docPartGallery w:val="Page Numbers (Top of Page)"/>
                            <w:docPartUnique/>
                          </w:docPartObj>
                        </w:sdtPr>
                        <w:sdtEndPr/>
                        <w:sdtContent>
                          <w:r w:rsidR="008A7BC2">
                            <w:fldChar w:fldCharType="begin"/>
                          </w:r>
                          <w:r w:rsidR="008A7BC2">
                            <w:instrText>PAGE   \* MERGEFORMAT</w:instrText>
                          </w:r>
                          <w:r w:rsidR="008A7BC2">
                            <w:fldChar w:fldCharType="separate"/>
                          </w:r>
                          <w:r w:rsidR="008A7BC2">
                            <w:rPr>
                              <w:noProof/>
                            </w:rPr>
                            <w:t>7</w:t>
                          </w:r>
                          <w:r w:rsidR="008A7BC2">
                            <w:rPr>
                              <w:noProof/>
                            </w:rPr>
                            <w:fldChar w:fldCharType="end"/>
                          </w:r>
                        </w:sdtContent>
                      </w:sdt>
                    </w:p>
                  </w:txbxContent>
                </v:textbox>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76B0" w14:textId="77777777" w:rsidR="007208F4" w:rsidRDefault="007208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008E"/>
    <w:multiLevelType w:val="hybridMultilevel"/>
    <w:tmpl w:val="CEE0F642"/>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D0FF0"/>
    <w:multiLevelType w:val="hybridMultilevel"/>
    <w:tmpl w:val="C9EE56AE"/>
    <w:lvl w:ilvl="0" w:tplc="0409000F">
      <w:start w:val="1"/>
      <w:numFmt w:val="decimal"/>
      <w:lvlText w:val="%1."/>
      <w:lvlJc w:val="left"/>
      <w:pPr>
        <w:ind w:left="720" w:hanging="360"/>
      </w:pPr>
      <w:rPr>
        <w:rFonts w:hint="default"/>
      </w:rPr>
    </w:lvl>
    <w:lvl w:ilvl="1" w:tplc="A83C708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D0CA7"/>
    <w:multiLevelType w:val="hybridMultilevel"/>
    <w:tmpl w:val="22D0E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1740B"/>
    <w:multiLevelType w:val="hybridMultilevel"/>
    <w:tmpl w:val="46AEF27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B560DE9"/>
    <w:multiLevelType w:val="hybridMultilevel"/>
    <w:tmpl w:val="AAEC8B0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574346E"/>
    <w:multiLevelType w:val="hybridMultilevel"/>
    <w:tmpl w:val="CEE0F642"/>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95AC7"/>
    <w:multiLevelType w:val="hybridMultilevel"/>
    <w:tmpl w:val="1CAC4A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591E01"/>
    <w:multiLevelType w:val="hybridMultilevel"/>
    <w:tmpl w:val="978AF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55AA9"/>
    <w:multiLevelType w:val="hybridMultilevel"/>
    <w:tmpl w:val="186E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9F6087"/>
    <w:multiLevelType w:val="hybridMultilevel"/>
    <w:tmpl w:val="C9869C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4C86670"/>
    <w:multiLevelType w:val="hybridMultilevel"/>
    <w:tmpl w:val="D86400D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5A773F01"/>
    <w:multiLevelType w:val="hybridMultilevel"/>
    <w:tmpl w:val="C41A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A36BC0"/>
    <w:multiLevelType w:val="hybridMultilevel"/>
    <w:tmpl w:val="4ECC536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63F45CB0"/>
    <w:multiLevelType w:val="multilevel"/>
    <w:tmpl w:val="893E983E"/>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lowerLetter"/>
      <w:pStyle w:val="Nadpis4"/>
      <w:lvlText w:val="%4)"/>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7906D0"/>
    <w:multiLevelType w:val="hybridMultilevel"/>
    <w:tmpl w:val="CEE0F642"/>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34755D"/>
    <w:multiLevelType w:val="hybridMultilevel"/>
    <w:tmpl w:val="47B088FA"/>
    <w:lvl w:ilvl="0" w:tplc="04090001">
      <w:start w:val="1"/>
      <w:numFmt w:val="bullet"/>
      <w:lvlText w:val=""/>
      <w:lvlJc w:val="left"/>
      <w:pPr>
        <w:ind w:left="759" w:hanging="360"/>
      </w:pPr>
      <w:rPr>
        <w:rFonts w:ascii="Symbol" w:hAnsi="Symbol" w:hint="default"/>
      </w:rPr>
    </w:lvl>
    <w:lvl w:ilvl="1" w:tplc="04050003">
      <w:start w:val="1"/>
      <w:numFmt w:val="bullet"/>
      <w:lvlText w:val="o"/>
      <w:lvlJc w:val="left"/>
      <w:pPr>
        <w:ind w:left="1479" w:hanging="360"/>
      </w:pPr>
      <w:rPr>
        <w:rFonts w:ascii="Courier New" w:hAnsi="Courier New" w:cs="Courier New" w:hint="default"/>
      </w:rPr>
    </w:lvl>
    <w:lvl w:ilvl="2" w:tplc="04050005" w:tentative="1">
      <w:start w:val="1"/>
      <w:numFmt w:val="bullet"/>
      <w:lvlText w:val=""/>
      <w:lvlJc w:val="left"/>
      <w:pPr>
        <w:ind w:left="2199" w:hanging="360"/>
      </w:pPr>
      <w:rPr>
        <w:rFonts w:ascii="Wingdings" w:hAnsi="Wingdings" w:hint="default"/>
      </w:rPr>
    </w:lvl>
    <w:lvl w:ilvl="3" w:tplc="04050001" w:tentative="1">
      <w:start w:val="1"/>
      <w:numFmt w:val="bullet"/>
      <w:lvlText w:val=""/>
      <w:lvlJc w:val="left"/>
      <w:pPr>
        <w:ind w:left="2919" w:hanging="360"/>
      </w:pPr>
      <w:rPr>
        <w:rFonts w:ascii="Symbol" w:hAnsi="Symbol" w:hint="default"/>
      </w:rPr>
    </w:lvl>
    <w:lvl w:ilvl="4" w:tplc="04050003" w:tentative="1">
      <w:start w:val="1"/>
      <w:numFmt w:val="bullet"/>
      <w:lvlText w:val="o"/>
      <w:lvlJc w:val="left"/>
      <w:pPr>
        <w:ind w:left="3639" w:hanging="360"/>
      </w:pPr>
      <w:rPr>
        <w:rFonts w:ascii="Courier New" w:hAnsi="Courier New" w:cs="Courier New" w:hint="default"/>
      </w:rPr>
    </w:lvl>
    <w:lvl w:ilvl="5" w:tplc="04050005" w:tentative="1">
      <w:start w:val="1"/>
      <w:numFmt w:val="bullet"/>
      <w:lvlText w:val=""/>
      <w:lvlJc w:val="left"/>
      <w:pPr>
        <w:ind w:left="4359" w:hanging="360"/>
      </w:pPr>
      <w:rPr>
        <w:rFonts w:ascii="Wingdings" w:hAnsi="Wingdings" w:hint="default"/>
      </w:rPr>
    </w:lvl>
    <w:lvl w:ilvl="6" w:tplc="04050001" w:tentative="1">
      <w:start w:val="1"/>
      <w:numFmt w:val="bullet"/>
      <w:lvlText w:val=""/>
      <w:lvlJc w:val="left"/>
      <w:pPr>
        <w:ind w:left="5079" w:hanging="360"/>
      </w:pPr>
      <w:rPr>
        <w:rFonts w:ascii="Symbol" w:hAnsi="Symbol" w:hint="default"/>
      </w:rPr>
    </w:lvl>
    <w:lvl w:ilvl="7" w:tplc="04050003" w:tentative="1">
      <w:start w:val="1"/>
      <w:numFmt w:val="bullet"/>
      <w:lvlText w:val="o"/>
      <w:lvlJc w:val="left"/>
      <w:pPr>
        <w:ind w:left="5799" w:hanging="360"/>
      </w:pPr>
      <w:rPr>
        <w:rFonts w:ascii="Courier New" w:hAnsi="Courier New" w:cs="Courier New" w:hint="default"/>
      </w:rPr>
    </w:lvl>
    <w:lvl w:ilvl="8" w:tplc="04050005" w:tentative="1">
      <w:start w:val="1"/>
      <w:numFmt w:val="bullet"/>
      <w:lvlText w:val=""/>
      <w:lvlJc w:val="left"/>
      <w:pPr>
        <w:ind w:left="6519" w:hanging="360"/>
      </w:pPr>
      <w:rPr>
        <w:rFonts w:ascii="Wingdings" w:hAnsi="Wingdings" w:hint="default"/>
      </w:rPr>
    </w:lvl>
  </w:abstractNum>
  <w:abstractNum w:abstractNumId="16" w15:restartNumberingAfterBreak="0">
    <w:nsid w:val="6ADA72F6"/>
    <w:multiLevelType w:val="hybridMultilevel"/>
    <w:tmpl w:val="79CE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87544"/>
    <w:multiLevelType w:val="multilevel"/>
    <w:tmpl w:val="E236A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3343CF"/>
    <w:multiLevelType w:val="hybridMultilevel"/>
    <w:tmpl w:val="CEE0F642"/>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460A3"/>
    <w:multiLevelType w:val="hybridMultilevel"/>
    <w:tmpl w:val="B8AACBD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9504C3D"/>
    <w:multiLevelType w:val="multilevel"/>
    <w:tmpl w:val="DB76E69C"/>
    <w:lvl w:ilvl="0">
      <w:start w:val="1"/>
      <w:numFmt w:val="decimal"/>
      <w:lvlText w:val="%1."/>
      <w:lvlJc w:val="left"/>
      <w:pPr>
        <w:ind w:left="-116" w:hanging="360"/>
      </w:pPr>
      <w:rPr>
        <w:rFonts w:hint="default"/>
      </w:rPr>
    </w:lvl>
    <w:lvl w:ilvl="1">
      <w:start w:val="1"/>
      <w:numFmt w:val="bullet"/>
      <w:lvlText w:val=""/>
      <w:lvlJc w:val="left"/>
      <w:pPr>
        <w:ind w:left="244" w:hanging="360"/>
      </w:pPr>
      <w:rPr>
        <w:rFonts w:ascii="Symbol" w:hAnsi="Symbol" w:hint="default"/>
      </w:rPr>
    </w:lvl>
    <w:lvl w:ilvl="2">
      <w:start w:val="1"/>
      <w:numFmt w:val="decimal"/>
      <w:lvlText w:val="%1.%2.%3."/>
      <w:lvlJc w:val="left"/>
      <w:pPr>
        <w:ind w:left="748" w:hanging="504"/>
      </w:pPr>
      <w:rPr>
        <w:rFonts w:hint="default"/>
      </w:rPr>
    </w:lvl>
    <w:lvl w:ilvl="3">
      <w:start w:val="1"/>
      <w:numFmt w:val="lowerLetter"/>
      <w:lvlText w:val="%4)"/>
      <w:lvlJc w:val="left"/>
      <w:pPr>
        <w:ind w:left="96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bullet"/>
      <w:lvlRestart w:val="0"/>
      <w:pStyle w:val="Nadpis5"/>
      <w:lvlText w:val=""/>
      <w:lvlJc w:val="left"/>
      <w:pPr>
        <w:ind w:left="1814" w:hanging="850"/>
      </w:pPr>
      <w:rPr>
        <w:rFonts w:ascii="Symbol" w:hAnsi="Symbol" w:hint="default"/>
      </w:rPr>
    </w:lvl>
    <w:lvl w:ilvl="5">
      <w:start w:val="1"/>
      <w:numFmt w:val="decimal"/>
      <w:lvlText w:val="%1.%2.%3.%4.%5.%6."/>
      <w:lvlJc w:val="left"/>
      <w:pPr>
        <w:ind w:left="2260" w:hanging="936"/>
      </w:pPr>
      <w:rPr>
        <w:rFonts w:hint="default"/>
      </w:rPr>
    </w:lvl>
    <w:lvl w:ilvl="6">
      <w:start w:val="1"/>
      <w:numFmt w:val="decimal"/>
      <w:lvlText w:val="%1.%2.%3.%4.%5.%6.%7."/>
      <w:lvlJc w:val="left"/>
      <w:pPr>
        <w:ind w:left="2764" w:hanging="1080"/>
      </w:pPr>
      <w:rPr>
        <w:rFonts w:hint="default"/>
      </w:rPr>
    </w:lvl>
    <w:lvl w:ilvl="7">
      <w:start w:val="1"/>
      <w:numFmt w:val="decimal"/>
      <w:lvlText w:val="%1.%2.%3.%4.%5.%6.%7.%8."/>
      <w:lvlJc w:val="left"/>
      <w:pPr>
        <w:ind w:left="3268" w:hanging="1224"/>
      </w:pPr>
      <w:rPr>
        <w:rFonts w:hint="default"/>
      </w:rPr>
    </w:lvl>
    <w:lvl w:ilvl="8">
      <w:start w:val="1"/>
      <w:numFmt w:val="decimal"/>
      <w:lvlText w:val="%1.%2.%3.%4.%5.%6.%7.%8.%9."/>
      <w:lvlJc w:val="left"/>
      <w:pPr>
        <w:ind w:left="3844" w:hanging="1440"/>
      </w:pPr>
      <w:rPr>
        <w:rFonts w:hint="default"/>
      </w:rPr>
    </w:lvl>
  </w:abstractNum>
  <w:abstractNum w:abstractNumId="21" w15:restartNumberingAfterBreak="0">
    <w:nsid w:val="7B78071C"/>
    <w:multiLevelType w:val="hybridMultilevel"/>
    <w:tmpl w:val="3E6C3C8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7FEB3B64"/>
    <w:multiLevelType w:val="multilevel"/>
    <w:tmpl w:val="0DE69E50"/>
    <w:lvl w:ilvl="0">
      <w:start w:val="1"/>
      <w:numFmt w:val="decimal"/>
      <w:pStyle w:val="Nadpislnku"/>
      <w:lvlText w:val="%1."/>
      <w:lvlJc w:val="left"/>
      <w:pPr>
        <w:ind w:left="703" w:hanging="703"/>
      </w:pPr>
      <w:rPr>
        <w:rFonts w:hint="default"/>
      </w:rPr>
    </w:lvl>
    <w:lvl w:ilvl="1">
      <w:start w:val="1"/>
      <w:numFmt w:val="decimal"/>
      <w:pStyle w:val="Odsttext"/>
      <w:lvlText w:val="%1.%2"/>
      <w:lvlJc w:val="left"/>
      <w:pPr>
        <w:ind w:left="703" w:hanging="703"/>
      </w:pPr>
      <w:rPr>
        <w:rFonts w:ascii="Calibri" w:hAnsi="Calibri" w:cs="Times New Roman" w:hint="default"/>
        <w:sz w:val="20"/>
        <w:szCs w:val="20"/>
      </w:rPr>
    </w:lvl>
    <w:lvl w:ilvl="2">
      <w:start w:val="1"/>
      <w:numFmt w:val="decimal"/>
      <w:pStyle w:val="Odsttexturoven1"/>
      <w:lvlText w:val="%1.%2.%3"/>
      <w:lvlJc w:val="left"/>
      <w:pPr>
        <w:ind w:left="1406" w:hanging="703"/>
      </w:pPr>
      <w:rPr>
        <w:rFonts w:ascii="Calibri" w:hAnsi="Calibri" w:hint="default"/>
        <w:sz w:val="20"/>
        <w:szCs w:val="20"/>
      </w:rPr>
    </w:lvl>
    <w:lvl w:ilvl="3">
      <w:start w:val="1"/>
      <w:numFmt w:val="decimal"/>
      <w:lvlText w:val="%1.%2.%3.%4"/>
      <w:lvlJc w:val="left"/>
      <w:pPr>
        <w:ind w:left="2245" w:hanging="83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20"/>
  </w:num>
  <w:num w:numId="4">
    <w:abstractNumId w:val="4"/>
  </w:num>
  <w:num w:numId="5">
    <w:abstractNumId w:val="21"/>
  </w:num>
  <w:num w:numId="6">
    <w:abstractNumId w:val="12"/>
  </w:num>
  <w:num w:numId="7">
    <w:abstractNumId w:val="9"/>
  </w:num>
  <w:num w:numId="8">
    <w:abstractNumId w:val="19"/>
  </w:num>
  <w:num w:numId="9">
    <w:abstractNumId w:val="3"/>
  </w:num>
  <w:num w:numId="10">
    <w:abstractNumId w:val="10"/>
  </w:num>
  <w:num w:numId="11">
    <w:abstractNumId w:val="2"/>
  </w:num>
  <w:num w:numId="12">
    <w:abstractNumId w:val="1"/>
  </w:num>
  <w:num w:numId="13">
    <w:abstractNumId w:val="6"/>
  </w:num>
  <w:num w:numId="14">
    <w:abstractNumId w:val="15"/>
  </w:num>
  <w:num w:numId="15">
    <w:abstractNumId w:val="8"/>
  </w:num>
  <w:num w:numId="16">
    <w:abstractNumId w:val="7"/>
  </w:num>
  <w:num w:numId="17">
    <w:abstractNumId w:val="16"/>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18"/>
  </w:num>
  <w:num w:numId="24">
    <w:abstractNumId w:val="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D3"/>
    <w:rsid w:val="00024D53"/>
    <w:rsid w:val="000303C1"/>
    <w:rsid w:val="000343B9"/>
    <w:rsid w:val="00057345"/>
    <w:rsid w:val="00061AA2"/>
    <w:rsid w:val="00072410"/>
    <w:rsid w:val="0007415E"/>
    <w:rsid w:val="0008525B"/>
    <w:rsid w:val="00097556"/>
    <w:rsid w:val="000D6486"/>
    <w:rsid w:val="000E4A0C"/>
    <w:rsid w:val="000F3E28"/>
    <w:rsid w:val="00120604"/>
    <w:rsid w:val="00130509"/>
    <w:rsid w:val="00130BBF"/>
    <w:rsid w:val="00133495"/>
    <w:rsid w:val="00135228"/>
    <w:rsid w:val="00135ED3"/>
    <w:rsid w:val="00136EA6"/>
    <w:rsid w:val="00140BF0"/>
    <w:rsid w:val="0017532C"/>
    <w:rsid w:val="00180EA5"/>
    <w:rsid w:val="00191FF3"/>
    <w:rsid w:val="00196D1D"/>
    <w:rsid w:val="001A116B"/>
    <w:rsid w:val="001A7FBC"/>
    <w:rsid w:val="001B0DF5"/>
    <w:rsid w:val="001C1C17"/>
    <w:rsid w:val="001E0E35"/>
    <w:rsid w:val="001E160F"/>
    <w:rsid w:val="001F7D0D"/>
    <w:rsid w:val="002156EF"/>
    <w:rsid w:val="00223177"/>
    <w:rsid w:val="002278F1"/>
    <w:rsid w:val="00231302"/>
    <w:rsid w:val="002763E4"/>
    <w:rsid w:val="002A0F3F"/>
    <w:rsid w:val="002A10BF"/>
    <w:rsid w:val="002A3644"/>
    <w:rsid w:val="002B6D9B"/>
    <w:rsid w:val="002E0EB2"/>
    <w:rsid w:val="002E2249"/>
    <w:rsid w:val="002E602E"/>
    <w:rsid w:val="002F7536"/>
    <w:rsid w:val="00314822"/>
    <w:rsid w:val="00324FF9"/>
    <w:rsid w:val="00326CA8"/>
    <w:rsid w:val="00326CE7"/>
    <w:rsid w:val="00334167"/>
    <w:rsid w:val="00337D77"/>
    <w:rsid w:val="0038738F"/>
    <w:rsid w:val="003A3BF5"/>
    <w:rsid w:val="003B0721"/>
    <w:rsid w:val="003B5ACE"/>
    <w:rsid w:val="003B5D7F"/>
    <w:rsid w:val="003C38FA"/>
    <w:rsid w:val="003E33C8"/>
    <w:rsid w:val="003E74CF"/>
    <w:rsid w:val="00415385"/>
    <w:rsid w:val="004647C3"/>
    <w:rsid w:val="00466640"/>
    <w:rsid w:val="004716F4"/>
    <w:rsid w:val="00473C70"/>
    <w:rsid w:val="00474D53"/>
    <w:rsid w:val="00477C68"/>
    <w:rsid w:val="00484612"/>
    <w:rsid w:val="004879F3"/>
    <w:rsid w:val="004A59E0"/>
    <w:rsid w:val="004E0EC0"/>
    <w:rsid w:val="004F1CC5"/>
    <w:rsid w:val="004F796F"/>
    <w:rsid w:val="00501517"/>
    <w:rsid w:val="0051583A"/>
    <w:rsid w:val="00536898"/>
    <w:rsid w:val="00544EA4"/>
    <w:rsid w:val="0056252E"/>
    <w:rsid w:val="00564D69"/>
    <w:rsid w:val="00566D8B"/>
    <w:rsid w:val="00571532"/>
    <w:rsid w:val="00573293"/>
    <w:rsid w:val="00586A1C"/>
    <w:rsid w:val="0059093B"/>
    <w:rsid w:val="0059554D"/>
    <w:rsid w:val="005A5A4D"/>
    <w:rsid w:val="005B26A3"/>
    <w:rsid w:val="005C5344"/>
    <w:rsid w:val="005D0C6A"/>
    <w:rsid w:val="005E0CDB"/>
    <w:rsid w:val="005E59D3"/>
    <w:rsid w:val="00601617"/>
    <w:rsid w:val="00605F20"/>
    <w:rsid w:val="00606B7D"/>
    <w:rsid w:val="00621B00"/>
    <w:rsid w:val="00632AEA"/>
    <w:rsid w:val="00640F36"/>
    <w:rsid w:val="00641C60"/>
    <w:rsid w:val="00657903"/>
    <w:rsid w:val="00666DB2"/>
    <w:rsid w:val="00680094"/>
    <w:rsid w:val="00690DCF"/>
    <w:rsid w:val="006A0004"/>
    <w:rsid w:val="006C0C42"/>
    <w:rsid w:val="006C307A"/>
    <w:rsid w:val="006C7572"/>
    <w:rsid w:val="006D193A"/>
    <w:rsid w:val="006D1FFA"/>
    <w:rsid w:val="006E61AD"/>
    <w:rsid w:val="006F18B0"/>
    <w:rsid w:val="006F2AFE"/>
    <w:rsid w:val="006F597D"/>
    <w:rsid w:val="006F6716"/>
    <w:rsid w:val="006F6B29"/>
    <w:rsid w:val="007208F4"/>
    <w:rsid w:val="0073286E"/>
    <w:rsid w:val="0075673A"/>
    <w:rsid w:val="00761A69"/>
    <w:rsid w:val="00766815"/>
    <w:rsid w:val="00767C19"/>
    <w:rsid w:val="00775D13"/>
    <w:rsid w:val="0077672F"/>
    <w:rsid w:val="00776A16"/>
    <w:rsid w:val="00783F56"/>
    <w:rsid w:val="00794480"/>
    <w:rsid w:val="007A03E7"/>
    <w:rsid w:val="007B095B"/>
    <w:rsid w:val="007B6283"/>
    <w:rsid w:val="007C5E17"/>
    <w:rsid w:val="007C7294"/>
    <w:rsid w:val="007D0A01"/>
    <w:rsid w:val="007D7A3A"/>
    <w:rsid w:val="007E05EC"/>
    <w:rsid w:val="007E0B80"/>
    <w:rsid w:val="007F147F"/>
    <w:rsid w:val="00825280"/>
    <w:rsid w:val="00832E35"/>
    <w:rsid w:val="0083651C"/>
    <w:rsid w:val="0084739A"/>
    <w:rsid w:val="0086759A"/>
    <w:rsid w:val="00872E4E"/>
    <w:rsid w:val="00881557"/>
    <w:rsid w:val="00882699"/>
    <w:rsid w:val="008865B0"/>
    <w:rsid w:val="00893C10"/>
    <w:rsid w:val="00893FB4"/>
    <w:rsid w:val="00894544"/>
    <w:rsid w:val="008A7BC2"/>
    <w:rsid w:val="008C2372"/>
    <w:rsid w:val="008C5488"/>
    <w:rsid w:val="008C75EA"/>
    <w:rsid w:val="008D4996"/>
    <w:rsid w:val="008E0433"/>
    <w:rsid w:val="00917FAE"/>
    <w:rsid w:val="009239FD"/>
    <w:rsid w:val="00925C70"/>
    <w:rsid w:val="00925C8B"/>
    <w:rsid w:val="009269D3"/>
    <w:rsid w:val="00934160"/>
    <w:rsid w:val="0094224D"/>
    <w:rsid w:val="00961740"/>
    <w:rsid w:val="00980437"/>
    <w:rsid w:val="0098380F"/>
    <w:rsid w:val="00990C1A"/>
    <w:rsid w:val="009A1954"/>
    <w:rsid w:val="009A3D86"/>
    <w:rsid w:val="009A5C3A"/>
    <w:rsid w:val="009B06EA"/>
    <w:rsid w:val="009B0FDE"/>
    <w:rsid w:val="009D4ECE"/>
    <w:rsid w:val="009D5B38"/>
    <w:rsid w:val="009E1BF1"/>
    <w:rsid w:val="00A11107"/>
    <w:rsid w:val="00A232FB"/>
    <w:rsid w:val="00A2341B"/>
    <w:rsid w:val="00A2695E"/>
    <w:rsid w:val="00A46F06"/>
    <w:rsid w:val="00A53D5C"/>
    <w:rsid w:val="00A66A33"/>
    <w:rsid w:val="00A679A4"/>
    <w:rsid w:val="00A86CB0"/>
    <w:rsid w:val="00A95823"/>
    <w:rsid w:val="00A95CEA"/>
    <w:rsid w:val="00AA28CC"/>
    <w:rsid w:val="00AA65C6"/>
    <w:rsid w:val="00AC2899"/>
    <w:rsid w:val="00AC3DAC"/>
    <w:rsid w:val="00AC7E6C"/>
    <w:rsid w:val="00AD5839"/>
    <w:rsid w:val="00AD5BDD"/>
    <w:rsid w:val="00AD6413"/>
    <w:rsid w:val="00AE20B9"/>
    <w:rsid w:val="00B0353D"/>
    <w:rsid w:val="00B26D68"/>
    <w:rsid w:val="00B35559"/>
    <w:rsid w:val="00B50B85"/>
    <w:rsid w:val="00B52893"/>
    <w:rsid w:val="00BD2ED2"/>
    <w:rsid w:val="00BF0049"/>
    <w:rsid w:val="00BF28C1"/>
    <w:rsid w:val="00C008D5"/>
    <w:rsid w:val="00C012C2"/>
    <w:rsid w:val="00C0436E"/>
    <w:rsid w:val="00C072D4"/>
    <w:rsid w:val="00C27858"/>
    <w:rsid w:val="00C30FAA"/>
    <w:rsid w:val="00C50310"/>
    <w:rsid w:val="00C602DB"/>
    <w:rsid w:val="00C609AF"/>
    <w:rsid w:val="00C6368A"/>
    <w:rsid w:val="00C70770"/>
    <w:rsid w:val="00C94DA5"/>
    <w:rsid w:val="00C95F5B"/>
    <w:rsid w:val="00CA51B8"/>
    <w:rsid w:val="00CA791A"/>
    <w:rsid w:val="00CB368F"/>
    <w:rsid w:val="00CB54BC"/>
    <w:rsid w:val="00CC0A52"/>
    <w:rsid w:val="00CC5340"/>
    <w:rsid w:val="00CE2E63"/>
    <w:rsid w:val="00CE4ED6"/>
    <w:rsid w:val="00CE64DA"/>
    <w:rsid w:val="00D00434"/>
    <w:rsid w:val="00D008AD"/>
    <w:rsid w:val="00D2027C"/>
    <w:rsid w:val="00D22B2C"/>
    <w:rsid w:val="00D344A7"/>
    <w:rsid w:val="00D47D5E"/>
    <w:rsid w:val="00D544D2"/>
    <w:rsid w:val="00D706EB"/>
    <w:rsid w:val="00D74E3C"/>
    <w:rsid w:val="00D908F4"/>
    <w:rsid w:val="00D9619F"/>
    <w:rsid w:val="00DB349F"/>
    <w:rsid w:val="00DC068A"/>
    <w:rsid w:val="00DD3B28"/>
    <w:rsid w:val="00DE3AB4"/>
    <w:rsid w:val="00DE6754"/>
    <w:rsid w:val="00E04E06"/>
    <w:rsid w:val="00E14E7C"/>
    <w:rsid w:val="00E30158"/>
    <w:rsid w:val="00E719DA"/>
    <w:rsid w:val="00E808EA"/>
    <w:rsid w:val="00E80FDD"/>
    <w:rsid w:val="00E86FB4"/>
    <w:rsid w:val="00E97EBB"/>
    <w:rsid w:val="00EA42CE"/>
    <w:rsid w:val="00EA6AC6"/>
    <w:rsid w:val="00EB00FE"/>
    <w:rsid w:val="00EB6E11"/>
    <w:rsid w:val="00EC3024"/>
    <w:rsid w:val="00ED7417"/>
    <w:rsid w:val="00EF1354"/>
    <w:rsid w:val="00F0189C"/>
    <w:rsid w:val="00F06E02"/>
    <w:rsid w:val="00F120C7"/>
    <w:rsid w:val="00F15F19"/>
    <w:rsid w:val="00F243AF"/>
    <w:rsid w:val="00F26DEA"/>
    <w:rsid w:val="00F32008"/>
    <w:rsid w:val="00F36465"/>
    <w:rsid w:val="00F37A33"/>
    <w:rsid w:val="00F52782"/>
    <w:rsid w:val="00F60EF6"/>
    <w:rsid w:val="00F67C6B"/>
    <w:rsid w:val="00F67DFE"/>
    <w:rsid w:val="00F739D0"/>
    <w:rsid w:val="00F92D44"/>
    <w:rsid w:val="00F949CF"/>
    <w:rsid w:val="00FB4723"/>
    <w:rsid w:val="00FB7493"/>
    <w:rsid w:val="00FC0DC7"/>
    <w:rsid w:val="00FC43A7"/>
    <w:rsid w:val="00FD30D8"/>
    <w:rsid w:val="00FD7D5E"/>
    <w:rsid w:val="00FE0F63"/>
    <w:rsid w:val="00FE1E52"/>
    <w:rsid w:val="00FE3CB6"/>
    <w:rsid w:val="00FE6BCB"/>
    <w:rsid w:val="00FE75C1"/>
    <w:rsid w:val="00FF0362"/>
    <w:rsid w:val="00FF06DE"/>
    <w:rsid w:val="00FF4261"/>
    <w:rsid w:val="00FF7558"/>
    <w:rsid w:val="048A9C85"/>
    <w:rsid w:val="0BF5C058"/>
    <w:rsid w:val="0D3D4EF7"/>
    <w:rsid w:val="168215E2"/>
    <w:rsid w:val="17583795"/>
    <w:rsid w:val="2934CF6E"/>
    <w:rsid w:val="2A6266F3"/>
    <w:rsid w:val="2DACC097"/>
    <w:rsid w:val="32696BB6"/>
    <w:rsid w:val="4C93700B"/>
    <w:rsid w:val="52926482"/>
    <w:rsid w:val="5D355AED"/>
    <w:rsid w:val="6F991B79"/>
    <w:rsid w:val="72C0BA7F"/>
    <w:rsid w:val="738CB6EA"/>
    <w:rsid w:val="7591F978"/>
    <w:rsid w:val="79350E1D"/>
    <w:rsid w:val="7F6FD52F"/>
    <w:rsid w:val="7FEE364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7A14"/>
  <w15:docId w15:val="{7E09A0CC-618D-A543-B1AF-1676822B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C5E17"/>
    <w:pPr>
      <w:spacing w:before="120" w:after="120" w:line="312" w:lineRule="auto"/>
    </w:pPr>
    <w:rPr>
      <w:rFonts w:ascii="Arial" w:hAnsi="Arial"/>
      <w:spacing w:val="6"/>
      <w:sz w:val="18"/>
    </w:rPr>
  </w:style>
  <w:style w:type="paragraph" w:styleId="Nadpis1">
    <w:name w:val="heading 1"/>
    <w:basedOn w:val="Normln"/>
    <w:next w:val="Normln"/>
    <w:link w:val="Nadpis1Char"/>
    <w:uiPriority w:val="9"/>
    <w:qFormat/>
    <w:rsid w:val="00F60EF6"/>
    <w:pPr>
      <w:numPr>
        <w:numId w:val="32"/>
      </w:numPr>
      <w:spacing w:before="360" w:after="180" w:line="240" w:lineRule="auto"/>
      <w:outlineLvl w:val="0"/>
    </w:pPr>
    <w:rPr>
      <w:b/>
      <w:noProof/>
      <w:color w:val="0088FF"/>
      <w:spacing w:val="-6"/>
      <w:sz w:val="30"/>
      <w:szCs w:val="30"/>
      <w:lang w:eastAsia="cs-CZ"/>
    </w:rPr>
  </w:style>
  <w:style w:type="paragraph" w:styleId="Nadpis2">
    <w:name w:val="heading 2"/>
    <w:basedOn w:val="Odstavecseseznamem"/>
    <w:next w:val="Normln"/>
    <w:link w:val="Nadpis2Char"/>
    <w:uiPriority w:val="99"/>
    <w:unhideWhenUsed/>
    <w:qFormat/>
    <w:rsid w:val="00F60EF6"/>
    <w:pPr>
      <w:numPr>
        <w:ilvl w:val="1"/>
        <w:numId w:val="32"/>
      </w:numPr>
      <w:outlineLvl w:val="1"/>
    </w:pPr>
  </w:style>
  <w:style w:type="paragraph" w:styleId="Nadpis3">
    <w:name w:val="heading 3"/>
    <w:basedOn w:val="Odstavecseseznamem"/>
    <w:next w:val="Normln"/>
    <w:link w:val="Nadpis3Char"/>
    <w:uiPriority w:val="9"/>
    <w:unhideWhenUsed/>
    <w:qFormat/>
    <w:rsid w:val="00F60EF6"/>
    <w:pPr>
      <w:numPr>
        <w:ilvl w:val="2"/>
        <w:numId w:val="32"/>
      </w:numPr>
      <w:outlineLvl w:val="2"/>
    </w:pPr>
  </w:style>
  <w:style w:type="paragraph" w:styleId="Nadpis4">
    <w:name w:val="heading 4"/>
    <w:basedOn w:val="Nadpis3"/>
    <w:next w:val="Normln"/>
    <w:link w:val="Nadpis4Char"/>
    <w:uiPriority w:val="9"/>
    <w:unhideWhenUsed/>
    <w:qFormat/>
    <w:rsid w:val="00F60EF6"/>
    <w:pPr>
      <w:numPr>
        <w:ilvl w:val="3"/>
      </w:numPr>
      <w:outlineLvl w:val="3"/>
    </w:pPr>
    <w:rPr>
      <w:lang w:eastAsia="cs-CZ"/>
    </w:rPr>
  </w:style>
  <w:style w:type="paragraph" w:styleId="Nadpis5">
    <w:name w:val="heading 5"/>
    <w:basedOn w:val="Normln"/>
    <w:next w:val="Normln"/>
    <w:link w:val="Nadpis5Char"/>
    <w:uiPriority w:val="9"/>
    <w:unhideWhenUsed/>
    <w:qFormat/>
    <w:rsid w:val="007E0B80"/>
    <w:pPr>
      <w:keepNext/>
      <w:keepLines/>
      <w:numPr>
        <w:ilvl w:val="4"/>
        <w:numId w:val="3"/>
      </w:numPr>
      <w:spacing w:before="40" w:after="0"/>
      <w:ind w:left="1260" w:hanging="296"/>
      <w:outlineLvl w:val="4"/>
    </w:pPr>
    <w:rPr>
      <w:lang w:eastAsia="cs-CZ"/>
    </w:rPr>
  </w:style>
  <w:style w:type="paragraph" w:styleId="Nadpis6">
    <w:name w:val="heading 6"/>
    <w:basedOn w:val="Normln"/>
    <w:next w:val="Normln"/>
    <w:link w:val="Nadpis6Char"/>
    <w:uiPriority w:val="9"/>
    <w:semiHidden/>
    <w:unhideWhenUsed/>
    <w:qFormat/>
    <w:rsid w:val="00072410"/>
    <w:pPr>
      <w:keepNext/>
      <w:keepLines/>
      <w:spacing w:before="40" w:after="0" w:line="260" w:lineRule="exact"/>
      <w:ind w:left="1152" w:hanging="1152"/>
      <w:outlineLvl w:val="5"/>
    </w:pPr>
    <w:rPr>
      <w:rFonts w:eastAsiaTheme="majorEastAsia" w:cstheme="majorBidi"/>
      <w:spacing w:val="0"/>
      <w:sz w:val="20"/>
    </w:rPr>
  </w:style>
  <w:style w:type="paragraph" w:styleId="Nadpis7">
    <w:name w:val="heading 7"/>
    <w:basedOn w:val="Normln"/>
    <w:next w:val="Normln"/>
    <w:link w:val="Nadpis7Char"/>
    <w:uiPriority w:val="9"/>
    <w:semiHidden/>
    <w:unhideWhenUsed/>
    <w:qFormat/>
    <w:rsid w:val="00072410"/>
    <w:pPr>
      <w:keepNext/>
      <w:keepLines/>
      <w:spacing w:before="40" w:after="0" w:line="260" w:lineRule="exact"/>
      <w:ind w:left="1296" w:hanging="1296"/>
      <w:outlineLvl w:val="6"/>
    </w:pPr>
    <w:rPr>
      <w:rFonts w:asciiTheme="majorHAnsi" w:eastAsiaTheme="majorEastAsia" w:hAnsiTheme="majorHAnsi" w:cstheme="majorBidi"/>
      <w:i/>
      <w:iCs/>
      <w:color w:val="1F4D78" w:themeColor="accent1" w:themeShade="7F"/>
      <w:spacing w:val="0"/>
      <w:sz w:val="20"/>
    </w:rPr>
  </w:style>
  <w:style w:type="paragraph" w:styleId="Nadpis8">
    <w:name w:val="heading 8"/>
    <w:basedOn w:val="Normln"/>
    <w:next w:val="Normln"/>
    <w:link w:val="Nadpis8Char"/>
    <w:uiPriority w:val="9"/>
    <w:semiHidden/>
    <w:unhideWhenUsed/>
    <w:qFormat/>
    <w:rsid w:val="00072410"/>
    <w:pPr>
      <w:keepNext/>
      <w:keepLines/>
      <w:spacing w:before="40" w:after="0" w:line="260" w:lineRule="exact"/>
      <w:ind w:left="1440" w:hanging="1440"/>
      <w:outlineLvl w:val="7"/>
    </w:pPr>
    <w:rPr>
      <w:rFonts w:asciiTheme="majorHAnsi" w:eastAsiaTheme="majorEastAsia" w:hAnsiTheme="majorHAnsi" w:cstheme="majorBidi"/>
      <w:color w:val="272727" w:themeColor="text1" w:themeTint="D8"/>
      <w:spacing w:val="0"/>
      <w:sz w:val="21"/>
      <w:szCs w:val="21"/>
    </w:rPr>
  </w:style>
  <w:style w:type="paragraph" w:styleId="Nadpis9">
    <w:name w:val="heading 9"/>
    <w:basedOn w:val="Normln"/>
    <w:next w:val="Normln"/>
    <w:link w:val="Nadpis9Char"/>
    <w:uiPriority w:val="9"/>
    <w:semiHidden/>
    <w:unhideWhenUsed/>
    <w:qFormat/>
    <w:rsid w:val="00072410"/>
    <w:pPr>
      <w:keepNext/>
      <w:keepLines/>
      <w:spacing w:before="40" w:after="0" w:line="260" w:lineRule="exact"/>
      <w:ind w:left="1584" w:hanging="1584"/>
      <w:outlineLvl w:val="8"/>
    </w:pPr>
    <w:rPr>
      <w:rFonts w:asciiTheme="majorHAnsi" w:eastAsiaTheme="majorEastAsia" w:hAnsiTheme="majorHAnsi" w:cstheme="majorBidi"/>
      <w:i/>
      <w:iCs/>
      <w:color w:val="272727" w:themeColor="text1" w:themeTint="D8"/>
      <w:spacing w:val="0"/>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itul základní"/>
    <w:basedOn w:val="Normln"/>
    <w:next w:val="Normln"/>
    <w:link w:val="NzevChar"/>
    <w:uiPriority w:val="10"/>
    <w:qFormat/>
    <w:rsid w:val="007C5E17"/>
    <w:pPr>
      <w:spacing w:line="192" w:lineRule="auto"/>
      <w:outlineLvl w:val="0"/>
    </w:pPr>
    <w:rPr>
      <w:b/>
      <w:noProof/>
      <w:color w:val="0022EE"/>
      <w:spacing w:val="-10"/>
      <w:sz w:val="36"/>
      <w:szCs w:val="44"/>
      <w:lang w:eastAsia="cs-CZ"/>
    </w:rPr>
  </w:style>
  <w:style w:type="character" w:customStyle="1" w:styleId="NzevChar">
    <w:name w:val="Název Char"/>
    <w:aliases w:val="Titul základní Char"/>
    <w:basedOn w:val="Standardnpsmoodstavce"/>
    <w:link w:val="Nzev"/>
    <w:uiPriority w:val="10"/>
    <w:rsid w:val="007C5E17"/>
    <w:rPr>
      <w:rFonts w:ascii="Arial" w:hAnsi="Arial"/>
      <w:b/>
      <w:noProof/>
      <w:color w:val="0022EE"/>
      <w:spacing w:val="-10"/>
      <w:sz w:val="36"/>
      <w:szCs w:val="44"/>
      <w:lang w:eastAsia="cs-CZ"/>
    </w:rPr>
  </w:style>
  <w:style w:type="character" w:customStyle="1" w:styleId="Nadpis1Char">
    <w:name w:val="Nadpis 1 Char"/>
    <w:basedOn w:val="Standardnpsmoodstavce"/>
    <w:link w:val="Nadpis1"/>
    <w:uiPriority w:val="9"/>
    <w:rsid w:val="00F60EF6"/>
    <w:rPr>
      <w:rFonts w:ascii="Arial" w:hAnsi="Arial"/>
      <w:b/>
      <w:noProof/>
      <w:color w:val="0088FF"/>
      <w:spacing w:val="-6"/>
      <w:sz w:val="30"/>
      <w:szCs w:val="30"/>
      <w:lang w:eastAsia="cs-CZ"/>
    </w:rPr>
  </w:style>
  <w:style w:type="character" w:customStyle="1" w:styleId="Nadpis2Char">
    <w:name w:val="Nadpis 2 Char"/>
    <w:basedOn w:val="Standardnpsmoodstavce"/>
    <w:link w:val="Nadpis2"/>
    <w:uiPriority w:val="99"/>
    <w:rsid w:val="00F60EF6"/>
    <w:rPr>
      <w:rFonts w:ascii="Arial" w:hAnsi="Arial"/>
      <w:spacing w:val="6"/>
      <w:sz w:val="18"/>
    </w:rPr>
  </w:style>
  <w:style w:type="paragraph" w:styleId="Textbubliny">
    <w:name w:val="Balloon Text"/>
    <w:basedOn w:val="Normln"/>
    <w:link w:val="TextbublinyChar"/>
    <w:uiPriority w:val="99"/>
    <w:semiHidden/>
    <w:unhideWhenUsed/>
    <w:rsid w:val="00601617"/>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601617"/>
    <w:rPr>
      <w:rFonts w:ascii="Segoe UI" w:hAnsi="Segoe UI" w:cs="Segoe UI"/>
      <w:spacing w:val="-4"/>
      <w:sz w:val="18"/>
      <w:szCs w:val="18"/>
    </w:rPr>
  </w:style>
  <w:style w:type="paragraph" w:styleId="Zhlav">
    <w:name w:val="header"/>
    <w:basedOn w:val="Normln"/>
    <w:link w:val="ZhlavChar"/>
    <w:uiPriority w:val="99"/>
    <w:unhideWhenUsed/>
    <w:rsid w:val="00776A1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76A16"/>
    <w:rPr>
      <w:rFonts w:ascii="Arial" w:hAnsi="Arial"/>
      <w:spacing w:val="-4"/>
      <w:sz w:val="20"/>
    </w:rPr>
  </w:style>
  <w:style w:type="paragraph" w:styleId="Zpat">
    <w:name w:val="footer"/>
    <w:basedOn w:val="Normln"/>
    <w:link w:val="ZpatChar"/>
    <w:uiPriority w:val="99"/>
    <w:unhideWhenUsed/>
    <w:rsid w:val="00776A1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76A16"/>
    <w:rPr>
      <w:rFonts w:ascii="Arial" w:hAnsi="Arial"/>
      <w:spacing w:val="-4"/>
      <w:sz w:val="20"/>
    </w:rPr>
  </w:style>
  <w:style w:type="paragraph" w:styleId="Odstavecseseznamem">
    <w:name w:val="List Paragraph"/>
    <w:aliases w:val="Číslovaný seznam (TRASK)"/>
    <w:basedOn w:val="Normln"/>
    <w:link w:val="OdstavecseseznamemChar"/>
    <w:uiPriority w:val="34"/>
    <w:qFormat/>
    <w:rsid w:val="002763E4"/>
    <w:pPr>
      <w:ind w:left="851"/>
    </w:pPr>
  </w:style>
  <w:style w:type="paragraph" w:customStyle="1" w:styleId="Tituldominantn">
    <w:name w:val="Titul dominantní"/>
    <w:next w:val="Normln"/>
    <w:link w:val="TituldominantnChar"/>
    <w:qFormat/>
    <w:rsid w:val="00B50B85"/>
    <w:pPr>
      <w:spacing w:before="120" w:after="240" w:line="192" w:lineRule="auto"/>
    </w:pPr>
    <w:rPr>
      <w:rFonts w:ascii="Arial" w:hAnsi="Arial"/>
      <w:b/>
      <w:noProof/>
      <w:color w:val="0022EE"/>
      <w:spacing w:val="-34"/>
      <w:sz w:val="104"/>
      <w:szCs w:val="104"/>
      <w:lang w:eastAsia="cs-CZ"/>
    </w:rPr>
  </w:style>
  <w:style w:type="paragraph" w:styleId="Podnadpis">
    <w:name w:val="Subtitle"/>
    <w:basedOn w:val="Normln"/>
    <w:next w:val="Normln"/>
    <w:link w:val="PodnadpisChar"/>
    <w:uiPriority w:val="11"/>
    <w:qFormat/>
    <w:rsid w:val="002F7536"/>
    <w:pPr>
      <w:spacing w:after="180" w:line="264" w:lineRule="auto"/>
    </w:pPr>
    <w:rPr>
      <w:spacing w:val="0"/>
      <w:sz w:val="28"/>
      <w:szCs w:val="28"/>
      <w:lang w:eastAsia="cs-CZ"/>
    </w:rPr>
  </w:style>
  <w:style w:type="character" w:customStyle="1" w:styleId="TituldominantnChar">
    <w:name w:val="Titul dominantní Char"/>
    <w:basedOn w:val="NzevChar"/>
    <w:link w:val="Tituldominantn"/>
    <w:rsid w:val="00B50B85"/>
    <w:rPr>
      <w:rFonts w:ascii="Arial" w:hAnsi="Arial"/>
      <w:b/>
      <w:noProof/>
      <w:color w:val="0022EE"/>
      <w:spacing w:val="-34"/>
      <w:sz w:val="104"/>
      <w:szCs w:val="104"/>
      <w:lang w:eastAsia="cs-CZ"/>
    </w:rPr>
  </w:style>
  <w:style w:type="character" w:customStyle="1" w:styleId="PodnadpisChar">
    <w:name w:val="Podnadpis Char"/>
    <w:basedOn w:val="Standardnpsmoodstavce"/>
    <w:link w:val="Podnadpis"/>
    <w:uiPriority w:val="11"/>
    <w:rsid w:val="002F7536"/>
    <w:rPr>
      <w:rFonts w:ascii="Arial" w:hAnsi="Arial"/>
      <w:sz w:val="28"/>
      <w:szCs w:val="28"/>
      <w:lang w:eastAsia="cs-CZ"/>
    </w:rPr>
  </w:style>
  <w:style w:type="character" w:customStyle="1" w:styleId="Nadpis3Char">
    <w:name w:val="Nadpis 3 Char"/>
    <w:basedOn w:val="Standardnpsmoodstavce"/>
    <w:link w:val="Nadpis3"/>
    <w:uiPriority w:val="9"/>
    <w:rsid w:val="00F60EF6"/>
    <w:rPr>
      <w:rFonts w:ascii="Arial" w:hAnsi="Arial"/>
      <w:spacing w:val="6"/>
      <w:sz w:val="18"/>
    </w:rPr>
  </w:style>
  <w:style w:type="character" w:customStyle="1" w:styleId="Nadpis4Char">
    <w:name w:val="Nadpis 4 Char"/>
    <w:basedOn w:val="Standardnpsmoodstavce"/>
    <w:link w:val="Nadpis4"/>
    <w:uiPriority w:val="9"/>
    <w:rsid w:val="00F60EF6"/>
    <w:rPr>
      <w:rFonts w:ascii="Arial" w:hAnsi="Arial"/>
      <w:spacing w:val="6"/>
      <w:sz w:val="18"/>
      <w:lang w:eastAsia="cs-CZ"/>
    </w:rPr>
  </w:style>
  <w:style w:type="character" w:styleId="Odkaznakoment">
    <w:name w:val="annotation reference"/>
    <w:basedOn w:val="Standardnpsmoodstavce"/>
    <w:uiPriority w:val="99"/>
    <w:semiHidden/>
    <w:unhideWhenUsed/>
    <w:rsid w:val="00566D8B"/>
    <w:rPr>
      <w:sz w:val="16"/>
      <w:szCs w:val="16"/>
    </w:rPr>
  </w:style>
  <w:style w:type="paragraph" w:styleId="Textkomente">
    <w:name w:val="annotation text"/>
    <w:basedOn w:val="Normln"/>
    <w:link w:val="TextkomenteChar"/>
    <w:uiPriority w:val="99"/>
    <w:unhideWhenUsed/>
    <w:rsid w:val="00566D8B"/>
    <w:pPr>
      <w:spacing w:line="240" w:lineRule="auto"/>
    </w:pPr>
    <w:rPr>
      <w:sz w:val="20"/>
      <w:szCs w:val="20"/>
    </w:rPr>
  </w:style>
  <w:style w:type="character" w:customStyle="1" w:styleId="TextkomenteChar">
    <w:name w:val="Text komentáře Char"/>
    <w:basedOn w:val="Standardnpsmoodstavce"/>
    <w:link w:val="Textkomente"/>
    <w:uiPriority w:val="99"/>
    <w:rsid w:val="00566D8B"/>
    <w:rPr>
      <w:rFonts w:ascii="Arial" w:hAnsi="Arial"/>
      <w:spacing w:val="6"/>
      <w:sz w:val="20"/>
      <w:szCs w:val="20"/>
    </w:rPr>
  </w:style>
  <w:style w:type="paragraph" w:styleId="Pedmtkomente">
    <w:name w:val="annotation subject"/>
    <w:basedOn w:val="Textkomente"/>
    <w:next w:val="Textkomente"/>
    <w:link w:val="PedmtkomenteChar"/>
    <w:uiPriority w:val="99"/>
    <w:semiHidden/>
    <w:unhideWhenUsed/>
    <w:rsid w:val="00566D8B"/>
    <w:rPr>
      <w:b/>
      <w:bCs/>
    </w:rPr>
  </w:style>
  <w:style w:type="character" w:customStyle="1" w:styleId="PedmtkomenteChar">
    <w:name w:val="Předmět komentáře Char"/>
    <w:basedOn w:val="TextkomenteChar"/>
    <w:link w:val="Pedmtkomente"/>
    <w:uiPriority w:val="99"/>
    <w:semiHidden/>
    <w:rsid w:val="00566D8B"/>
    <w:rPr>
      <w:rFonts w:ascii="Arial" w:hAnsi="Arial"/>
      <w:b/>
      <w:bCs/>
      <w:spacing w:val="6"/>
      <w:sz w:val="20"/>
      <w:szCs w:val="20"/>
    </w:rPr>
  </w:style>
  <w:style w:type="paragraph" w:styleId="Revize">
    <w:name w:val="Revision"/>
    <w:hidden/>
    <w:uiPriority w:val="99"/>
    <w:semiHidden/>
    <w:rsid w:val="00925C8B"/>
    <w:pPr>
      <w:spacing w:after="0" w:line="240" w:lineRule="auto"/>
    </w:pPr>
    <w:rPr>
      <w:rFonts w:ascii="Arial" w:hAnsi="Arial"/>
      <w:spacing w:val="6"/>
      <w:sz w:val="18"/>
    </w:rPr>
  </w:style>
  <w:style w:type="paragraph" w:customStyle="1" w:styleId="Nadpislnku">
    <w:name w:val="Nadpis článku"/>
    <w:basedOn w:val="Normln"/>
    <w:qFormat/>
    <w:rsid w:val="00AA65C6"/>
    <w:pPr>
      <w:keepNext/>
      <w:numPr>
        <w:numId w:val="2"/>
      </w:numPr>
      <w:spacing w:before="240" w:after="0" w:line="240" w:lineRule="auto"/>
    </w:pPr>
    <w:rPr>
      <w:rFonts w:ascii="Comenia Serif Pro" w:eastAsia="Times New Roman" w:hAnsi="Comenia Serif Pro" w:cs="Times New Roman"/>
      <w:b/>
      <w:spacing w:val="0"/>
      <w:kern w:val="16"/>
      <w:sz w:val="20"/>
      <w:szCs w:val="24"/>
      <w:lang w:eastAsia="cs-CZ"/>
    </w:rPr>
  </w:style>
  <w:style w:type="paragraph" w:customStyle="1" w:styleId="Odsttext">
    <w:name w:val="Odst. text"/>
    <w:basedOn w:val="Normln"/>
    <w:link w:val="OdsttextChar"/>
    <w:qFormat/>
    <w:rsid w:val="00AA65C6"/>
    <w:pPr>
      <w:numPr>
        <w:ilvl w:val="1"/>
        <w:numId w:val="2"/>
      </w:numPr>
      <w:spacing w:after="0" w:line="240" w:lineRule="auto"/>
    </w:pPr>
    <w:rPr>
      <w:rFonts w:ascii="Comenia Serif Pro" w:eastAsia="Times New Roman" w:hAnsi="Comenia Serif Pro" w:cs="Times New Roman"/>
      <w:spacing w:val="0"/>
      <w:kern w:val="16"/>
      <w:sz w:val="20"/>
      <w:szCs w:val="24"/>
    </w:rPr>
  </w:style>
  <w:style w:type="character" w:customStyle="1" w:styleId="OdsttextChar">
    <w:name w:val="Odst. text Char"/>
    <w:link w:val="Odsttext"/>
    <w:rsid w:val="00AA65C6"/>
    <w:rPr>
      <w:rFonts w:ascii="Comenia Serif Pro" w:eastAsia="Times New Roman" w:hAnsi="Comenia Serif Pro" w:cs="Times New Roman"/>
      <w:kern w:val="16"/>
      <w:sz w:val="20"/>
      <w:szCs w:val="24"/>
    </w:rPr>
  </w:style>
  <w:style w:type="paragraph" w:customStyle="1" w:styleId="Odsttexturoven1">
    <w:name w:val="Odst. text uroven 1"/>
    <w:basedOn w:val="Normln"/>
    <w:qFormat/>
    <w:rsid w:val="00AA65C6"/>
    <w:pPr>
      <w:numPr>
        <w:ilvl w:val="2"/>
        <w:numId w:val="2"/>
      </w:numPr>
      <w:spacing w:before="80" w:after="0" w:line="240" w:lineRule="auto"/>
    </w:pPr>
    <w:rPr>
      <w:rFonts w:ascii="Comenia Serif Pro" w:eastAsia="Times New Roman" w:hAnsi="Comenia Serif Pro" w:cs="Times New Roman"/>
      <w:spacing w:val="0"/>
      <w:kern w:val="16"/>
      <w:sz w:val="20"/>
      <w:szCs w:val="24"/>
    </w:rPr>
  </w:style>
  <w:style w:type="character" w:customStyle="1" w:styleId="Nadpis5Char">
    <w:name w:val="Nadpis 5 Char"/>
    <w:basedOn w:val="Standardnpsmoodstavce"/>
    <w:link w:val="Nadpis5"/>
    <w:uiPriority w:val="9"/>
    <w:rsid w:val="007E0B80"/>
    <w:rPr>
      <w:rFonts w:ascii="Arial" w:hAnsi="Arial"/>
      <w:spacing w:val="6"/>
      <w:sz w:val="18"/>
      <w:lang w:eastAsia="cs-CZ"/>
    </w:rPr>
  </w:style>
  <w:style w:type="character" w:customStyle="1" w:styleId="nowrap">
    <w:name w:val="nowrap"/>
    <w:basedOn w:val="Standardnpsmoodstavce"/>
    <w:rsid w:val="001B0DF5"/>
  </w:style>
  <w:style w:type="character" w:styleId="Siln">
    <w:name w:val="Strong"/>
    <w:basedOn w:val="Standardnpsmoodstavce"/>
    <w:uiPriority w:val="22"/>
    <w:qFormat/>
    <w:rsid w:val="00196D1D"/>
    <w:rPr>
      <w:rFonts w:ascii="Arial" w:hAnsi="Arial"/>
      <w:b/>
      <w:bCs/>
    </w:rPr>
  </w:style>
  <w:style w:type="table" w:customStyle="1" w:styleId="TRASK1">
    <w:name w:val="TRASK1"/>
    <w:basedOn w:val="Normlntabulka"/>
    <w:uiPriority w:val="99"/>
    <w:rsid w:val="006F6B29"/>
    <w:pPr>
      <w:spacing w:after="0" w:line="240" w:lineRule="atLeast"/>
    </w:pPr>
    <w:rPr>
      <w:rFonts w:ascii="Roboto" w:hAnsi="Roboto" w:cs="Arial"/>
      <w:sz w:val="20"/>
    </w:rPr>
    <w:tblPr>
      <w:tblStyleRowBandSize w:val="1"/>
      <w:tblStyleColBandSize w:val="1"/>
      <w:tblBorders>
        <w:bottom w:val="single" w:sz="4" w:space="0" w:color="E7E6E6" w:themeColor="background2"/>
        <w:insideH w:val="single" w:sz="4" w:space="0" w:color="E7E6E6" w:themeColor="background2"/>
      </w:tblBorders>
      <w:tblCellMar>
        <w:top w:w="227" w:type="dxa"/>
        <w:bottom w:w="113" w:type="dxa"/>
      </w:tblCellMar>
    </w:tblPr>
    <w:tcPr>
      <w:vAlign w:val="center"/>
    </w:tcPr>
    <w:tblStylePr w:type="firstRow">
      <w:rPr>
        <w:rFonts w:ascii="Roboto" w:hAnsi="Roboto"/>
        <w:b/>
        <w:bCs/>
        <w:sz w:val="20"/>
      </w:rPr>
      <w:tblPr/>
      <w:tcPr>
        <w:tcBorders>
          <w:bottom w:val="nil"/>
        </w:tcBorders>
      </w:tcPr>
    </w:tblStylePr>
    <w:tblStylePr w:type="lastRow">
      <w:rPr>
        <w:rFonts w:ascii="Roboto" w:hAnsi="Roboto"/>
        <w:b w:val="0"/>
        <w:bCs/>
        <w:sz w:val="20"/>
      </w:rPr>
      <w:tblPr/>
      <w:tcPr>
        <w:tcBorders>
          <w:top w:val="nil"/>
          <w:left w:val="nil"/>
          <w:bottom w:val="single" w:sz="36" w:space="0" w:color="E7E6E6" w:themeColor="background2"/>
          <w:right w:val="nil"/>
          <w:insideH w:val="nil"/>
          <w:insideV w:val="nil"/>
        </w:tcBorders>
      </w:tcPr>
    </w:tblStylePr>
    <w:tblStylePr w:type="firstCol">
      <w:rPr>
        <w:rFonts w:ascii="Roboto" w:hAnsi="Roboto"/>
        <w:b w:val="0"/>
        <w:bCs/>
      </w:rPr>
    </w:tblStylePr>
    <w:tblStylePr w:type="lastCol">
      <w:rPr>
        <w:rFonts w:ascii="Roboto" w:hAnsi="Roboto"/>
        <w:b/>
        <w:bCs/>
      </w:rPr>
    </w:tblStylePr>
  </w:style>
  <w:style w:type="table" w:customStyle="1" w:styleId="TRASK2">
    <w:name w:val="TRASK2"/>
    <w:basedOn w:val="Normlntabulka"/>
    <w:uiPriority w:val="99"/>
    <w:rsid w:val="00FE6BCB"/>
    <w:pPr>
      <w:spacing w:after="240" w:line="240" w:lineRule="auto"/>
    </w:pPr>
    <w:rPr>
      <w:rFonts w:ascii="Roboto" w:hAnsi="Roboto" w:cs="Arial"/>
      <w:sz w:val="20"/>
    </w:rPr>
    <w:tblPr>
      <w:tblStyleRowBandSize w:val="1"/>
      <w:tblStyleColBandSize w:val="1"/>
      <w:tblBorders>
        <w:bottom w:val="single" w:sz="8" w:space="0" w:color="E7E6E6" w:themeColor="background2"/>
        <w:insideH w:val="single" w:sz="4" w:space="0" w:color="E7E6E6" w:themeColor="background2"/>
      </w:tblBorders>
      <w:tblCellMar>
        <w:top w:w="227" w:type="dxa"/>
        <w:bottom w:w="113" w:type="dxa"/>
      </w:tblCellMar>
    </w:tblPr>
    <w:tblStylePr w:type="firstRow">
      <w:rPr>
        <w:rFonts w:ascii="Roboto" w:hAnsi="Roboto"/>
        <w:b/>
        <w:bCs/>
      </w:rPr>
      <w:tblPr/>
      <w:tcPr>
        <w:tcBorders>
          <w:bottom w:val="nil"/>
        </w:tcBorders>
      </w:tcPr>
    </w:tblStylePr>
    <w:tblStylePr w:type="lastRow">
      <w:rPr>
        <w:rFonts w:ascii="Roboto" w:hAnsi="Roboto"/>
        <w:b/>
        <w:bCs/>
      </w:rPr>
      <w:tblPr/>
      <w:tcPr>
        <w:tcBorders>
          <w:top w:val="single" w:sz="36" w:space="0" w:color="E7E6E6" w:themeColor="background2"/>
          <w:left w:val="nil"/>
          <w:bottom w:val="single" w:sz="36" w:space="0" w:color="E7E6E6" w:themeColor="background2"/>
          <w:right w:val="nil"/>
          <w:insideH w:val="nil"/>
          <w:insideV w:val="nil"/>
        </w:tcBorders>
      </w:tcPr>
    </w:tblStylePr>
    <w:tblStylePr w:type="firstCol">
      <w:rPr>
        <w:rFonts w:ascii="Roboto" w:hAnsi="Roboto"/>
        <w:b w:val="0"/>
        <w:bCs/>
        <w:sz w:val="20"/>
      </w:rPr>
    </w:tblStylePr>
    <w:tblStylePr w:type="lastCol">
      <w:rPr>
        <w:rFonts w:ascii="Roboto" w:hAnsi="Roboto"/>
        <w:b/>
        <w:bCs/>
      </w:rPr>
    </w:tblStylePr>
  </w:style>
  <w:style w:type="character" w:customStyle="1" w:styleId="Nadpis6Char">
    <w:name w:val="Nadpis 6 Char"/>
    <w:basedOn w:val="Standardnpsmoodstavce"/>
    <w:link w:val="Nadpis6"/>
    <w:uiPriority w:val="9"/>
    <w:semiHidden/>
    <w:rsid w:val="00072410"/>
    <w:rPr>
      <w:rFonts w:ascii="Arial" w:eastAsiaTheme="majorEastAsia" w:hAnsi="Arial" w:cstheme="majorBidi"/>
      <w:sz w:val="20"/>
    </w:rPr>
  </w:style>
  <w:style w:type="character" w:customStyle="1" w:styleId="Nadpis7Char">
    <w:name w:val="Nadpis 7 Char"/>
    <w:basedOn w:val="Standardnpsmoodstavce"/>
    <w:link w:val="Nadpis7"/>
    <w:uiPriority w:val="9"/>
    <w:semiHidden/>
    <w:rsid w:val="00072410"/>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uiPriority w:val="9"/>
    <w:semiHidden/>
    <w:rsid w:val="0007241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72410"/>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Číslovaný seznam (TRASK) Char"/>
    <w:link w:val="Odstavecseseznamem"/>
    <w:uiPriority w:val="34"/>
    <w:locked/>
    <w:rsid w:val="00072410"/>
    <w:rPr>
      <w:rFonts w:ascii="Arial" w:hAnsi="Arial"/>
      <w:spacing w:val="6"/>
      <w:sz w:val="18"/>
    </w:rPr>
  </w:style>
  <w:style w:type="character" w:styleId="Hypertextovodkaz">
    <w:name w:val="Hyperlink"/>
    <w:basedOn w:val="Standardnpsmoodstavce"/>
    <w:uiPriority w:val="99"/>
    <w:unhideWhenUsed/>
    <w:rsid w:val="00AD6413"/>
    <w:rPr>
      <w:color w:val="0563C1" w:themeColor="hyperlink"/>
      <w:u w:val="single"/>
    </w:rPr>
  </w:style>
  <w:style w:type="character" w:styleId="Nevyeenzmnka">
    <w:name w:val="Unresolved Mention"/>
    <w:basedOn w:val="Standardnpsmoodstavce"/>
    <w:uiPriority w:val="99"/>
    <w:semiHidden/>
    <w:unhideWhenUsed/>
    <w:rsid w:val="00AD6413"/>
    <w:rPr>
      <w:color w:val="605E5C"/>
      <w:shd w:val="clear" w:color="auto" w:fill="E1DFDD"/>
    </w:rPr>
  </w:style>
  <w:style w:type="paragraph" w:styleId="Bezmezer">
    <w:name w:val="No Spacing"/>
    <w:uiPriority w:val="1"/>
    <w:qFormat/>
    <w:rsid w:val="00FE75C1"/>
    <w:pPr>
      <w:spacing w:after="0" w:line="240" w:lineRule="auto"/>
    </w:pPr>
    <w:rPr>
      <w:rFonts w:ascii="Arial" w:hAnsi="Arial"/>
      <w:spacing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tra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AE90C7DCCA3F418DCD34E0AE179F1D" ma:contentTypeVersion="2" ma:contentTypeDescription="Vytvoří nový dokument" ma:contentTypeScope="" ma:versionID="fe92970b79441cc9cf2415a947fd269a">
  <xsd:schema xmlns:xsd="http://www.w3.org/2001/XMLSchema" xmlns:xs="http://www.w3.org/2001/XMLSchema" xmlns:p="http://schemas.microsoft.com/office/2006/metadata/properties" xmlns:ns2="3167f996-ea31-45b4-981a-1c8ce3b72554" targetNamespace="http://schemas.microsoft.com/office/2006/metadata/properties" ma:root="true" ma:fieldsID="a26be674d657bcd03a3dbddbdc72a223" ns2:_="">
    <xsd:import namespace="3167f996-ea31-45b4-981a-1c8ce3b725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f996-ea31-45b4-981a-1c8ce3b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9548-B04F-4463-806A-7C75531186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F832E-2439-4326-A8A0-4C635885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f996-ea31-45b4-981a-1c8ce3b72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6D2F-E2BA-468B-AA25-8440A159B624}">
  <ds:schemaRefs>
    <ds:schemaRef ds:uri="http://schemas.microsoft.com/sharepoint/v3/contenttype/forms"/>
  </ds:schemaRefs>
</ds:datastoreItem>
</file>

<file path=customXml/itemProps4.xml><?xml version="1.0" encoding="utf-8"?>
<ds:datastoreItem xmlns:ds="http://schemas.openxmlformats.org/officeDocument/2006/customXml" ds:itemID="{4E3533A0-AF14-4636-8C40-902FEBAB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6497</Words>
  <Characters>38336</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Tománek Filip</dc:creator>
  <cp:keywords/>
  <cp:lastModifiedBy>Mikula Pavel</cp:lastModifiedBy>
  <cp:revision>4</cp:revision>
  <cp:lastPrinted>2020-01-22T13:20:00Z</cp:lastPrinted>
  <dcterms:created xsi:type="dcterms:W3CDTF">2020-02-20T11:16:00Z</dcterms:created>
  <dcterms:modified xsi:type="dcterms:W3CDTF">2020-05-06T17:27:00Z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0x01010042AE90C7DCCA3F418DCD34E0AE179F1D</vt:lpwstr>
  </property>
</Properties>
</file>