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F08C" w14:textId="77777777" w:rsidR="00826A59" w:rsidRPr="00C06EE5" w:rsidRDefault="00826A59" w:rsidP="00826A59">
      <w:pPr>
        <w:pStyle w:val="NadpisP"/>
        <w:rPr>
          <w:b/>
        </w:rPr>
      </w:pPr>
      <w:r w:rsidRPr="00C06EE5">
        <w:rPr>
          <w:b/>
        </w:rPr>
        <w:t>SMLOUVA O SMLOUVĚ BUDOUCÍ</w:t>
      </w:r>
    </w:p>
    <w:p w14:paraId="14D8F98A" w14:textId="77777777" w:rsidR="00826A59" w:rsidRPr="00C06EE5" w:rsidRDefault="00826A59" w:rsidP="00826A59">
      <w:pPr>
        <w:pStyle w:val="Rubrika"/>
        <w:jc w:val="center"/>
      </w:pPr>
      <w:r w:rsidRPr="00C06EE5">
        <w:t xml:space="preserve">uzavřená ve smyslu </w:t>
      </w:r>
      <w:proofErr w:type="spellStart"/>
      <w:r w:rsidRPr="00C06EE5">
        <w:t>ust</w:t>
      </w:r>
      <w:proofErr w:type="spellEnd"/>
      <w:r w:rsidRPr="00C06EE5">
        <w:t xml:space="preserve">. § </w:t>
      </w:r>
      <w:r w:rsidR="00AB0791" w:rsidRPr="00C06EE5">
        <w:t>83</w:t>
      </w:r>
      <w:r w:rsidRPr="00C06EE5">
        <w:t xml:space="preserve"> </w:t>
      </w:r>
      <w:r w:rsidR="00AB0791" w:rsidRPr="00C06EE5">
        <w:t>a § 84</w:t>
      </w:r>
      <w:r w:rsidRPr="00C06EE5">
        <w:t xml:space="preserve"> zák. č. 13</w:t>
      </w:r>
      <w:r w:rsidR="00AB0791" w:rsidRPr="00C06EE5">
        <w:t>4</w:t>
      </w:r>
      <w:r w:rsidRPr="00C06EE5">
        <w:t>/20</w:t>
      </w:r>
      <w:r w:rsidR="00AB0791" w:rsidRPr="00C06EE5">
        <w:t>1</w:t>
      </w:r>
      <w:r w:rsidRPr="00C06EE5">
        <w:t>6 Sb.</w:t>
      </w:r>
      <w:r w:rsidR="00AB0791" w:rsidRPr="00C06EE5">
        <w:t>, o zadávání veřejných zakázek,</w:t>
      </w:r>
      <w:r w:rsidRPr="00C06EE5">
        <w:t xml:space="preserve"> v platném znění</w:t>
      </w:r>
      <w:r w:rsidR="00AB0791" w:rsidRPr="00C06EE5">
        <w:t xml:space="preserve"> </w:t>
      </w:r>
      <w:r w:rsidRPr="00C06EE5">
        <w:t xml:space="preserve">a </w:t>
      </w:r>
      <w:proofErr w:type="spellStart"/>
      <w:r w:rsidR="005B0D55" w:rsidRPr="00C06EE5">
        <w:t>ust</w:t>
      </w:r>
      <w:proofErr w:type="spellEnd"/>
      <w:r w:rsidR="005B0D55" w:rsidRPr="00C06EE5">
        <w:t xml:space="preserve">. § </w:t>
      </w:r>
      <w:r w:rsidR="00337AE8" w:rsidRPr="00C06EE5">
        <w:t>2586</w:t>
      </w:r>
      <w:r w:rsidR="005B0D55" w:rsidRPr="00C06EE5">
        <w:t xml:space="preserve"> a násl. </w:t>
      </w:r>
      <w:r w:rsidRPr="00C06EE5">
        <w:t xml:space="preserve">zákona č. </w:t>
      </w:r>
      <w:r w:rsidR="005B0D55" w:rsidRPr="00C06EE5">
        <w:t>89/2012</w:t>
      </w:r>
      <w:r w:rsidRPr="00C06EE5">
        <w:t xml:space="preserve"> Sb.</w:t>
      </w:r>
      <w:r w:rsidR="005B0D55" w:rsidRPr="00C06EE5">
        <w:t>, občanský zákoník</w:t>
      </w:r>
      <w:r w:rsidRPr="00C06EE5">
        <w:t>, v platném znění</w:t>
      </w:r>
    </w:p>
    <w:p w14:paraId="62E9E2F8" w14:textId="77777777" w:rsidR="00F8177A" w:rsidRPr="00C06EE5" w:rsidRDefault="00F8177A" w:rsidP="00F8177A">
      <w:pPr>
        <w:pStyle w:val="Rubrika"/>
      </w:pPr>
    </w:p>
    <w:p w14:paraId="41B53B01" w14:textId="77777777" w:rsidR="00826A59" w:rsidRPr="00C06EE5" w:rsidRDefault="00826A59" w:rsidP="00826A59">
      <w:pPr>
        <w:pStyle w:val="SmlX"/>
        <w:tabs>
          <w:tab w:val="clear" w:pos="1077"/>
          <w:tab w:val="clear" w:pos="1531"/>
          <w:tab w:val="clear" w:pos="1985"/>
        </w:tabs>
      </w:pPr>
      <w:r w:rsidRPr="00C06EE5">
        <w:t>Účastníci smlouvy – smluvní strany</w:t>
      </w:r>
    </w:p>
    <w:p w14:paraId="60A57951" w14:textId="77777777" w:rsidR="00571E01" w:rsidRPr="00C06EE5" w:rsidRDefault="00544EEC" w:rsidP="005B0D55">
      <w:pPr>
        <w:pStyle w:val="SmlXX"/>
        <w:tabs>
          <w:tab w:val="clear" w:pos="1077"/>
          <w:tab w:val="clear" w:pos="1192"/>
          <w:tab w:val="clear" w:pos="1531"/>
          <w:tab w:val="clear" w:pos="1985"/>
        </w:tabs>
        <w:spacing w:before="220"/>
        <w:ind w:left="1134"/>
        <w:rPr>
          <w:sz w:val="22"/>
        </w:rPr>
      </w:pPr>
      <w:bookmarkStart w:id="0" w:name="_Ref239061326"/>
      <w:r w:rsidRPr="00C06EE5">
        <w:rPr>
          <w:sz w:val="22"/>
        </w:rPr>
        <w:t xml:space="preserve">Budoucí </w:t>
      </w:r>
      <w:r w:rsidR="00C86B36">
        <w:rPr>
          <w:sz w:val="22"/>
        </w:rPr>
        <w:t>nájemce</w:t>
      </w:r>
      <w:r w:rsidR="00826A59" w:rsidRPr="00C06EE5">
        <w:rPr>
          <w:sz w:val="22"/>
        </w:rPr>
        <w:t>:</w:t>
      </w:r>
      <w:bookmarkEnd w:id="0"/>
    </w:p>
    <w:p w14:paraId="472BFE1A" w14:textId="77777777" w:rsidR="003D3972" w:rsidRPr="00C06EE5" w:rsidRDefault="005B0D55" w:rsidP="003D3972">
      <w:pPr>
        <w:tabs>
          <w:tab w:val="left" w:pos="1134"/>
          <w:tab w:val="left" w:pos="3119"/>
        </w:tabs>
        <w:jc w:val="both"/>
        <w:rPr>
          <w:b/>
          <w:sz w:val="22"/>
        </w:rPr>
      </w:pPr>
      <w:bookmarkStart w:id="1" w:name="_Ref239061334"/>
      <w:r w:rsidRPr="00C06EE5">
        <w:rPr>
          <w:sz w:val="22"/>
        </w:rPr>
        <w:tab/>
      </w:r>
      <w:r w:rsidR="003D3972" w:rsidRPr="00C06EE5">
        <w:rPr>
          <w:b/>
          <w:sz w:val="22"/>
        </w:rPr>
        <w:t>PB SCOM s.r.o.</w:t>
      </w:r>
    </w:p>
    <w:p w14:paraId="7DC017F0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  <w:t xml:space="preserve">Radniční 28 Hranice I-Město, 753 01 Hranice                      </w:t>
      </w:r>
    </w:p>
    <w:p w14:paraId="4D6352FD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</w:r>
      <w:r w:rsidR="005B0D55" w:rsidRPr="00C06EE5">
        <w:rPr>
          <w:sz w:val="22"/>
        </w:rPr>
        <w:t>z</w:t>
      </w:r>
      <w:r w:rsidRPr="00C06EE5">
        <w:rPr>
          <w:sz w:val="22"/>
        </w:rPr>
        <w:t>astoupená: Jiřím Pavlištíkem, jednatelem</w:t>
      </w:r>
    </w:p>
    <w:p w14:paraId="7673970A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</w:r>
      <w:r w:rsidR="005B0D55" w:rsidRPr="00C06EE5">
        <w:rPr>
          <w:sz w:val="22"/>
        </w:rPr>
        <w:t>b</w:t>
      </w:r>
      <w:r w:rsidRPr="00C06EE5">
        <w:rPr>
          <w:sz w:val="22"/>
        </w:rPr>
        <w:t xml:space="preserve">ankovní spojení: </w:t>
      </w:r>
      <w:proofErr w:type="spellStart"/>
      <w:r w:rsidR="00EA003A">
        <w:rPr>
          <w:sz w:val="22"/>
        </w:rPr>
        <w:t>xxx</w:t>
      </w:r>
      <w:proofErr w:type="spellEnd"/>
    </w:p>
    <w:p w14:paraId="4B764063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</w:r>
      <w:proofErr w:type="spellStart"/>
      <w:r w:rsidRPr="00C06EE5">
        <w:rPr>
          <w:sz w:val="22"/>
        </w:rPr>
        <w:t>č.ú</w:t>
      </w:r>
      <w:proofErr w:type="spellEnd"/>
      <w:r w:rsidRPr="00C06EE5">
        <w:rPr>
          <w:sz w:val="22"/>
        </w:rPr>
        <w:t xml:space="preserve">. </w:t>
      </w:r>
      <w:proofErr w:type="spellStart"/>
      <w:r w:rsidR="00EA003A">
        <w:rPr>
          <w:sz w:val="22"/>
        </w:rPr>
        <w:t>xxx</w:t>
      </w:r>
      <w:proofErr w:type="spellEnd"/>
    </w:p>
    <w:p w14:paraId="1290E338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  <w:t>IČ</w:t>
      </w:r>
      <w:r w:rsidR="005B0D55" w:rsidRPr="00C06EE5">
        <w:rPr>
          <w:sz w:val="22"/>
        </w:rPr>
        <w:t>O</w:t>
      </w:r>
      <w:r w:rsidRPr="00C06EE5">
        <w:rPr>
          <w:sz w:val="22"/>
        </w:rPr>
        <w:t xml:space="preserve">: </w:t>
      </w:r>
      <w:proofErr w:type="spellStart"/>
      <w:r w:rsidR="00EA003A">
        <w:rPr>
          <w:sz w:val="22"/>
        </w:rPr>
        <w:t>xxx</w:t>
      </w:r>
      <w:proofErr w:type="spellEnd"/>
    </w:p>
    <w:p w14:paraId="5B69993C" w14:textId="77777777" w:rsidR="003D3972" w:rsidRPr="00C06EE5" w:rsidRDefault="003D3972" w:rsidP="003D3972">
      <w:pPr>
        <w:tabs>
          <w:tab w:val="left" w:pos="1134"/>
          <w:tab w:val="left" w:pos="3119"/>
        </w:tabs>
        <w:jc w:val="both"/>
        <w:rPr>
          <w:sz w:val="22"/>
        </w:rPr>
      </w:pPr>
      <w:r w:rsidRPr="00C06EE5">
        <w:rPr>
          <w:sz w:val="22"/>
        </w:rPr>
        <w:tab/>
        <w:t xml:space="preserve">DIČ: </w:t>
      </w:r>
      <w:proofErr w:type="spellStart"/>
      <w:r w:rsidR="00EA003A">
        <w:rPr>
          <w:sz w:val="22"/>
        </w:rPr>
        <w:t>xxx</w:t>
      </w:r>
      <w:proofErr w:type="spellEnd"/>
    </w:p>
    <w:p w14:paraId="7D286DFB" w14:textId="77777777" w:rsidR="003D3972" w:rsidRPr="00C06EE5" w:rsidRDefault="003D3972" w:rsidP="003D3972">
      <w:pPr>
        <w:tabs>
          <w:tab w:val="left" w:pos="1134"/>
          <w:tab w:val="left" w:pos="3119"/>
        </w:tabs>
        <w:rPr>
          <w:sz w:val="22"/>
        </w:rPr>
      </w:pPr>
      <w:r w:rsidRPr="00C06EE5">
        <w:rPr>
          <w:sz w:val="22"/>
        </w:rPr>
        <w:t>zapsaná v Obchod. rejstříku vedeného u Krajského soudu v Ostravě oddíl C, vložka 18505</w:t>
      </w:r>
    </w:p>
    <w:p w14:paraId="13103890" w14:textId="77777777" w:rsidR="003D3972" w:rsidRPr="00C06EE5" w:rsidRDefault="003D3972" w:rsidP="003D3972">
      <w:pPr>
        <w:tabs>
          <w:tab w:val="left" w:pos="1134"/>
          <w:tab w:val="left" w:pos="3119"/>
        </w:tabs>
        <w:rPr>
          <w:sz w:val="22"/>
        </w:rPr>
      </w:pPr>
    </w:p>
    <w:p w14:paraId="7056A1E2" w14:textId="77777777" w:rsidR="008D3D2F" w:rsidRPr="00C06EE5" w:rsidRDefault="008D3D2F" w:rsidP="005B0D55">
      <w:pPr>
        <w:pStyle w:val="SmlXX"/>
        <w:tabs>
          <w:tab w:val="clear" w:pos="1077"/>
          <w:tab w:val="clear" w:pos="1192"/>
          <w:tab w:val="clear" w:pos="1531"/>
          <w:tab w:val="clear" w:pos="1985"/>
        </w:tabs>
        <w:spacing w:before="220"/>
        <w:ind w:left="1134"/>
        <w:rPr>
          <w:sz w:val="22"/>
        </w:rPr>
      </w:pPr>
      <w:r w:rsidRPr="00C06EE5">
        <w:rPr>
          <w:sz w:val="22"/>
        </w:rPr>
        <w:t>Bud</w:t>
      </w:r>
      <w:r w:rsidR="00544EEC" w:rsidRPr="00C06EE5">
        <w:rPr>
          <w:sz w:val="22"/>
        </w:rPr>
        <w:t xml:space="preserve">oucí </w:t>
      </w:r>
      <w:r w:rsidR="00C86B36">
        <w:rPr>
          <w:sz w:val="22"/>
        </w:rPr>
        <w:t>pronajímatel</w:t>
      </w:r>
      <w:r w:rsidR="00826A59" w:rsidRPr="00C06EE5">
        <w:rPr>
          <w:sz w:val="22"/>
        </w:rPr>
        <w:t>:</w:t>
      </w:r>
      <w:bookmarkEnd w:id="1"/>
    </w:p>
    <w:p w14:paraId="468D566F" w14:textId="77777777" w:rsidR="00C300D2" w:rsidRPr="00C06EE5" w:rsidRDefault="00C300D2" w:rsidP="005B0D55">
      <w:pPr>
        <w:ind w:left="680" w:firstLine="454"/>
        <w:jc w:val="both"/>
        <w:rPr>
          <w:b/>
          <w:sz w:val="22"/>
        </w:rPr>
      </w:pPr>
      <w:r w:rsidRPr="00C06EE5">
        <w:rPr>
          <w:b/>
          <w:sz w:val="22"/>
        </w:rPr>
        <w:t>Správa a údržba silnic Zlínska, s.r.o.</w:t>
      </w:r>
    </w:p>
    <w:p w14:paraId="3739B991" w14:textId="77777777" w:rsidR="00C300D2" w:rsidRPr="00C06EE5" w:rsidRDefault="00C300D2" w:rsidP="005B0D55">
      <w:pPr>
        <w:ind w:left="680" w:firstLine="454"/>
        <w:jc w:val="both"/>
        <w:rPr>
          <w:sz w:val="22"/>
        </w:rPr>
      </w:pPr>
      <w:r w:rsidRPr="00C06EE5">
        <w:rPr>
          <w:sz w:val="22"/>
        </w:rPr>
        <w:t>K Majáku 5001, 760 01 Zlín</w:t>
      </w:r>
    </w:p>
    <w:p w14:paraId="3C90AFF7" w14:textId="77777777" w:rsidR="005B0D55" w:rsidRPr="00C06EE5" w:rsidRDefault="005B0D55" w:rsidP="005B0D55">
      <w:pPr>
        <w:ind w:left="680" w:firstLine="454"/>
        <w:jc w:val="both"/>
        <w:rPr>
          <w:sz w:val="22"/>
        </w:rPr>
      </w:pPr>
      <w:r w:rsidRPr="00C06EE5">
        <w:rPr>
          <w:sz w:val="22"/>
        </w:rPr>
        <w:t>zastoupená: Ing. Vladimírem Kutým, jednatelem</w:t>
      </w:r>
    </w:p>
    <w:p w14:paraId="15BB6ABA" w14:textId="77777777" w:rsidR="005B0D55" w:rsidRPr="00C06EE5" w:rsidRDefault="005B0D55" w:rsidP="005B0D55">
      <w:pPr>
        <w:ind w:left="680" w:firstLine="454"/>
        <w:jc w:val="both"/>
        <w:rPr>
          <w:sz w:val="22"/>
        </w:rPr>
      </w:pPr>
      <w:r w:rsidRPr="00C06EE5">
        <w:rPr>
          <w:sz w:val="22"/>
        </w:rPr>
        <w:t>bankovní spojení:</w:t>
      </w:r>
      <w:r w:rsidRPr="00C06EE5">
        <w:rPr>
          <w:sz w:val="22"/>
        </w:rPr>
        <w:tab/>
      </w:r>
      <w:proofErr w:type="spellStart"/>
      <w:r w:rsidR="00EA003A">
        <w:rPr>
          <w:sz w:val="22"/>
        </w:rPr>
        <w:t>xxx</w:t>
      </w:r>
      <w:proofErr w:type="spellEnd"/>
      <w:r w:rsidRPr="00C06EE5">
        <w:rPr>
          <w:sz w:val="22"/>
        </w:rPr>
        <w:t xml:space="preserve">     </w:t>
      </w:r>
    </w:p>
    <w:p w14:paraId="51FA2CCC" w14:textId="77777777" w:rsidR="005B0D55" w:rsidRPr="00C06EE5" w:rsidRDefault="005B0D55" w:rsidP="005B0D55">
      <w:pPr>
        <w:ind w:left="680" w:firstLine="454"/>
        <w:jc w:val="both"/>
        <w:rPr>
          <w:sz w:val="22"/>
        </w:rPr>
      </w:pPr>
      <w:proofErr w:type="spellStart"/>
      <w:r w:rsidRPr="00C06EE5">
        <w:rPr>
          <w:sz w:val="22"/>
        </w:rPr>
        <w:t>č.ú</w:t>
      </w:r>
      <w:proofErr w:type="spellEnd"/>
      <w:r w:rsidRPr="00C06EE5">
        <w:rPr>
          <w:sz w:val="22"/>
        </w:rPr>
        <w:t>.:</w:t>
      </w:r>
      <w:r w:rsidRPr="00C06EE5">
        <w:rPr>
          <w:sz w:val="22"/>
        </w:rPr>
        <w:tab/>
      </w:r>
      <w:r w:rsidRPr="00C06EE5">
        <w:rPr>
          <w:sz w:val="22"/>
        </w:rPr>
        <w:tab/>
      </w:r>
      <w:r w:rsidRPr="00C06EE5">
        <w:rPr>
          <w:sz w:val="22"/>
        </w:rPr>
        <w:tab/>
      </w:r>
      <w:proofErr w:type="spellStart"/>
      <w:r w:rsidR="00EA003A">
        <w:rPr>
          <w:sz w:val="22"/>
        </w:rPr>
        <w:t>xxx</w:t>
      </w:r>
      <w:proofErr w:type="spellEnd"/>
    </w:p>
    <w:p w14:paraId="0595760A" w14:textId="77777777" w:rsidR="00C300D2" w:rsidRPr="00C06EE5" w:rsidRDefault="00C300D2" w:rsidP="005B0D55">
      <w:pPr>
        <w:ind w:left="680" w:firstLine="454"/>
        <w:jc w:val="both"/>
        <w:rPr>
          <w:sz w:val="22"/>
        </w:rPr>
      </w:pPr>
      <w:r w:rsidRPr="00C06EE5">
        <w:rPr>
          <w:sz w:val="22"/>
        </w:rPr>
        <w:t>IČ</w:t>
      </w:r>
      <w:r w:rsidR="005B0D55" w:rsidRPr="00C06EE5">
        <w:rPr>
          <w:sz w:val="22"/>
        </w:rPr>
        <w:t>O</w:t>
      </w:r>
      <w:r w:rsidRPr="00C06EE5">
        <w:rPr>
          <w:sz w:val="22"/>
        </w:rPr>
        <w:t xml:space="preserve">: </w:t>
      </w:r>
      <w:proofErr w:type="spellStart"/>
      <w:r w:rsidR="00EA003A">
        <w:rPr>
          <w:sz w:val="22"/>
        </w:rPr>
        <w:t>xxx</w:t>
      </w:r>
      <w:proofErr w:type="spellEnd"/>
    </w:p>
    <w:p w14:paraId="51DE0EA3" w14:textId="77777777" w:rsidR="00C300D2" w:rsidRPr="00C06EE5" w:rsidRDefault="00C300D2" w:rsidP="005B0D55">
      <w:pPr>
        <w:ind w:left="680" w:firstLine="454"/>
        <w:jc w:val="both"/>
        <w:rPr>
          <w:sz w:val="22"/>
        </w:rPr>
      </w:pPr>
      <w:r w:rsidRPr="00C06EE5">
        <w:rPr>
          <w:sz w:val="22"/>
        </w:rPr>
        <w:t xml:space="preserve">DIČ: </w:t>
      </w:r>
      <w:proofErr w:type="spellStart"/>
      <w:r w:rsidR="00EA003A">
        <w:rPr>
          <w:sz w:val="22"/>
        </w:rPr>
        <w:t>xxx</w:t>
      </w:r>
      <w:proofErr w:type="spellEnd"/>
    </w:p>
    <w:p w14:paraId="4EE4551C" w14:textId="77777777" w:rsidR="005B0D55" w:rsidRDefault="005B0D55" w:rsidP="005B0D55">
      <w:pPr>
        <w:tabs>
          <w:tab w:val="left" w:pos="1134"/>
          <w:tab w:val="left" w:pos="3119"/>
        </w:tabs>
        <w:rPr>
          <w:sz w:val="22"/>
        </w:rPr>
      </w:pPr>
      <w:r w:rsidRPr="00C06EE5">
        <w:rPr>
          <w:sz w:val="22"/>
        </w:rPr>
        <w:t>zapsaná v Obchod. rejstříku vedeného u Krajského soudu v Brně oddíl C, vložka 44640</w:t>
      </w:r>
    </w:p>
    <w:p w14:paraId="28A20178" w14:textId="77777777" w:rsidR="00BF735E" w:rsidRPr="00C06EE5" w:rsidRDefault="00BF735E" w:rsidP="005B0D55">
      <w:pPr>
        <w:tabs>
          <w:tab w:val="left" w:pos="1134"/>
          <w:tab w:val="left" w:pos="3119"/>
        </w:tabs>
        <w:rPr>
          <w:sz w:val="22"/>
        </w:rPr>
      </w:pPr>
    </w:p>
    <w:p w14:paraId="6A1F1A74" w14:textId="77777777" w:rsidR="00F8177A" w:rsidRPr="00C06EE5" w:rsidRDefault="0079298C" w:rsidP="00544EEC">
      <w:pPr>
        <w:pStyle w:val="SmlX"/>
      </w:pPr>
      <w:r w:rsidRPr="00C06EE5">
        <w:t>P</w:t>
      </w:r>
      <w:r w:rsidR="00544EEC" w:rsidRPr="00C06EE5">
        <w:t>ředmět smlouvy</w:t>
      </w:r>
    </w:p>
    <w:p w14:paraId="4646C761" w14:textId="40F7356D" w:rsidR="00544EEC" w:rsidRPr="00C06EE5" w:rsidRDefault="0002334F" w:rsidP="003D3972">
      <w:pPr>
        <w:pStyle w:val="SmlXX"/>
      </w:pPr>
      <w:r w:rsidRPr="00C06EE5">
        <w:t>B</w:t>
      </w:r>
      <w:r w:rsidR="00544EEC" w:rsidRPr="00C06EE5">
        <w:t xml:space="preserve">udoucí </w:t>
      </w:r>
      <w:r w:rsidR="007F5672">
        <w:t>nájemce</w:t>
      </w:r>
      <w:r w:rsidR="00544EEC" w:rsidRPr="00C06EE5">
        <w:t xml:space="preserve"> se </w:t>
      </w:r>
      <w:r w:rsidRPr="00C06EE5">
        <w:t xml:space="preserve">jako </w:t>
      </w:r>
      <w:r w:rsidR="00571E01" w:rsidRPr="00C06EE5">
        <w:t xml:space="preserve">potenciální </w:t>
      </w:r>
      <w:r w:rsidRPr="00C06EE5">
        <w:t xml:space="preserve">dodavatel </w:t>
      </w:r>
      <w:r w:rsidR="00544EEC" w:rsidRPr="00C06EE5">
        <w:t xml:space="preserve">uchází </w:t>
      </w:r>
      <w:r w:rsidRPr="00C06EE5">
        <w:t xml:space="preserve">ve výběrovém řízení o veřejnou zakázku s názvem </w:t>
      </w:r>
      <w:r w:rsidR="008D3D2F" w:rsidRPr="00C06EE5">
        <w:t>„</w:t>
      </w:r>
      <w:proofErr w:type="spellStart"/>
      <w:r w:rsidR="00335F6F">
        <w:rPr>
          <w:b/>
        </w:rPr>
        <w:t>xxx</w:t>
      </w:r>
      <w:proofErr w:type="spellEnd"/>
      <w:r w:rsidR="003D3972" w:rsidRPr="00C06EE5">
        <w:t xml:space="preserve">“, </w:t>
      </w:r>
      <w:r w:rsidRPr="00C06EE5">
        <w:t>jejímž zadavatelem je</w:t>
      </w:r>
      <w:r w:rsidR="008D3D2F" w:rsidRPr="00C06EE5">
        <w:t xml:space="preserve"> </w:t>
      </w:r>
      <w:r w:rsidR="003D3972" w:rsidRPr="00C06EE5">
        <w:rPr>
          <w:bCs/>
          <w:iCs/>
        </w:rPr>
        <w:t>obec Dolní Újezd</w:t>
      </w:r>
      <w:r w:rsidR="008D3D2F" w:rsidRPr="00C06EE5">
        <w:t xml:space="preserve">. </w:t>
      </w:r>
    </w:p>
    <w:p w14:paraId="245BBC04" w14:textId="77777777" w:rsidR="00571E01" w:rsidRPr="00C06EE5" w:rsidRDefault="00A00C02" w:rsidP="00544EEC">
      <w:pPr>
        <w:pStyle w:val="SmlXX"/>
      </w:pPr>
      <w:r w:rsidRPr="00C06EE5">
        <w:t xml:space="preserve">Budoucí </w:t>
      </w:r>
      <w:r w:rsidR="00C86B36">
        <w:t>nájemce</w:t>
      </w:r>
      <w:r w:rsidRPr="00C06EE5">
        <w:t xml:space="preserve"> se zavazuje</w:t>
      </w:r>
      <w:r w:rsidR="0002334F" w:rsidRPr="00C06EE5">
        <w:t xml:space="preserve">, že pokud bude </w:t>
      </w:r>
      <w:r w:rsidR="009B73BE" w:rsidRPr="00C06EE5">
        <w:t xml:space="preserve">jeho </w:t>
      </w:r>
      <w:r w:rsidR="007F5672">
        <w:t xml:space="preserve">nabídka ve výběrovém řízení </w:t>
      </w:r>
      <w:r w:rsidR="0002334F" w:rsidRPr="00C06EE5">
        <w:t>uvedeném v bodě 2.1 vybrána jako nejvhodnější</w:t>
      </w:r>
      <w:r w:rsidR="00571E01" w:rsidRPr="00C06EE5">
        <w:t xml:space="preserve">, </w:t>
      </w:r>
      <w:r w:rsidR="0002334F" w:rsidRPr="00C06EE5">
        <w:t>uzavř</w:t>
      </w:r>
      <w:r w:rsidRPr="00C06EE5">
        <w:t>e</w:t>
      </w:r>
      <w:r w:rsidR="0002334F" w:rsidRPr="00C06EE5">
        <w:t xml:space="preserve"> </w:t>
      </w:r>
      <w:r w:rsidRPr="00C06EE5">
        <w:t xml:space="preserve">s budoucím </w:t>
      </w:r>
      <w:r w:rsidR="00C86B36">
        <w:t>pronajímatelem</w:t>
      </w:r>
      <w:r w:rsidRPr="00C06EE5">
        <w:t xml:space="preserve"> </w:t>
      </w:r>
      <w:r w:rsidR="0002334F" w:rsidRPr="00C06EE5">
        <w:t xml:space="preserve">nejpozději do </w:t>
      </w:r>
      <w:r w:rsidR="00556CE2" w:rsidRPr="00C06EE5">
        <w:t>2</w:t>
      </w:r>
      <w:r w:rsidR="0002334F" w:rsidRPr="00C06EE5">
        <w:t xml:space="preserve"> měsíc</w:t>
      </w:r>
      <w:r w:rsidR="00556CE2" w:rsidRPr="00C06EE5">
        <w:t>ů</w:t>
      </w:r>
      <w:r w:rsidR="0002334F" w:rsidRPr="00C06EE5">
        <w:t xml:space="preserve"> od </w:t>
      </w:r>
      <w:r w:rsidR="00556CE2" w:rsidRPr="00C06EE5">
        <w:t>u</w:t>
      </w:r>
      <w:r w:rsidR="0002334F" w:rsidRPr="00C06EE5">
        <w:t xml:space="preserve">končení výběrového řízení </w:t>
      </w:r>
      <w:r w:rsidR="00571E01" w:rsidRPr="00C06EE5">
        <w:t xml:space="preserve">písemnou </w:t>
      </w:r>
      <w:r w:rsidR="0002334F" w:rsidRPr="00C06EE5">
        <w:t>smlouvu o</w:t>
      </w:r>
      <w:r w:rsidR="007F5672">
        <w:t xml:space="preserve"> pronájmu</w:t>
      </w:r>
      <w:r w:rsidR="00C86B36">
        <w:t>.</w:t>
      </w:r>
      <w:r w:rsidR="0002334F" w:rsidRPr="00C06EE5">
        <w:t xml:space="preserve"> </w:t>
      </w:r>
    </w:p>
    <w:p w14:paraId="6E48AEE1" w14:textId="77777777" w:rsidR="0002334F" w:rsidRDefault="00C06EE5" w:rsidP="008D3D2F">
      <w:pPr>
        <w:pStyle w:val="SmlXX"/>
      </w:pPr>
      <w:r w:rsidRPr="00C06EE5">
        <w:t>Předmětem smlouvy je</w:t>
      </w:r>
      <w:r w:rsidR="003D3972" w:rsidRPr="00C06EE5">
        <w:t xml:space="preserve"> pro</w:t>
      </w:r>
      <w:r w:rsidRPr="00C06EE5">
        <w:t>nájem</w:t>
      </w:r>
      <w:r w:rsidR="003D3972" w:rsidRPr="00C06EE5">
        <w:t xml:space="preserve"> finišeru na pokládku asfaltových směsí, který budoucí </w:t>
      </w:r>
      <w:r w:rsidR="00C86B36">
        <w:t>pronajímatel</w:t>
      </w:r>
      <w:r w:rsidR="003D3972" w:rsidRPr="00C06EE5">
        <w:t xml:space="preserve"> má ve svém majetku.</w:t>
      </w:r>
    </w:p>
    <w:p w14:paraId="7569EE3D" w14:textId="77777777" w:rsidR="00BF735E" w:rsidRPr="00C06EE5" w:rsidRDefault="00BF735E" w:rsidP="00BF735E">
      <w:pPr>
        <w:pStyle w:val="SmlXX"/>
        <w:numPr>
          <w:ilvl w:val="0"/>
          <w:numId w:val="0"/>
        </w:numPr>
        <w:ind w:left="1192"/>
      </w:pPr>
    </w:p>
    <w:p w14:paraId="7BE587C7" w14:textId="77777777" w:rsidR="00571E01" w:rsidRPr="00C06EE5" w:rsidRDefault="00571E01" w:rsidP="00571E01">
      <w:pPr>
        <w:pStyle w:val="SmlX"/>
      </w:pPr>
      <w:r w:rsidRPr="00C06EE5">
        <w:t>Další ujednání</w:t>
      </w:r>
    </w:p>
    <w:p w14:paraId="2F96D39B" w14:textId="77777777" w:rsidR="00DE7CF9" w:rsidRPr="00C06EE5" w:rsidRDefault="00556CE2" w:rsidP="00556CE2">
      <w:pPr>
        <w:pStyle w:val="SmlXX"/>
      </w:pPr>
      <w:r w:rsidRPr="00C06EE5">
        <w:t xml:space="preserve">Výzvu k uzavření budoucí smlouvy o </w:t>
      </w:r>
      <w:r w:rsidR="007F5672">
        <w:t>pronájmu</w:t>
      </w:r>
      <w:r w:rsidRPr="00C06EE5">
        <w:t xml:space="preserve"> může učinit</w:t>
      </w:r>
      <w:r w:rsidR="00DE7CF9" w:rsidRPr="00C06EE5">
        <w:t xml:space="preserve"> </w:t>
      </w:r>
      <w:r w:rsidR="00A00C02" w:rsidRPr="00C06EE5">
        <w:t xml:space="preserve">budoucí </w:t>
      </w:r>
      <w:r w:rsidR="00C86B36">
        <w:t>nájemce</w:t>
      </w:r>
      <w:r w:rsidR="00A00C02" w:rsidRPr="00C06EE5">
        <w:t xml:space="preserve"> </w:t>
      </w:r>
      <w:r w:rsidR="00DE7CF9" w:rsidRPr="00C06EE5">
        <w:t xml:space="preserve">doručením písemného návrhu smlouvy o </w:t>
      </w:r>
      <w:r w:rsidR="007F5672">
        <w:t>pronájmu</w:t>
      </w:r>
      <w:r w:rsidR="00DE7CF9" w:rsidRPr="00C06EE5">
        <w:t xml:space="preserve"> s</w:t>
      </w:r>
      <w:r w:rsidR="003A4A30" w:rsidRPr="00C06EE5">
        <w:t>e základními</w:t>
      </w:r>
      <w:r w:rsidR="00DE7CF9" w:rsidRPr="00C06EE5">
        <w:t xml:space="preserve"> náležitostmi </w:t>
      </w:r>
      <w:r w:rsidR="003A4A30" w:rsidRPr="00C06EE5">
        <w:t>sjednanými v této smlouvě</w:t>
      </w:r>
      <w:r w:rsidR="00DE7CF9" w:rsidRPr="00C06EE5">
        <w:t xml:space="preserve">. Návrh doručený ve lhůtě sjednané v bodu 2.2 je druhá smluvní strana povinna do </w:t>
      </w:r>
      <w:r w:rsidR="003A4A30" w:rsidRPr="00C06EE5">
        <w:t>10</w:t>
      </w:r>
      <w:r w:rsidR="00DE7CF9" w:rsidRPr="00C06EE5">
        <w:t xml:space="preserve"> </w:t>
      </w:r>
      <w:r w:rsidR="003A4A30" w:rsidRPr="00C06EE5">
        <w:t>pracovních dnů písemně</w:t>
      </w:r>
      <w:r w:rsidR="00DE7CF9" w:rsidRPr="00C06EE5">
        <w:t xml:space="preserve"> akceptovat. </w:t>
      </w:r>
    </w:p>
    <w:p w14:paraId="4840B3F4" w14:textId="77777777" w:rsidR="003A4A30" w:rsidRPr="00C06EE5" w:rsidRDefault="003A4A30" w:rsidP="00556CE2">
      <w:pPr>
        <w:pStyle w:val="SmlXX"/>
      </w:pPr>
      <w:r w:rsidRPr="00C06EE5">
        <w:t xml:space="preserve">Obsahové náležitosti návrhu budoucí smlouvy o </w:t>
      </w:r>
      <w:r w:rsidR="007F5672">
        <w:t>pronájmu</w:t>
      </w:r>
      <w:r w:rsidRPr="00C06EE5">
        <w:t xml:space="preserve">, které nejsou výslovně sjednány již v této smlouvě, by měly </w:t>
      </w:r>
      <w:r w:rsidR="00646D22" w:rsidRPr="00C06EE5">
        <w:t>v případě neshody mezi smluvními stranami</w:t>
      </w:r>
      <w:r w:rsidRPr="00C06EE5">
        <w:t xml:space="preserve"> odpovídat obsahu a smyslu zadávací dokumentace dle bodu 2.1.</w:t>
      </w:r>
      <w:r w:rsidR="00646D22" w:rsidRPr="00C06EE5">
        <w:t xml:space="preserve"> </w:t>
      </w:r>
    </w:p>
    <w:p w14:paraId="75447EE4" w14:textId="77777777" w:rsidR="00A00C02" w:rsidRDefault="00A00C02" w:rsidP="00556CE2">
      <w:pPr>
        <w:pStyle w:val="SmlXX"/>
      </w:pPr>
      <w:r w:rsidRPr="00C06EE5">
        <w:lastRenderedPageBreak/>
        <w:t xml:space="preserve">Nesplní-li budoucí </w:t>
      </w:r>
      <w:r w:rsidR="00C86B36">
        <w:t>pronajímatel</w:t>
      </w:r>
      <w:r w:rsidRPr="00C06EE5">
        <w:t xml:space="preserve"> závazek uzav</w:t>
      </w:r>
      <w:r w:rsidRPr="00C06EE5">
        <w:rPr>
          <w:rFonts w:hint="eastAsia"/>
        </w:rPr>
        <w:t>ří</w:t>
      </w:r>
      <w:r w:rsidRPr="00C06EE5">
        <w:t>t budoucí smlouvu podle bodu 3.1, m</w:t>
      </w:r>
      <w:r w:rsidRPr="00C06EE5">
        <w:rPr>
          <w:rFonts w:hint="eastAsia"/>
        </w:rPr>
        <w:t>ůž</w:t>
      </w:r>
      <w:r w:rsidRPr="00C06EE5">
        <w:t>e oprávn</w:t>
      </w:r>
      <w:r w:rsidRPr="00C06EE5">
        <w:rPr>
          <w:rFonts w:hint="eastAsia"/>
        </w:rPr>
        <w:t>ě</w:t>
      </w:r>
      <w:r w:rsidRPr="00C06EE5">
        <w:t>ná strana též požadovat, aby obsah smlouvy ur</w:t>
      </w:r>
      <w:r w:rsidRPr="00C06EE5">
        <w:rPr>
          <w:rFonts w:hint="eastAsia"/>
        </w:rPr>
        <w:t>č</w:t>
      </w:r>
      <w:r w:rsidRPr="00C06EE5">
        <w:t>il soud</w:t>
      </w:r>
      <w:r w:rsidR="009B73BE" w:rsidRPr="00C06EE5">
        <w:t>,</w:t>
      </w:r>
      <w:r w:rsidRPr="00C06EE5">
        <w:t xml:space="preserve"> anebo m</w:t>
      </w:r>
      <w:r w:rsidRPr="00C06EE5">
        <w:rPr>
          <w:rFonts w:hint="eastAsia"/>
        </w:rPr>
        <w:t>ůž</w:t>
      </w:r>
      <w:r w:rsidRPr="00C06EE5">
        <w:t>e požadovat náhradu škody zp</w:t>
      </w:r>
      <w:r w:rsidRPr="00C06EE5">
        <w:rPr>
          <w:rFonts w:hint="eastAsia"/>
        </w:rPr>
        <w:t>ů</w:t>
      </w:r>
      <w:r w:rsidRPr="00C06EE5">
        <w:t>sobené jí porušením závazku uzav</w:t>
      </w:r>
      <w:r w:rsidRPr="00C06EE5">
        <w:rPr>
          <w:rFonts w:hint="eastAsia"/>
        </w:rPr>
        <w:t>ří</w:t>
      </w:r>
      <w:r w:rsidRPr="00C06EE5">
        <w:t xml:space="preserve">t smlouvu. </w:t>
      </w:r>
    </w:p>
    <w:p w14:paraId="5FC4D634" w14:textId="77777777" w:rsidR="00BF735E" w:rsidRPr="00C06EE5" w:rsidRDefault="00BF735E" w:rsidP="00BF735E">
      <w:pPr>
        <w:pStyle w:val="SmlXX"/>
        <w:numPr>
          <w:ilvl w:val="0"/>
          <w:numId w:val="0"/>
        </w:numPr>
        <w:ind w:left="1192"/>
      </w:pPr>
    </w:p>
    <w:p w14:paraId="1D5A7FF4" w14:textId="77777777" w:rsidR="003A4A30" w:rsidRPr="00C06EE5" w:rsidRDefault="003A4A30" w:rsidP="00556CE2">
      <w:pPr>
        <w:pStyle w:val="SmlX"/>
      </w:pPr>
      <w:r w:rsidRPr="00C06EE5">
        <w:t>Doložka</w:t>
      </w:r>
    </w:p>
    <w:p w14:paraId="33EB7F2B" w14:textId="77777777" w:rsidR="003A4A30" w:rsidRPr="00C06EE5" w:rsidRDefault="003A4A30" w:rsidP="003A4A30">
      <w:pPr>
        <w:pStyle w:val="SmlXX"/>
      </w:pPr>
      <w:r w:rsidRPr="00C06EE5">
        <w:t>Smluvní strany se dohodly, že veškeré majetkové spory, které by v budoucnu vznikly z této smlouvy, jakož i spory, které vzniknou v souvislosti s touto smlouvou, a to i v případě, že tato smlouva bude neplatná, zrušena nebo od ní bude odstoupeno (dále jen spory), budou rozhodovány v rozhodčím řízení v souladu se zákonem č. 216/1994 Sb., o rozhodčím řízení a výkonu rozhodčích nálezů.</w:t>
      </w:r>
    </w:p>
    <w:p w14:paraId="6C7A720E" w14:textId="77777777" w:rsidR="003A4A30" w:rsidRPr="00C06EE5" w:rsidRDefault="003A4A30" w:rsidP="003A4A30">
      <w:pPr>
        <w:pStyle w:val="SmlXX"/>
        <w:rPr>
          <w:rFonts w:eastAsia="Arial"/>
          <w:sz w:val="17"/>
          <w:szCs w:val="17"/>
        </w:rPr>
      </w:pPr>
      <w:r w:rsidRPr="00C06EE5">
        <w:t>Strany se dohodly, že spor bude rozhodovat rozhodce jmenovaný statutárním orgánem Společnosti rozhodců s.r.o., IČ</w:t>
      </w:r>
      <w:r w:rsidR="00790B69">
        <w:t>O</w:t>
      </w:r>
      <w:r w:rsidRPr="00C06EE5">
        <w:t xml:space="preserve"> </w:t>
      </w:r>
      <w:smartTag w:uri="urn:schemas-microsoft-com:office:smarttags" w:element="metricconverter">
        <w:smartTagPr>
          <w:attr w:name="ProductID" w:val="26816113 a"/>
        </w:smartTagPr>
        <w:r w:rsidRPr="00C06EE5">
          <w:t>26816113 a</w:t>
        </w:r>
      </w:smartTag>
      <w:r w:rsidRPr="00C06EE5">
        <w:t xml:space="preserve"> vybraný z řad advokátů zapsaných v seznamu vedeném Českou advokátní komorou.</w:t>
      </w:r>
      <w:r w:rsidRPr="00C06EE5">
        <w:rPr>
          <w:rFonts w:eastAsia="Arial"/>
          <w:sz w:val="17"/>
          <w:szCs w:val="17"/>
        </w:rPr>
        <w:t xml:space="preserve"> </w:t>
      </w:r>
    </w:p>
    <w:p w14:paraId="30767055" w14:textId="77777777" w:rsidR="003A4A30" w:rsidRPr="00C06EE5" w:rsidRDefault="003A4A30" w:rsidP="003A4A30">
      <w:pPr>
        <w:pStyle w:val="SmlXX"/>
      </w:pPr>
      <w:r w:rsidRPr="00C06EE5">
        <w:t xml:space="preserve">V souladu s ustanovením § 19 odst. 1 zákona č. 216/1994 Sb., se smluvní strany dohodly, že spor bude rozhodován bez ústního jednání, na základě písemných důkazů předložených stranami. Nebude-li však rozhodce písemné materiály považovat za dostačující, je oprávněn ústní jednání nařídit. Dále se smluvní strany dohodly, že rozhodci bude uhrazen poplatek za rozhodčí řízení ve výši 3,5% + DPH z hodnoty sporu, minimálně však 2.000,- Kč + DPH. Rozhodce zašle žalobu s výzvou k vyjádření žalovanému, který je povinen se vyjádřit do 10 dnů od doručení výzvy a spolu s vyjádřením předložit důkazy na podporu svých tvrzení. Smluvní strany výslovně pověřují rozhodce, že spor může rozhodnout podle zásad spravedlnosti. </w:t>
      </w:r>
    </w:p>
    <w:p w14:paraId="4AC0406C" w14:textId="77777777" w:rsidR="003A4A30" w:rsidRDefault="003A4A30" w:rsidP="003A4A30">
      <w:pPr>
        <w:pStyle w:val="SmlXX"/>
      </w:pPr>
      <w:r w:rsidRPr="00C06EE5">
        <w:t xml:space="preserve">Dále se smluvní strany dohodly, že doručování v rámci smluvního vztahu a v rozhodčím řízení se řídí příslušnými ustanoveními o.s.ř. a provádí se u podnikající fyzické osoby na adresu místa podnikání, u právnické osoby na adresu sídla zapsanou v příslušném rejstříku a u nepodnikající fyzické osoby na adresu uvedenou v záhlaví této smlouvy, když na tuto adresu nepodnikající fyzická osoba výslovně požaduje doručování zásilek jak druhou smluvní stranou, tak také rozhodcem. </w:t>
      </w:r>
    </w:p>
    <w:p w14:paraId="4C745D61" w14:textId="77777777" w:rsidR="00BF735E" w:rsidRPr="00C06EE5" w:rsidRDefault="00BF735E" w:rsidP="00BF735E">
      <w:pPr>
        <w:pStyle w:val="SmlXX"/>
        <w:numPr>
          <w:ilvl w:val="0"/>
          <w:numId w:val="0"/>
        </w:numPr>
        <w:ind w:left="1192"/>
      </w:pPr>
    </w:p>
    <w:p w14:paraId="272F2C87" w14:textId="77777777" w:rsidR="00571E01" w:rsidRPr="00C06EE5" w:rsidRDefault="00556CE2" w:rsidP="00556CE2">
      <w:pPr>
        <w:pStyle w:val="SmlX"/>
      </w:pPr>
      <w:r w:rsidRPr="00C06EE5">
        <w:t>Závěrečná ujednání</w:t>
      </w:r>
    </w:p>
    <w:p w14:paraId="57CC0C29" w14:textId="77777777" w:rsidR="00556CE2" w:rsidRPr="00C06EE5" w:rsidRDefault="00556CE2" w:rsidP="00556CE2">
      <w:pPr>
        <w:pStyle w:val="SmlXX"/>
      </w:pPr>
      <w:r w:rsidRPr="00C06EE5">
        <w:t>Ukončením výběrového řízení ve smyslu bodu 2.2 se pro účely této smlouvy rozumí uzavření smlouvy mezi budoucím objednatelem a zadav</w:t>
      </w:r>
      <w:r w:rsidR="00A00C02" w:rsidRPr="00C06EE5">
        <w:t>a</w:t>
      </w:r>
      <w:r w:rsidRPr="00C06EE5">
        <w:t xml:space="preserve">telem veřejné zakázky ve smyslu </w:t>
      </w:r>
      <w:proofErr w:type="spellStart"/>
      <w:r w:rsidRPr="00C06EE5">
        <w:t>ust</w:t>
      </w:r>
      <w:proofErr w:type="spellEnd"/>
      <w:r w:rsidRPr="00C06EE5">
        <w:t xml:space="preserve">. § </w:t>
      </w:r>
      <w:r w:rsidR="007A41A9" w:rsidRPr="00C06EE5">
        <w:t>124 a násl.</w:t>
      </w:r>
      <w:r w:rsidRPr="00C06EE5">
        <w:t xml:space="preserve"> zák. č. 13</w:t>
      </w:r>
      <w:r w:rsidR="007A41A9" w:rsidRPr="00C06EE5">
        <w:t>4</w:t>
      </w:r>
      <w:r w:rsidRPr="00C06EE5">
        <w:t>/20</w:t>
      </w:r>
      <w:r w:rsidR="007A41A9" w:rsidRPr="00C06EE5">
        <w:t>1</w:t>
      </w:r>
      <w:r w:rsidRPr="00C06EE5">
        <w:t>6 Sb., v platném znění.</w:t>
      </w:r>
    </w:p>
    <w:p w14:paraId="49FB67EC" w14:textId="77777777" w:rsidR="009B73BE" w:rsidRDefault="009B73BE" w:rsidP="009B73BE">
      <w:pPr>
        <w:pStyle w:val="SmlXX"/>
      </w:pPr>
      <w:r w:rsidRPr="00C06EE5">
        <w:t>Tuto smlouvu lze měnit nebo doplňovat jen formou průběžně číslovaných písemných dodatků, řádně potvrzených a podepsaných oprávněnými zástupci smluvních stran.</w:t>
      </w:r>
    </w:p>
    <w:p w14:paraId="4CCE9935" w14:textId="77777777" w:rsidR="009B73BE" w:rsidRPr="00C06EE5" w:rsidRDefault="009B73BE" w:rsidP="009B73BE">
      <w:pPr>
        <w:pStyle w:val="SmlXX"/>
      </w:pPr>
      <w:r w:rsidRPr="00C06EE5">
        <w:t>Smluvní strany po přečtení této smlouvy prohlašují, že souhlasí s jejím obsahem, že smlouva byla sepsána na základě pravdivých údajů, jejich pravé a svobodné vůle, vážně, určitě a srozumitelně, což stvrzují svým podpisem.</w:t>
      </w:r>
    </w:p>
    <w:p w14:paraId="2CD8633E" w14:textId="77777777" w:rsidR="009B73BE" w:rsidRPr="00C06EE5" w:rsidRDefault="009B73BE" w:rsidP="009B73BE">
      <w:pPr>
        <w:pStyle w:val="SmlXX"/>
      </w:pPr>
      <w:r w:rsidRPr="00C06EE5">
        <w:t>Smlouva nabývá platnosti dnem jejího podpisu oběma smluvními stranami.</w:t>
      </w:r>
    </w:p>
    <w:p w14:paraId="046404F6" w14:textId="77777777" w:rsidR="00B948B3" w:rsidRPr="00C06EE5" w:rsidRDefault="00B948B3" w:rsidP="00B948B3">
      <w:pPr>
        <w:pStyle w:val="SmlXX"/>
      </w:pPr>
      <w:r w:rsidRPr="00C06EE5">
        <w:t>Smlouva nabývá účinnosti dnem jejího uveřejnění v registru smluv.</w:t>
      </w:r>
    </w:p>
    <w:p w14:paraId="0C1F1721" w14:textId="77777777" w:rsidR="00B948B3" w:rsidRPr="00C06EE5" w:rsidRDefault="00B948B3" w:rsidP="00B948B3">
      <w:pPr>
        <w:pStyle w:val="SmlXX"/>
      </w:pPr>
      <w:r w:rsidRPr="00C06EE5">
        <w:lastRenderedPageBreak/>
        <w:t>Smluvní strany se dohodly, že Správa a údržba silnic Zlínska, s.r.o. v zákonné lhůtě odešle smlouvu k řádnému uveřejnění do registru smluv vedeného Ministerstvem vnitra ČR.</w:t>
      </w:r>
    </w:p>
    <w:p w14:paraId="1FC70496" w14:textId="77777777" w:rsidR="009B73BE" w:rsidRPr="00C06EE5" w:rsidRDefault="009B73BE" w:rsidP="009B73BE">
      <w:pPr>
        <w:pStyle w:val="SmlXX"/>
      </w:pPr>
      <w:r w:rsidRPr="00C06EE5">
        <w:t>Tato smlouva je vyhotovena ve 2 stejnopisech, z nichž každá smluvní strana obdrží po jednom.</w:t>
      </w:r>
    </w:p>
    <w:p w14:paraId="3107BFCA" w14:textId="77777777" w:rsidR="00C300D2" w:rsidRPr="00C06EE5" w:rsidRDefault="00C300D2" w:rsidP="00C300D2">
      <w:pPr>
        <w:pStyle w:val="SmlX"/>
        <w:numPr>
          <w:ilvl w:val="0"/>
          <w:numId w:val="0"/>
        </w:numPr>
        <w:ind w:left="624"/>
      </w:pPr>
    </w:p>
    <w:p w14:paraId="1155854C" w14:textId="77777777" w:rsidR="0079298C" w:rsidRPr="00C06EE5" w:rsidRDefault="00BF5F58" w:rsidP="0079298C">
      <w:pPr>
        <w:pStyle w:val="SmlXX"/>
        <w:numPr>
          <w:ilvl w:val="0"/>
          <w:numId w:val="0"/>
        </w:numPr>
      </w:pPr>
      <w:r>
        <w:tab/>
      </w:r>
      <w:r w:rsidR="009B73BE" w:rsidRPr="00C06EE5">
        <w:t>V</w:t>
      </w:r>
      <w:r w:rsidR="00C300D2" w:rsidRPr="00C06EE5">
        <w:t xml:space="preserve"> Hranicích </w:t>
      </w:r>
      <w:r w:rsidR="009B73BE" w:rsidRPr="00C06EE5">
        <w:t>dne</w:t>
      </w:r>
      <w:r w:rsidR="00C300D2" w:rsidRPr="00C06EE5">
        <w:t xml:space="preserve"> 6. </w:t>
      </w:r>
      <w:r w:rsidR="00790B69">
        <w:t>5</w:t>
      </w:r>
      <w:r w:rsidR="00C300D2" w:rsidRPr="00C06EE5">
        <w:t>. 2020</w:t>
      </w:r>
      <w:r w:rsidR="0079298C" w:rsidRPr="00C06EE5">
        <w:tab/>
      </w:r>
      <w:r w:rsidR="0079298C" w:rsidRPr="00C06EE5">
        <w:tab/>
      </w:r>
      <w:r w:rsidR="0079298C" w:rsidRPr="00C06EE5">
        <w:tab/>
      </w:r>
      <w:r w:rsidR="0079298C" w:rsidRPr="00C06EE5">
        <w:tab/>
      </w:r>
      <w:r w:rsidR="0079298C" w:rsidRPr="00C06EE5">
        <w:tab/>
        <w:t xml:space="preserve">         V</w:t>
      </w:r>
      <w:r w:rsidR="00C300D2" w:rsidRPr="00C06EE5">
        <w:t xml:space="preserve">e Zlíně </w:t>
      </w:r>
      <w:r w:rsidR="0079298C" w:rsidRPr="00C06EE5">
        <w:t>dne</w:t>
      </w:r>
      <w:r w:rsidR="00C300D2" w:rsidRPr="00C06EE5">
        <w:t xml:space="preserve"> 6. </w:t>
      </w:r>
      <w:r w:rsidR="00790B69">
        <w:t>5</w:t>
      </w:r>
      <w:r w:rsidR="00C300D2" w:rsidRPr="00C06EE5">
        <w:t>. 2020</w:t>
      </w:r>
    </w:p>
    <w:p w14:paraId="18E77114" w14:textId="77777777" w:rsidR="009B73BE" w:rsidRPr="00C06EE5" w:rsidRDefault="009B73BE" w:rsidP="0079298C">
      <w:pPr>
        <w:pStyle w:val="SmlXX"/>
        <w:numPr>
          <w:ilvl w:val="0"/>
          <w:numId w:val="0"/>
        </w:numPr>
      </w:pPr>
    </w:p>
    <w:p w14:paraId="01E9D626" w14:textId="77777777" w:rsidR="009B73BE" w:rsidRPr="00C06EE5" w:rsidRDefault="009B73BE" w:rsidP="009B73BE">
      <w:pPr>
        <w:pStyle w:val="SmlXX"/>
        <w:numPr>
          <w:ilvl w:val="0"/>
          <w:numId w:val="0"/>
        </w:numPr>
        <w:ind w:left="624"/>
        <w:jc w:val="center"/>
      </w:pPr>
    </w:p>
    <w:p w14:paraId="02C92708" w14:textId="77777777" w:rsidR="009B73BE" w:rsidRPr="00C06EE5" w:rsidRDefault="009B73BE" w:rsidP="009B73BE">
      <w:pPr>
        <w:pStyle w:val="SmlXX"/>
        <w:numPr>
          <w:ilvl w:val="0"/>
          <w:numId w:val="0"/>
        </w:numPr>
        <w:ind w:left="624"/>
        <w:jc w:val="center"/>
      </w:pPr>
    </w:p>
    <w:p w14:paraId="79EB0C5C" w14:textId="77777777" w:rsidR="009B73BE" w:rsidRPr="00C06EE5" w:rsidRDefault="009B73BE" w:rsidP="009B73BE">
      <w:pPr>
        <w:pStyle w:val="SmlXX"/>
        <w:numPr>
          <w:ilvl w:val="0"/>
          <w:numId w:val="0"/>
        </w:numPr>
        <w:ind w:left="624" w:hanging="624"/>
      </w:pPr>
      <w:r w:rsidRPr="00C06EE5">
        <w:tab/>
      </w:r>
      <w:r w:rsidR="00EA003A">
        <w:t xml:space="preserve">    </w:t>
      </w:r>
      <w:r w:rsidRPr="00C06EE5">
        <w:t>----------------------------</w:t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="00EA003A">
        <w:tab/>
      </w:r>
      <w:r w:rsidRPr="00C06EE5">
        <w:tab/>
      </w:r>
      <w:r w:rsidRPr="00C06EE5">
        <w:tab/>
        <w:t>------------------------------</w:t>
      </w:r>
    </w:p>
    <w:p w14:paraId="49462DF0" w14:textId="77777777" w:rsidR="00C300D2" w:rsidRPr="00C06EE5" w:rsidRDefault="00C300D2" w:rsidP="00C300D2">
      <w:pPr>
        <w:pStyle w:val="SmlXX"/>
        <w:numPr>
          <w:ilvl w:val="0"/>
          <w:numId w:val="0"/>
        </w:numPr>
        <w:tabs>
          <w:tab w:val="left" w:pos="1240"/>
        </w:tabs>
        <w:jc w:val="left"/>
      </w:pPr>
      <w:r w:rsidRPr="00C06EE5">
        <w:tab/>
        <w:t>Jiří Pavlištík</w:t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</w:r>
      <w:r w:rsidRPr="00C06EE5">
        <w:tab/>
        <w:t xml:space="preserve">   </w:t>
      </w:r>
      <w:r w:rsidR="00790B69">
        <w:t xml:space="preserve"> </w:t>
      </w:r>
      <w:r w:rsidRPr="00C06EE5">
        <w:t xml:space="preserve"> Ing. Vladimír Kutý</w:t>
      </w:r>
    </w:p>
    <w:p w14:paraId="245D2096" w14:textId="77777777" w:rsidR="009B73BE" w:rsidRPr="00C06EE5" w:rsidRDefault="00790B69" w:rsidP="009B73BE">
      <w:pPr>
        <w:pStyle w:val="SmlXX"/>
        <w:numPr>
          <w:ilvl w:val="0"/>
          <w:numId w:val="0"/>
        </w:numPr>
        <w:jc w:val="center"/>
      </w:pPr>
      <w:r>
        <w:t xml:space="preserve">      </w:t>
      </w:r>
      <w:r w:rsidR="009B73BE" w:rsidRPr="00C06EE5">
        <w:t xml:space="preserve">budoucí </w:t>
      </w:r>
      <w:r>
        <w:t>nájemce</w:t>
      </w:r>
      <w:r w:rsidR="009B73BE" w:rsidRPr="00C06EE5">
        <w:t xml:space="preserve"> </w:t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</w:r>
      <w:r w:rsidR="009B73BE" w:rsidRPr="00C06EE5">
        <w:tab/>
        <w:t xml:space="preserve">          budoucí </w:t>
      </w:r>
      <w:r>
        <w:t>pronajímatel</w:t>
      </w:r>
    </w:p>
    <w:sectPr w:rsidR="009B73BE" w:rsidRPr="00C06EE5" w:rsidSect="008C6613">
      <w:foot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196F" w14:textId="77777777" w:rsidR="0001745A" w:rsidRDefault="0001745A" w:rsidP="00936DF3">
      <w:r>
        <w:separator/>
      </w:r>
    </w:p>
  </w:endnote>
  <w:endnote w:type="continuationSeparator" w:id="0">
    <w:p w14:paraId="66AFC39B" w14:textId="77777777" w:rsidR="0001745A" w:rsidRDefault="0001745A" w:rsidP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F083" w14:textId="77777777" w:rsidR="009B73BE" w:rsidRDefault="0061420A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5672">
      <w:rPr>
        <w:noProof/>
      </w:rPr>
      <w:t>3</w:t>
    </w:r>
    <w:r>
      <w:rPr>
        <w:noProof/>
      </w:rPr>
      <w:fldChar w:fldCharType="end"/>
    </w:r>
  </w:p>
  <w:p w14:paraId="62929925" w14:textId="77777777" w:rsidR="009B73BE" w:rsidRDefault="009B7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19AB2" w14:textId="77777777" w:rsidR="0001745A" w:rsidRDefault="0001745A" w:rsidP="00936DF3">
      <w:r>
        <w:separator/>
      </w:r>
    </w:p>
  </w:footnote>
  <w:footnote w:type="continuationSeparator" w:id="0">
    <w:p w14:paraId="0DFD7631" w14:textId="77777777" w:rsidR="0001745A" w:rsidRDefault="0001745A" w:rsidP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047"/>
    <w:multiLevelType w:val="hybridMultilevel"/>
    <w:tmpl w:val="817AB186"/>
    <w:lvl w:ilvl="0" w:tplc="3CFE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F53DC"/>
    <w:multiLevelType w:val="multilevel"/>
    <w:tmpl w:val="14A4250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1192"/>
        </w:tabs>
        <w:ind w:left="1192" w:hanging="624"/>
      </w:pPr>
      <w:rPr>
        <w:rFonts w:hint="default"/>
        <w:sz w:val="23"/>
        <w:szCs w:val="23"/>
      </w:rPr>
    </w:lvl>
    <w:lvl w:ilvl="2">
      <w:start w:val="1"/>
      <w:numFmt w:val="decimal"/>
      <w:pStyle w:val="SmlXXX"/>
      <w:lvlText w:val="%1.%2.%3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3200A3"/>
    <w:multiLevelType w:val="hybridMultilevel"/>
    <w:tmpl w:val="940AAF8C"/>
    <w:lvl w:ilvl="0" w:tplc="9B3484C8">
      <w:numFmt w:val="bullet"/>
      <w:lvlText w:val="-"/>
      <w:lvlJc w:val="left"/>
      <w:pPr>
        <w:ind w:left="984" w:hanging="360"/>
      </w:pPr>
      <w:rPr>
        <w:rFonts w:ascii="Gentium" w:eastAsia="Times New Roman" w:hAnsi="Gent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882692"/>
    <w:multiLevelType w:val="hybridMultilevel"/>
    <w:tmpl w:val="F9B2D7B4"/>
    <w:lvl w:ilvl="0" w:tplc="2DB01F76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B20C5"/>
    <w:multiLevelType w:val="multilevel"/>
    <w:tmpl w:val="7322705C"/>
    <w:lvl w:ilvl="0">
      <w:start w:val="1"/>
      <w:numFmt w:val="upperRoman"/>
      <w:pStyle w:val="Xmsk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Ods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33"/>
    <w:rsid w:val="0001745A"/>
    <w:rsid w:val="0002334F"/>
    <w:rsid w:val="00083B24"/>
    <w:rsid w:val="00126F44"/>
    <w:rsid w:val="001447BD"/>
    <w:rsid w:val="001507AE"/>
    <w:rsid w:val="001764FC"/>
    <w:rsid w:val="001F6100"/>
    <w:rsid w:val="00247308"/>
    <w:rsid w:val="00282EA1"/>
    <w:rsid w:val="0029418D"/>
    <w:rsid w:val="002A0FF8"/>
    <w:rsid w:val="002B3148"/>
    <w:rsid w:val="00310D3C"/>
    <w:rsid w:val="00334AAA"/>
    <w:rsid w:val="00335F6F"/>
    <w:rsid w:val="00337AE8"/>
    <w:rsid w:val="0035173C"/>
    <w:rsid w:val="0038587A"/>
    <w:rsid w:val="003A4A30"/>
    <w:rsid w:val="003B3A25"/>
    <w:rsid w:val="003D3972"/>
    <w:rsid w:val="00412F3B"/>
    <w:rsid w:val="00463DA7"/>
    <w:rsid w:val="00470DEA"/>
    <w:rsid w:val="0052604C"/>
    <w:rsid w:val="00533998"/>
    <w:rsid w:val="00544EEC"/>
    <w:rsid w:val="005478D0"/>
    <w:rsid w:val="00556CE2"/>
    <w:rsid w:val="00571E01"/>
    <w:rsid w:val="005B0D55"/>
    <w:rsid w:val="005C6B20"/>
    <w:rsid w:val="005E078E"/>
    <w:rsid w:val="005F400E"/>
    <w:rsid w:val="0061420A"/>
    <w:rsid w:val="00646D22"/>
    <w:rsid w:val="00652AA0"/>
    <w:rsid w:val="00664B95"/>
    <w:rsid w:val="00682B28"/>
    <w:rsid w:val="0068523E"/>
    <w:rsid w:val="006F7B68"/>
    <w:rsid w:val="007701A2"/>
    <w:rsid w:val="00790B69"/>
    <w:rsid w:val="0079298C"/>
    <w:rsid w:val="007A0BE3"/>
    <w:rsid w:val="007A41A9"/>
    <w:rsid w:val="007D0986"/>
    <w:rsid w:val="007F5672"/>
    <w:rsid w:val="00826A59"/>
    <w:rsid w:val="00844D68"/>
    <w:rsid w:val="008533EC"/>
    <w:rsid w:val="00855C95"/>
    <w:rsid w:val="00862D4B"/>
    <w:rsid w:val="00872536"/>
    <w:rsid w:val="00876855"/>
    <w:rsid w:val="008C141A"/>
    <w:rsid w:val="008C6613"/>
    <w:rsid w:val="008D1A3B"/>
    <w:rsid w:val="008D3D2F"/>
    <w:rsid w:val="00902372"/>
    <w:rsid w:val="00935455"/>
    <w:rsid w:val="00936DF3"/>
    <w:rsid w:val="0096567B"/>
    <w:rsid w:val="009A1F56"/>
    <w:rsid w:val="009B73BE"/>
    <w:rsid w:val="009D51C2"/>
    <w:rsid w:val="009E4623"/>
    <w:rsid w:val="00A00C02"/>
    <w:rsid w:val="00A13F24"/>
    <w:rsid w:val="00A15B21"/>
    <w:rsid w:val="00A55386"/>
    <w:rsid w:val="00AB0791"/>
    <w:rsid w:val="00AC274D"/>
    <w:rsid w:val="00AE7933"/>
    <w:rsid w:val="00B300B0"/>
    <w:rsid w:val="00B52E0B"/>
    <w:rsid w:val="00B563AC"/>
    <w:rsid w:val="00B6422A"/>
    <w:rsid w:val="00B948B3"/>
    <w:rsid w:val="00BD4999"/>
    <w:rsid w:val="00BE0412"/>
    <w:rsid w:val="00BE5B38"/>
    <w:rsid w:val="00BF5F58"/>
    <w:rsid w:val="00BF735E"/>
    <w:rsid w:val="00C06EE5"/>
    <w:rsid w:val="00C300D2"/>
    <w:rsid w:val="00C86B36"/>
    <w:rsid w:val="00CC1624"/>
    <w:rsid w:val="00CD05B1"/>
    <w:rsid w:val="00CD1E09"/>
    <w:rsid w:val="00CE34C6"/>
    <w:rsid w:val="00D02C87"/>
    <w:rsid w:val="00D313F6"/>
    <w:rsid w:val="00D50D6C"/>
    <w:rsid w:val="00DB4FC2"/>
    <w:rsid w:val="00DD0733"/>
    <w:rsid w:val="00DE7CF9"/>
    <w:rsid w:val="00E80825"/>
    <w:rsid w:val="00EA003A"/>
    <w:rsid w:val="00EA45F6"/>
    <w:rsid w:val="00ED0D52"/>
    <w:rsid w:val="00EF2AA6"/>
    <w:rsid w:val="00F141A7"/>
    <w:rsid w:val="00F62E59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7E1F6"/>
  <w15:docId w15:val="{16C8CFE0-36FC-4746-8261-0037D22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55"/>
    <w:rPr>
      <w:rFonts w:ascii="Gentium" w:hAnsi="Gentium"/>
      <w:sz w:val="23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872536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25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5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5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25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25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253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253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253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2536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25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536"/>
    <w:rPr>
      <w:rFonts w:ascii="Cambria" w:eastAsia="Times New Roman" w:hAnsi="Cambria" w:cs="Times New Roman"/>
      <w:b/>
      <w:bCs/>
      <w:color w:val="4F81BD"/>
      <w:sz w:val="23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536"/>
    <w:rPr>
      <w:rFonts w:ascii="Cambria" w:eastAsia="Times New Roman" w:hAnsi="Cambria" w:cs="Times New Roman"/>
      <w:b/>
      <w:bCs/>
      <w:i/>
      <w:iCs/>
      <w:color w:val="4F81BD"/>
      <w:sz w:val="23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2536"/>
    <w:rPr>
      <w:rFonts w:ascii="Cambria" w:eastAsia="Times New Roman" w:hAnsi="Cambria" w:cs="Times New Roman"/>
      <w:color w:val="243F60"/>
      <w:sz w:val="23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2536"/>
    <w:rPr>
      <w:rFonts w:ascii="Cambria" w:eastAsia="Times New Roman" w:hAnsi="Cambria" w:cs="Times New Roman"/>
      <w:i/>
      <w:iCs/>
      <w:color w:val="243F60"/>
      <w:sz w:val="23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2536"/>
    <w:rPr>
      <w:rFonts w:ascii="Cambria" w:eastAsia="Times New Roman" w:hAnsi="Cambria" w:cs="Times New Roman"/>
      <w:i/>
      <w:iCs/>
      <w:color w:val="404040"/>
      <w:sz w:val="23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2536"/>
    <w:rPr>
      <w:rFonts w:ascii="Cambria" w:eastAsia="Times New Roman" w:hAnsi="Cambria" w:cs="Times New Roman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2536"/>
    <w:rPr>
      <w:rFonts w:ascii="Cambria" w:eastAsia="Times New Roman" w:hAnsi="Cambria" w:cs="Times New Roman"/>
      <w:i/>
      <w:iCs/>
      <w:color w:val="404040"/>
    </w:rPr>
  </w:style>
  <w:style w:type="paragraph" w:customStyle="1" w:styleId="Nadpis">
    <w:name w:val="Nadpis"/>
    <w:basedOn w:val="Normln"/>
    <w:next w:val="Normln"/>
    <w:uiPriority w:val="7"/>
    <w:qFormat/>
    <w:rsid w:val="00872536"/>
    <w:rPr>
      <w:i/>
      <w:sz w:val="32"/>
      <w:szCs w:val="32"/>
    </w:rPr>
  </w:style>
  <w:style w:type="paragraph" w:customStyle="1" w:styleId="Odstavec">
    <w:name w:val="Odstavec"/>
    <w:basedOn w:val="Normln"/>
    <w:uiPriority w:val="1"/>
    <w:qFormat/>
    <w:rsid w:val="00872536"/>
    <w:pPr>
      <w:spacing w:line="288" w:lineRule="auto"/>
      <w:jc w:val="both"/>
    </w:pPr>
  </w:style>
  <w:style w:type="paragraph" w:customStyle="1" w:styleId="Odst">
    <w:name w:val="Odst."/>
    <w:basedOn w:val="Normln"/>
    <w:uiPriority w:val="3"/>
    <w:qFormat/>
    <w:rsid w:val="00872536"/>
    <w:pPr>
      <w:spacing w:line="288" w:lineRule="auto"/>
      <w:ind w:firstLine="454"/>
      <w:jc w:val="both"/>
    </w:pPr>
  </w:style>
  <w:style w:type="paragraph" w:customStyle="1" w:styleId="msktitulek">
    <w:name w:val="Římská titulek"/>
    <w:basedOn w:val="Normln"/>
    <w:next w:val="Odst"/>
    <w:uiPriority w:val="6"/>
    <w:qFormat/>
    <w:rsid w:val="00872536"/>
    <w:pPr>
      <w:jc w:val="center"/>
    </w:pPr>
    <w:rPr>
      <w:sz w:val="26"/>
      <w:szCs w:val="26"/>
    </w:rPr>
  </w:style>
  <w:style w:type="paragraph" w:customStyle="1" w:styleId="1Odst">
    <w:name w:val="(1) Odst."/>
    <w:basedOn w:val="Odst"/>
    <w:next w:val="Odst"/>
    <w:uiPriority w:val="2"/>
    <w:qFormat/>
    <w:rsid w:val="00872536"/>
    <w:pPr>
      <w:numPr>
        <w:ilvl w:val="1"/>
        <w:numId w:val="2"/>
      </w:numPr>
      <w:ind w:firstLine="454"/>
    </w:pPr>
  </w:style>
  <w:style w:type="paragraph" w:customStyle="1" w:styleId="Xmsk">
    <w:name w:val="X. Římská"/>
    <w:basedOn w:val="Normln"/>
    <w:next w:val="Odst"/>
    <w:uiPriority w:val="5"/>
    <w:qFormat/>
    <w:rsid w:val="00872536"/>
    <w:pPr>
      <w:numPr>
        <w:numId w:val="2"/>
      </w:numPr>
      <w:jc w:val="center"/>
    </w:pPr>
    <w:rPr>
      <w:sz w:val="26"/>
      <w:szCs w:val="26"/>
    </w:rPr>
  </w:style>
  <w:style w:type="paragraph" w:customStyle="1" w:styleId="Rubrika">
    <w:name w:val="Rubrika"/>
    <w:basedOn w:val="Normln"/>
    <w:uiPriority w:val="4"/>
    <w:qFormat/>
    <w:rsid w:val="00872536"/>
    <w:rPr>
      <w:sz w:val="22"/>
    </w:rPr>
  </w:style>
  <w:style w:type="paragraph" w:customStyle="1" w:styleId="NadpisP">
    <w:name w:val="Nadpis P"/>
    <w:basedOn w:val="Normln"/>
    <w:uiPriority w:val="8"/>
    <w:qFormat/>
    <w:rsid w:val="00872536"/>
    <w:pPr>
      <w:jc w:val="center"/>
    </w:pPr>
    <w:rPr>
      <w:sz w:val="34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872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2536"/>
    <w:rPr>
      <w:rFonts w:ascii="Gentium" w:eastAsia="Times New Roman" w:hAnsi="Gentium" w:cs="Times New Roman"/>
      <w:sz w:val="23"/>
      <w:szCs w:val="22"/>
    </w:rPr>
  </w:style>
  <w:style w:type="paragraph" w:styleId="Zpat">
    <w:name w:val="footer"/>
    <w:basedOn w:val="Normln"/>
    <w:link w:val="ZpatChar"/>
    <w:uiPriority w:val="99"/>
    <w:unhideWhenUsed/>
    <w:rsid w:val="00872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536"/>
    <w:rPr>
      <w:rFonts w:ascii="Gentium" w:eastAsia="Times New Roman" w:hAnsi="Gentium" w:cs="Times New Roman"/>
      <w:sz w:val="23"/>
      <w:szCs w:val="22"/>
    </w:rPr>
  </w:style>
  <w:style w:type="paragraph" w:customStyle="1" w:styleId="SmlX">
    <w:name w:val="Sml X."/>
    <w:basedOn w:val="Sml"/>
    <w:next w:val="SmlXX"/>
    <w:uiPriority w:val="9"/>
    <w:qFormat/>
    <w:rsid w:val="00872536"/>
    <w:pPr>
      <w:keepNext/>
      <w:numPr>
        <w:numId w:val="11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uiPriority w:val="11"/>
    <w:qFormat/>
    <w:rsid w:val="00872536"/>
    <w:pPr>
      <w:numPr>
        <w:ilvl w:val="1"/>
        <w:numId w:val="11"/>
      </w:numPr>
      <w:tabs>
        <w:tab w:val="clear" w:pos="624"/>
      </w:tabs>
      <w:spacing w:before="200"/>
      <w:jc w:val="both"/>
    </w:pPr>
  </w:style>
  <w:style w:type="paragraph" w:customStyle="1" w:styleId="Smlnesl">
    <w:name w:val="Sml. nečísl."/>
    <w:basedOn w:val="Sml"/>
    <w:next w:val="SmlXX"/>
    <w:uiPriority w:val="21"/>
    <w:qFormat/>
    <w:rsid w:val="00872536"/>
    <w:pPr>
      <w:spacing w:before="120"/>
      <w:ind w:left="624"/>
      <w:jc w:val="both"/>
    </w:pPr>
  </w:style>
  <w:style w:type="paragraph" w:customStyle="1" w:styleId="Sml">
    <w:name w:val="Sml."/>
    <w:basedOn w:val="Normln"/>
    <w:uiPriority w:val="22"/>
    <w:rsid w:val="00872536"/>
    <w:pPr>
      <w:tabs>
        <w:tab w:val="left" w:pos="624"/>
        <w:tab w:val="left" w:pos="1077"/>
        <w:tab w:val="left" w:pos="1531"/>
        <w:tab w:val="left" w:pos="1985"/>
      </w:tabs>
    </w:pPr>
  </w:style>
  <w:style w:type="paragraph" w:customStyle="1" w:styleId="SmlXXX">
    <w:name w:val="Sml. X.X.X"/>
    <w:basedOn w:val="Sml"/>
    <w:uiPriority w:val="12"/>
    <w:qFormat/>
    <w:rsid w:val="00872536"/>
    <w:pPr>
      <w:numPr>
        <w:ilvl w:val="2"/>
        <w:numId w:val="11"/>
      </w:numPr>
      <w:tabs>
        <w:tab w:val="clear" w:pos="624"/>
      </w:tabs>
      <w:spacing w:before="120"/>
      <w:jc w:val="both"/>
    </w:pPr>
  </w:style>
  <w:style w:type="paragraph" w:customStyle="1" w:styleId="Sml0">
    <w:name w:val="Sml. 0"/>
    <w:basedOn w:val="Normln"/>
    <w:uiPriority w:val="10"/>
    <w:qFormat/>
    <w:rsid w:val="00826A59"/>
    <w:pPr>
      <w:ind w:left="624"/>
      <w:jc w:val="both"/>
    </w:pPr>
    <w:rPr>
      <w:rFonts w:ascii="Times New Roman" w:hAnsi="Times New Roman"/>
      <w:sz w:val="22"/>
    </w:rPr>
  </w:style>
  <w:style w:type="paragraph" w:customStyle="1" w:styleId="Prosttext1">
    <w:name w:val="Prostý text1"/>
    <w:basedOn w:val="Normln"/>
    <w:rsid w:val="003A4A30"/>
    <w:pPr>
      <w:widowControl w:val="0"/>
      <w:suppressAutoHyphens/>
      <w:overflowPunct w:val="0"/>
      <w:autoSpaceDE w:val="0"/>
      <w:textAlignment w:val="baseline"/>
    </w:pPr>
    <w:rPr>
      <w:rFonts w:ascii="Courier New" w:hAnsi="Courier New"/>
      <w:b/>
      <w:sz w:val="20"/>
      <w:szCs w:val="20"/>
      <w:lang w:eastAsia="ar-SA"/>
    </w:rPr>
  </w:style>
  <w:style w:type="paragraph" w:customStyle="1" w:styleId="Text">
    <w:name w:val="Text"/>
    <w:basedOn w:val="Normln"/>
    <w:rsid w:val="00C300D2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A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</Template>
  <TotalTime>17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Andrea Kuníčková</cp:lastModifiedBy>
  <cp:revision>5</cp:revision>
  <cp:lastPrinted>2020-05-05T15:27:00Z</cp:lastPrinted>
  <dcterms:created xsi:type="dcterms:W3CDTF">2020-05-06T05:52:00Z</dcterms:created>
  <dcterms:modified xsi:type="dcterms:W3CDTF">2020-05-06T10:20:00Z</dcterms:modified>
</cp:coreProperties>
</file>