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37A" w:rsidRDefault="00AF337A" w:rsidP="00AF3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DODATEK č. </w:t>
      </w:r>
      <w:r w:rsidR="00D95E80">
        <w:rPr>
          <w:rFonts w:ascii="Times New Roman" w:hAnsi="Times New Roman" w:cs="Times New Roman"/>
          <w:b/>
          <w:bCs/>
          <w:sz w:val="36"/>
          <w:szCs w:val="36"/>
        </w:rPr>
        <w:t>1</w:t>
      </w:r>
    </w:p>
    <w:p w:rsidR="00AF337A" w:rsidRDefault="00AF337A" w:rsidP="00AF3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k Zápisu o přenechání nemovitého majetku </w:t>
      </w:r>
      <w:r w:rsidR="00D95E80">
        <w:rPr>
          <w:rFonts w:ascii="Times New Roman" w:hAnsi="Times New Roman" w:cs="Times New Roman"/>
          <w:b/>
          <w:bCs/>
          <w:sz w:val="36"/>
          <w:szCs w:val="36"/>
        </w:rPr>
        <w:br/>
        <w:t>k bezplatnému užívání</w:t>
      </w:r>
    </w:p>
    <w:p w:rsidR="00AF337A" w:rsidRDefault="00AF337A" w:rsidP="00AF3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 dne </w:t>
      </w:r>
      <w:r w:rsidR="00D95E80">
        <w:rPr>
          <w:rFonts w:ascii="Times New Roman" w:hAnsi="Times New Roman" w:cs="Times New Roman"/>
          <w:b/>
          <w:bCs/>
          <w:sz w:val="24"/>
          <w:szCs w:val="24"/>
        </w:rPr>
        <w:t>5.1.2017</w:t>
      </w:r>
    </w:p>
    <w:p w:rsidR="00AF337A" w:rsidRDefault="00AF337A" w:rsidP="00AF33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337A" w:rsidRDefault="00AF337A" w:rsidP="00AF33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5E80" w:rsidRPr="000F64EE" w:rsidRDefault="00D95E80" w:rsidP="00D95E80">
      <w:pPr>
        <w:numPr>
          <w:ilvl w:val="0"/>
          <w:numId w:val="5"/>
        </w:numPr>
        <w:spacing w:after="0" w:line="300" w:lineRule="exac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Česká republika – Český</w:t>
      </w:r>
      <w:r w:rsidRPr="005D16A3">
        <w:rPr>
          <w:rFonts w:ascii="Times New Roman" w:hAnsi="Times New Roman" w:cs="Times New Roman"/>
          <w:b/>
          <w:bCs/>
          <w:sz w:val="24"/>
          <w:szCs w:val="24"/>
        </w:rPr>
        <w:t xml:space="preserve"> báňský úřad</w:t>
      </w:r>
      <w:r w:rsidRPr="005D16A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D16A3">
        <w:rPr>
          <w:rFonts w:ascii="Times New Roman" w:hAnsi="Times New Roman" w:cs="Times New Roman"/>
          <w:sz w:val="24"/>
          <w:szCs w:val="24"/>
        </w:rPr>
        <w:t>se sídlem Kozí 4/748, 110 01 Praha 1</w:t>
      </w:r>
      <w:r w:rsidRPr="005D16A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D16A3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D16A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00025844</w:t>
      </w:r>
      <w:r w:rsidRPr="005D16A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</w:t>
      </w:r>
      <w:r w:rsidRPr="005D16A3">
        <w:rPr>
          <w:rFonts w:ascii="Times New Roman" w:hAnsi="Times New Roman" w:cs="Times New Roman"/>
          <w:sz w:val="24"/>
          <w:szCs w:val="24"/>
        </w:rPr>
        <w:t xml:space="preserve">astoupený Ing. </w:t>
      </w:r>
      <w:r>
        <w:rPr>
          <w:rFonts w:ascii="Times New Roman" w:hAnsi="Times New Roman" w:cs="Times New Roman"/>
          <w:sz w:val="24"/>
          <w:szCs w:val="24"/>
        </w:rPr>
        <w:t xml:space="preserve">Martinem Štemberkou, </w:t>
      </w:r>
      <w:r w:rsidRPr="005D16A3">
        <w:rPr>
          <w:rFonts w:ascii="Times New Roman" w:hAnsi="Times New Roman" w:cs="Times New Roman"/>
          <w:sz w:val="24"/>
          <w:szCs w:val="24"/>
        </w:rPr>
        <w:t>předsedou Českého báňského úřadu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Bankovní spojení: Česká národní banka, číslo účtu 4021001/0710</w:t>
      </w:r>
      <w:r w:rsidRPr="000F64EE">
        <w:rPr>
          <w:rFonts w:ascii="Times New Roman" w:hAnsi="Times New Roman" w:cs="Times New Roman"/>
          <w:sz w:val="24"/>
          <w:szCs w:val="24"/>
        </w:rPr>
        <w:br/>
        <w:t xml:space="preserve">(dále jen </w:t>
      </w:r>
      <w:r w:rsidRPr="000F64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vlastník</w:t>
      </w:r>
      <w:r w:rsidRPr="000F64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Pr="000F64EE">
        <w:rPr>
          <w:rFonts w:ascii="Times New Roman" w:hAnsi="Times New Roman" w:cs="Times New Roman"/>
          <w:sz w:val="24"/>
          <w:szCs w:val="24"/>
        </w:rPr>
        <w:t>)</w:t>
      </w:r>
    </w:p>
    <w:p w:rsidR="00D95E80" w:rsidRDefault="00D95E80" w:rsidP="00D95E80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5E80" w:rsidRDefault="00D95E80" w:rsidP="00D95E8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95E80" w:rsidRDefault="00D95E80" w:rsidP="00D95E80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5E80" w:rsidRPr="00B95C81" w:rsidRDefault="00D95E80" w:rsidP="00D95E80">
      <w:pPr>
        <w:numPr>
          <w:ilvl w:val="0"/>
          <w:numId w:val="5"/>
        </w:numPr>
        <w:spacing w:after="0" w:line="300" w:lineRule="exact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Puncovní úřad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Pr="005D16A3">
        <w:rPr>
          <w:rFonts w:ascii="Times New Roman" w:hAnsi="Times New Roman" w:cs="Times New Roman"/>
          <w:sz w:val="24"/>
          <w:szCs w:val="24"/>
        </w:rPr>
        <w:t>Kozí 4/748, 110 01 Praha 1</w:t>
      </w:r>
      <w:r w:rsidRPr="005D16A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IČO: 00002542</w:t>
      </w:r>
    </w:p>
    <w:p w:rsidR="00D95E80" w:rsidRDefault="00D95E80" w:rsidP="00D95E80">
      <w:pPr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 Ing. Janou Davídkovou, předsedkyní Puncovního úřadu</w:t>
      </w:r>
      <w:r>
        <w:rPr>
          <w:rFonts w:ascii="Times New Roman" w:hAnsi="Times New Roman" w:cs="Times New Roman"/>
          <w:sz w:val="24"/>
          <w:szCs w:val="24"/>
        </w:rPr>
        <w:br/>
        <w:t>Bankovní spojení: Česká národní banka, číslo účtu 2728-011/0710</w:t>
      </w:r>
    </w:p>
    <w:p w:rsidR="00D95E80" w:rsidRDefault="00D95E80" w:rsidP="00D95E80">
      <w:pPr>
        <w:spacing w:after="0" w:line="300" w:lineRule="exact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>
        <w:rPr>
          <w:rFonts w:ascii="Times New Roman" w:hAnsi="Times New Roman" w:cs="Times New Roman"/>
          <w:b/>
          <w:i/>
          <w:sz w:val="24"/>
          <w:szCs w:val="24"/>
        </w:rPr>
        <w:t>„uživatel“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F337A" w:rsidRDefault="00AF337A" w:rsidP="00AF337A">
      <w:pPr>
        <w:spacing w:after="0" w:line="300" w:lineRule="exact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společně též smluvní strany</w:t>
      </w:r>
    </w:p>
    <w:p w:rsidR="00AF337A" w:rsidRDefault="00AF337A" w:rsidP="00AF337A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37A" w:rsidRDefault="00AF337A" w:rsidP="00AF337A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AF337A" w:rsidRDefault="00AF337A" w:rsidP="00AF337A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37A" w:rsidRDefault="00AF337A" w:rsidP="00AF337A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604653" w:rsidRDefault="00604653" w:rsidP="00604653">
      <w:pPr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653">
        <w:rPr>
          <w:rFonts w:ascii="Times New Roman" w:hAnsi="Times New Roman" w:cs="Times New Roman"/>
          <w:sz w:val="24"/>
          <w:szCs w:val="24"/>
        </w:rPr>
        <w:t>Ve smyslu článku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4653">
        <w:rPr>
          <w:rFonts w:ascii="Times New Roman" w:hAnsi="Times New Roman" w:cs="Times New Roman"/>
          <w:sz w:val="24"/>
          <w:szCs w:val="24"/>
        </w:rPr>
        <w:t xml:space="preserve">. odst.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4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Zápisu o přenechání nemovitého majetku k bezplatnému užívání </w:t>
      </w:r>
      <w:r w:rsidRPr="00604653">
        <w:rPr>
          <w:rFonts w:ascii="Times New Roman" w:hAnsi="Times New Roman" w:cs="Times New Roman"/>
          <w:sz w:val="24"/>
          <w:szCs w:val="24"/>
        </w:rPr>
        <w:t>uzavřené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604653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5.1.2017</w:t>
      </w:r>
      <w:r w:rsidRPr="00604653">
        <w:rPr>
          <w:rFonts w:ascii="Times New Roman" w:hAnsi="Times New Roman" w:cs="Times New Roman"/>
          <w:sz w:val="24"/>
          <w:szCs w:val="24"/>
        </w:rPr>
        <w:t xml:space="preserve"> (dále jen „</w:t>
      </w:r>
      <w:r>
        <w:rPr>
          <w:rFonts w:ascii="Times New Roman" w:hAnsi="Times New Roman" w:cs="Times New Roman"/>
          <w:sz w:val="24"/>
          <w:szCs w:val="24"/>
        </w:rPr>
        <w:t>zápis</w:t>
      </w:r>
      <w:r w:rsidRPr="00604653">
        <w:rPr>
          <w:rFonts w:ascii="Times New Roman" w:hAnsi="Times New Roman" w:cs="Times New Roman"/>
          <w:sz w:val="24"/>
          <w:szCs w:val="24"/>
        </w:rPr>
        <w:t xml:space="preserve">“), se </w:t>
      </w:r>
      <w:r>
        <w:rPr>
          <w:rFonts w:ascii="Times New Roman" w:hAnsi="Times New Roman" w:cs="Times New Roman"/>
          <w:sz w:val="24"/>
          <w:szCs w:val="24"/>
        </w:rPr>
        <w:t xml:space="preserve">smluvní </w:t>
      </w:r>
      <w:r w:rsidRPr="00604653">
        <w:rPr>
          <w:rFonts w:ascii="Times New Roman" w:hAnsi="Times New Roman" w:cs="Times New Roman"/>
          <w:sz w:val="24"/>
          <w:szCs w:val="24"/>
        </w:rPr>
        <w:t xml:space="preserve">strany dohodly na uzavření tohoto Dodatku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4653">
        <w:rPr>
          <w:rFonts w:ascii="Times New Roman" w:hAnsi="Times New Roman" w:cs="Times New Roman"/>
          <w:sz w:val="24"/>
          <w:szCs w:val="24"/>
        </w:rPr>
        <w:t xml:space="preserve"> (dále jen „dodatek“), kterým se </w:t>
      </w:r>
      <w:r>
        <w:rPr>
          <w:rFonts w:ascii="Times New Roman" w:hAnsi="Times New Roman" w:cs="Times New Roman"/>
          <w:sz w:val="24"/>
          <w:szCs w:val="24"/>
        </w:rPr>
        <w:t>zápis</w:t>
      </w:r>
      <w:r w:rsidR="00B31237">
        <w:rPr>
          <w:rFonts w:ascii="Times New Roman" w:hAnsi="Times New Roman" w:cs="Times New Roman"/>
          <w:sz w:val="24"/>
          <w:szCs w:val="24"/>
        </w:rPr>
        <w:t xml:space="preserve"> </w:t>
      </w:r>
      <w:r w:rsidR="006E072C">
        <w:rPr>
          <w:rFonts w:ascii="Times New Roman" w:hAnsi="Times New Roman" w:cs="Times New Roman"/>
          <w:sz w:val="24"/>
          <w:szCs w:val="24"/>
        </w:rPr>
        <w:t>v článku IV.</w:t>
      </w:r>
      <w:r w:rsidRPr="00604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doplňuje</w:t>
      </w:r>
      <w:r w:rsidR="006E072C">
        <w:rPr>
          <w:rFonts w:ascii="Times New Roman" w:hAnsi="Times New Roman" w:cs="Times New Roman"/>
          <w:sz w:val="24"/>
          <w:szCs w:val="24"/>
        </w:rPr>
        <w:t xml:space="preserve"> o odstavce </w:t>
      </w:r>
      <w:r w:rsidR="00DA24AA">
        <w:rPr>
          <w:rFonts w:ascii="Times New Roman" w:hAnsi="Times New Roman" w:cs="Times New Roman"/>
          <w:sz w:val="24"/>
          <w:szCs w:val="24"/>
        </w:rPr>
        <w:t>10.,</w:t>
      </w:r>
      <w:r w:rsidR="006E072C">
        <w:rPr>
          <w:rFonts w:ascii="Times New Roman" w:hAnsi="Times New Roman" w:cs="Times New Roman"/>
          <w:sz w:val="24"/>
          <w:szCs w:val="24"/>
        </w:rPr>
        <w:t xml:space="preserve"> 11.</w:t>
      </w:r>
      <w:r w:rsidR="00DA24AA">
        <w:rPr>
          <w:rFonts w:ascii="Times New Roman" w:hAnsi="Times New Roman" w:cs="Times New Roman"/>
          <w:sz w:val="24"/>
          <w:szCs w:val="24"/>
        </w:rPr>
        <w:t xml:space="preserve"> a 12 </w:t>
      </w:r>
      <w:r w:rsidR="00DA24AA" w:rsidRPr="00604653">
        <w:rPr>
          <w:rFonts w:ascii="Times New Roman" w:hAnsi="Times New Roman" w:cs="Times New Roman"/>
          <w:sz w:val="24"/>
          <w:szCs w:val="24"/>
        </w:rPr>
        <w:t>takto</w:t>
      </w:r>
      <w:r w:rsidRPr="00604653">
        <w:rPr>
          <w:rFonts w:ascii="Times New Roman" w:hAnsi="Times New Roman" w:cs="Times New Roman"/>
          <w:sz w:val="24"/>
          <w:szCs w:val="24"/>
        </w:rPr>
        <w:t>:</w:t>
      </w:r>
    </w:p>
    <w:p w:rsidR="00663DE5" w:rsidRDefault="00663DE5" w:rsidP="00604653">
      <w:pPr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63DE5" w:rsidRPr="006E072C" w:rsidRDefault="00663DE5" w:rsidP="006E072C">
      <w:pPr>
        <w:pStyle w:val="Odstavecseseznamem"/>
        <w:numPr>
          <w:ilvl w:val="0"/>
          <w:numId w:val="10"/>
        </w:num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6E072C">
        <w:rPr>
          <w:rFonts w:ascii="Times New Roman" w:hAnsi="Times New Roman"/>
          <w:sz w:val="24"/>
          <w:szCs w:val="24"/>
        </w:rPr>
        <w:t xml:space="preserve">Za zajišťování ochrany a ostrahy administrativní budovy Českého báňského úřadu bude uživateli </w:t>
      </w:r>
      <w:r w:rsidR="00FF72AA" w:rsidRPr="006E072C">
        <w:rPr>
          <w:rFonts w:ascii="Times New Roman" w:hAnsi="Times New Roman"/>
          <w:sz w:val="24"/>
          <w:szCs w:val="24"/>
        </w:rPr>
        <w:t xml:space="preserve">od 1.10.2019 </w:t>
      </w:r>
      <w:r w:rsidR="00A767DD" w:rsidRPr="006E072C">
        <w:rPr>
          <w:rFonts w:ascii="Times New Roman" w:hAnsi="Times New Roman"/>
          <w:sz w:val="24"/>
          <w:szCs w:val="24"/>
        </w:rPr>
        <w:t xml:space="preserve">účtována poměrná částka </w:t>
      </w:r>
      <w:r w:rsidR="00BC375A">
        <w:rPr>
          <w:rFonts w:ascii="Times New Roman" w:hAnsi="Times New Roman"/>
          <w:sz w:val="24"/>
          <w:szCs w:val="24"/>
        </w:rPr>
        <w:t>v</w:t>
      </w:r>
      <w:r w:rsidRPr="006E072C">
        <w:rPr>
          <w:rFonts w:ascii="Times New Roman" w:hAnsi="Times New Roman"/>
          <w:sz w:val="24"/>
          <w:szCs w:val="24"/>
        </w:rPr>
        <w:t xml:space="preserve">e výši </w:t>
      </w:r>
      <w:r w:rsidR="00B31237" w:rsidRPr="006E072C">
        <w:rPr>
          <w:rFonts w:ascii="Times New Roman" w:hAnsi="Times New Roman"/>
          <w:sz w:val="24"/>
          <w:szCs w:val="24"/>
        </w:rPr>
        <w:t xml:space="preserve">jedné třetiny z celkové ceny </w:t>
      </w:r>
      <w:r w:rsidR="00BC375A">
        <w:rPr>
          <w:rFonts w:ascii="Times New Roman" w:hAnsi="Times New Roman"/>
          <w:sz w:val="24"/>
          <w:szCs w:val="24"/>
        </w:rPr>
        <w:br/>
      </w:r>
      <w:r w:rsidR="00B31237" w:rsidRPr="006E072C">
        <w:rPr>
          <w:rFonts w:ascii="Times New Roman" w:hAnsi="Times New Roman"/>
          <w:sz w:val="24"/>
          <w:szCs w:val="24"/>
        </w:rPr>
        <w:t xml:space="preserve">za poskytování této služby (4.539.736,08 </w:t>
      </w:r>
      <w:r w:rsidR="00A767DD" w:rsidRPr="006E072C">
        <w:rPr>
          <w:rFonts w:ascii="Times New Roman" w:hAnsi="Times New Roman"/>
          <w:sz w:val="24"/>
          <w:szCs w:val="24"/>
        </w:rPr>
        <w:t>Kč včetně DPH</w:t>
      </w:r>
      <w:r w:rsidR="00B31237" w:rsidRPr="006E072C">
        <w:rPr>
          <w:rFonts w:ascii="Times New Roman" w:hAnsi="Times New Roman"/>
          <w:sz w:val="24"/>
          <w:szCs w:val="24"/>
        </w:rPr>
        <w:t>/za 4 roky)</w:t>
      </w:r>
      <w:r w:rsidR="00A767DD" w:rsidRPr="006E072C">
        <w:rPr>
          <w:rFonts w:ascii="Times New Roman" w:hAnsi="Times New Roman"/>
          <w:sz w:val="24"/>
          <w:szCs w:val="24"/>
        </w:rPr>
        <w:t xml:space="preserve">, a to dodavatelem služby – INDUS PRAHA, spol. s r.o., se sídlem U Hostivařského nádraží 556/12, </w:t>
      </w:r>
      <w:r w:rsidR="00BC375A">
        <w:rPr>
          <w:rFonts w:ascii="Times New Roman" w:hAnsi="Times New Roman"/>
          <w:sz w:val="24"/>
          <w:szCs w:val="24"/>
        </w:rPr>
        <w:br/>
      </w:r>
      <w:r w:rsidR="00A767DD" w:rsidRPr="006E072C">
        <w:rPr>
          <w:rFonts w:ascii="Times New Roman" w:hAnsi="Times New Roman"/>
          <w:sz w:val="24"/>
          <w:szCs w:val="24"/>
        </w:rPr>
        <w:t>102 00 Praha 10, IČO: 24210668, DS: jr49pjb</w:t>
      </w:r>
      <w:r w:rsidR="00B31237" w:rsidRPr="006E072C">
        <w:rPr>
          <w:rFonts w:ascii="Times New Roman" w:hAnsi="Times New Roman"/>
          <w:sz w:val="24"/>
          <w:szCs w:val="24"/>
        </w:rPr>
        <w:t>, bankovní spojení: ČSOB, a.s., Praha 4, číslo účtu: 256788639/0300.</w:t>
      </w:r>
    </w:p>
    <w:p w:rsidR="006E072C" w:rsidRPr="006E072C" w:rsidRDefault="006E072C" w:rsidP="006E072C">
      <w:pPr>
        <w:pStyle w:val="Odstavecseseznamem"/>
        <w:spacing w:line="300" w:lineRule="exact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F337A" w:rsidRPr="00DA24AA" w:rsidRDefault="00A767DD" w:rsidP="006E072C">
      <w:pPr>
        <w:pStyle w:val="Odstavecseseznamem"/>
        <w:numPr>
          <w:ilvl w:val="0"/>
          <w:numId w:val="10"/>
        </w:num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6E072C">
        <w:rPr>
          <w:rFonts w:ascii="Times New Roman" w:hAnsi="Times New Roman"/>
          <w:bCs/>
          <w:sz w:val="24"/>
          <w:szCs w:val="24"/>
        </w:rPr>
        <w:t xml:space="preserve">Úhrada bude prováděna měsíčně na základě fakturace. Dodavatel </w:t>
      </w:r>
      <w:r w:rsidR="00FF72AA" w:rsidRPr="006E072C">
        <w:rPr>
          <w:rFonts w:ascii="Times New Roman" w:hAnsi="Times New Roman"/>
          <w:bCs/>
          <w:sz w:val="24"/>
          <w:szCs w:val="24"/>
        </w:rPr>
        <w:t xml:space="preserve">služby </w:t>
      </w:r>
      <w:r w:rsidRPr="006E072C">
        <w:rPr>
          <w:rFonts w:ascii="Times New Roman" w:hAnsi="Times New Roman"/>
          <w:bCs/>
          <w:sz w:val="24"/>
          <w:szCs w:val="24"/>
        </w:rPr>
        <w:t>vystav</w:t>
      </w:r>
      <w:r w:rsidR="00FF72AA" w:rsidRPr="006E072C">
        <w:rPr>
          <w:rFonts w:ascii="Times New Roman" w:hAnsi="Times New Roman"/>
          <w:bCs/>
          <w:sz w:val="24"/>
          <w:szCs w:val="24"/>
        </w:rPr>
        <w:t>í fakturu vždy do 15. dne následujícího kalendářního měsíce.</w:t>
      </w:r>
      <w:r w:rsidR="00B31237" w:rsidRPr="006E072C">
        <w:rPr>
          <w:rFonts w:ascii="Times New Roman" w:hAnsi="Times New Roman"/>
          <w:bCs/>
          <w:sz w:val="24"/>
          <w:szCs w:val="24"/>
        </w:rPr>
        <w:t xml:space="preserve"> Splatnost faktur je 21 dnů od data jejich doručení uživateli. Splatnost se rozumí odepsání fakturované částky z účtu uživatele. Peněžitý závazek je splněn připsáním dlužné částky na účet dodavatele uvedený v odst. 1.</w:t>
      </w:r>
    </w:p>
    <w:p w:rsidR="00DA24AA" w:rsidRPr="00DA24AA" w:rsidRDefault="00DA24AA" w:rsidP="00DA24AA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DA24AA" w:rsidRPr="00DA24AA" w:rsidRDefault="00DA24AA" w:rsidP="006E072C">
      <w:pPr>
        <w:pStyle w:val="Odstavecseseznamem"/>
        <w:numPr>
          <w:ilvl w:val="0"/>
          <w:numId w:val="10"/>
        </w:numPr>
        <w:spacing w:line="300" w:lineRule="exact"/>
        <w:jc w:val="both"/>
        <w:rPr>
          <w:rFonts w:ascii="Times New Roman" w:hAnsi="Times New Roman"/>
          <w:bCs/>
          <w:sz w:val="24"/>
          <w:szCs w:val="24"/>
        </w:rPr>
      </w:pPr>
      <w:r w:rsidRPr="00DA24AA">
        <w:rPr>
          <w:rFonts w:ascii="Times New Roman" w:hAnsi="Times New Roman"/>
          <w:bCs/>
          <w:sz w:val="24"/>
          <w:szCs w:val="24"/>
        </w:rPr>
        <w:t xml:space="preserve">Cenu za poskytované služby </w:t>
      </w:r>
      <w:r>
        <w:rPr>
          <w:rFonts w:ascii="Times New Roman" w:hAnsi="Times New Roman"/>
          <w:bCs/>
          <w:sz w:val="24"/>
          <w:szCs w:val="24"/>
        </w:rPr>
        <w:t>může dodavatel navýšit o míru inflace stanovenou Českým statistickým úřadem za uplynulý rok, pokud bude vyšší než 3 %, přičemž je možné provést zvýšení maximálně o 5 %. Toto navýšení může dodavatel uplatnit nejdříve v roce 2020. Cenu lze rovněž navýšit dojde-li ke změně právních předpisů upravujících minimální mzdu v případě, že v důsledku zvýšení minimální mzdy dojde prokazatelně k navýšení ceny za poskytované služby.</w:t>
      </w:r>
    </w:p>
    <w:p w:rsidR="00DA24AA" w:rsidRDefault="00DA24AA" w:rsidP="00AF337A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37A" w:rsidRDefault="00AF337A" w:rsidP="00AF337A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E072C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337A" w:rsidRDefault="00AF337A" w:rsidP="00AF337A">
      <w:pPr>
        <w:numPr>
          <w:ilvl w:val="0"/>
          <w:numId w:val="4"/>
        </w:numPr>
        <w:spacing w:after="0" w:line="300" w:lineRule="exact"/>
        <w:ind w:left="142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Tento dodatek nabývá platnosti a účinnosti dnem podpisu </w:t>
      </w:r>
      <w:r w:rsidR="009F5ECB">
        <w:rPr>
          <w:rFonts w:ascii="Times New Roman" w:hAnsi="Times New Roman" w:cs="Times New Roman"/>
          <w:bCs/>
          <w:sz w:val="24"/>
          <w:szCs w:val="24"/>
        </w:rPr>
        <w:t>oběma smluvními stranami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F337A" w:rsidRDefault="00AF337A" w:rsidP="00AF337A">
      <w:pPr>
        <w:spacing w:after="0" w:line="300" w:lineRule="exact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AF337A" w:rsidRDefault="00AF337A" w:rsidP="00AF337A">
      <w:pPr>
        <w:pStyle w:val="Odstavecseseznamem"/>
        <w:numPr>
          <w:ilvl w:val="0"/>
          <w:numId w:val="4"/>
        </w:numPr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Všechna ostatní ujednání „</w:t>
      </w:r>
      <w:r w:rsidR="006E072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ápisu“, nejsou-li v rozporu s tímto dodatkem, zůstávají nadále v platnosti.</w:t>
      </w:r>
    </w:p>
    <w:p w:rsidR="00AF337A" w:rsidRDefault="00AF337A" w:rsidP="00AF337A">
      <w:pPr>
        <w:pStyle w:val="Odstavecseseznamem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337A" w:rsidRDefault="00AF337A" w:rsidP="00AF337A">
      <w:pPr>
        <w:pStyle w:val="Odstavecseseznamem"/>
        <w:numPr>
          <w:ilvl w:val="0"/>
          <w:numId w:val="4"/>
        </w:numPr>
        <w:ind w:left="142" w:hanging="2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Dodatek se vyhotovuje ve </w:t>
      </w:r>
      <w:r w:rsidR="006E072C">
        <w:rPr>
          <w:rFonts w:ascii="Times New Roman" w:hAnsi="Times New Roman"/>
          <w:sz w:val="24"/>
          <w:szCs w:val="24"/>
        </w:rPr>
        <w:t>dvou</w:t>
      </w:r>
      <w:r>
        <w:rPr>
          <w:rFonts w:ascii="Times New Roman" w:hAnsi="Times New Roman"/>
          <w:sz w:val="24"/>
          <w:szCs w:val="24"/>
        </w:rPr>
        <w:t xml:space="preserve"> stejnopisech, z nichž každá strana obdrží </w:t>
      </w:r>
      <w:r w:rsidR="006E072C">
        <w:rPr>
          <w:rFonts w:ascii="Times New Roman" w:hAnsi="Times New Roman"/>
          <w:sz w:val="24"/>
          <w:szCs w:val="24"/>
        </w:rPr>
        <w:t>jeden</w:t>
      </w:r>
      <w:r>
        <w:rPr>
          <w:rFonts w:ascii="Times New Roman" w:hAnsi="Times New Roman"/>
          <w:sz w:val="24"/>
          <w:szCs w:val="24"/>
        </w:rPr>
        <w:t xml:space="preserve"> stejnopis.</w:t>
      </w:r>
    </w:p>
    <w:p w:rsidR="00AF337A" w:rsidRDefault="00AF337A" w:rsidP="00AF337A">
      <w:pPr>
        <w:spacing w:before="120"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5E80" w:rsidRDefault="00D95E80" w:rsidP="00D95E80">
      <w:pPr>
        <w:spacing w:before="120"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5E80" w:rsidRPr="00A37510" w:rsidRDefault="00D95E80" w:rsidP="00D95E80">
      <w:pPr>
        <w:spacing w:before="120"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95E80" w:rsidRPr="00086F7D" w:rsidTr="00DA2B6B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5E80" w:rsidRPr="00086F7D" w:rsidRDefault="00D95E80" w:rsidP="00DA2B6B">
            <w:pPr>
              <w:spacing w:before="120" w:after="120" w:line="30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6F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 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raze</w:t>
            </w:r>
            <w:r w:rsidRPr="00086F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dne 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5E80" w:rsidRPr="00086F7D" w:rsidRDefault="00D95E80" w:rsidP="00DA2B6B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6F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Praze </w:t>
            </w:r>
            <w:r w:rsidRPr="00086F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dne .............................</w:t>
            </w:r>
          </w:p>
        </w:tc>
      </w:tr>
    </w:tbl>
    <w:p w:rsidR="00D95E80" w:rsidRPr="00086F7D" w:rsidRDefault="00D95E80" w:rsidP="00D95E80">
      <w:pPr>
        <w:spacing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5E80" w:rsidRDefault="00D95E80" w:rsidP="00D95E80">
      <w:pPr>
        <w:rPr>
          <w:rFonts w:ascii="Times New Roman" w:hAnsi="Times New Roman"/>
          <w:sz w:val="24"/>
          <w:szCs w:val="24"/>
        </w:rPr>
      </w:pPr>
    </w:p>
    <w:p w:rsidR="00D95E80" w:rsidRDefault="00D95E80" w:rsidP="00D95E80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5E80" w:rsidRPr="00086F7D" w:rsidRDefault="00D95E80" w:rsidP="00D95E80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95E80" w:rsidRPr="00086F7D" w:rsidTr="00DA2B6B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5E80" w:rsidRPr="00086F7D" w:rsidRDefault="00D95E80" w:rsidP="00DA2B6B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</w:t>
            </w:r>
            <w:r w:rsidRPr="00086F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95E80" w:rsidRPr="00086F7D" w:rsidRDefault="00D95E80" w:rsidP="00DA2B6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vlastníka</w:t>
            </w:r>
            <w:r w:rsidRPr="00086F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5E80" w:rsidRPr="00086F7D" w:rsidRDefault="00D95E80" w:rsidP="00DA2B6B">
            <w:pPr>
              <w:spacing w:after="0" w:line="300" w:lineRule="exact"/>
              <w:ind w:left="1066" w:hanging="10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</w:t>
            </w:r>
          </w:p>
          <w:p w:rsidR="00D95E80" w:rsidRPr="00086F7D" w:rsidRDefault="00D95E80" w:rsidP="00DA2B6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uživatele</w:t>
            </w:r>
            <w:r w:rsidRPr="00086F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D95E80" w:rsidRPr="00086F7D" w:rsidTr="00DA2B6B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5E80" w:rsidRPr="004972EE" w:rsidRDefault="00D95E80" w:rsidP="00DA2B6B">
            <w:pPr>
              <w:spacing w:before="120" w:after="0"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Ing. Martin Štemberka</w:t>
            </w:r>
            <w:r w:rsidR="00436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Ph.D.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předseda Českého báňského úřadu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5E80" w:rsidRPr="004972EE" w:rsidRDefault="00D95E80" w:rsidP="00DA2B6B">
            <w:pPr>
              <w:spacing w:before="120" w:after="0" w:line="300" w:lineRule="exact"/>
              <w:ind w:left="-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Ing. Jana Davídková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předsedkyně Puncovního úřadu</w:t>
            </w:r>
          </w:p>
        </w:tc>
      </w:tr>
    </w:tbl>
    <w:p w:rsidR="007B1178" w:rsidRDefault="007B1178"/>
    <w:sectPr w:rsidR="007B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047"/>
    <w:multiLevelType w:val="hybridMultilevel"/>
    <w:tmpl w:val="47A26C18"/>
    <w:lvl w:ilvl="0" w:tplc="6A7211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975C0"/>
    <w:multiLevelType w:val="hybridMultilevel"/>
    <w:tmpl w:val="35F20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1492"/>
    <w:multiLevelType w:val="hybridMultilevel"/>
    <w:tmpl w:val="784090EE"/>
    <w:lvl w:ilvl="0" w:tplc="1C9030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BAD491D"/>
    <w:multiLevelType w:val="hybridMultilevel"/>
    <w:tmpl w:val="66D2F88A"/>
    <w:lvl w:ilvl="0" w:tplc="0405000F">
      <w:start w:val="1"/>
      <w:numFmt w:val="decimal"/>
      <w:lvlText w:val="%1."/>
      <w:lvlJc w:val="left"/>
      <w:pPr>
        <w:ind w:left="4330" w:hanging="360"/>
      </w:pPr>
    </w:lvl>
    <w:lvl w:ilvl="1" w:tplc="04050019">
      <w:start w:val="1"/>
      <w:numFmt w:val="lowerLetter"/>
      <w:lvlText w:val="%2."/>
      <w:lvlJc w:val="left"/>
      <w:pPr>
        <w:ind w:left="5050" w:hanging="360"/>
      </w:pPr>
    </w:lvl>
    <w:lvl w:ilvl="2" w:tplc="0405001B">
      <w:start w:val="1"/>
      <w:numFmt w:val="lowerRoman"/>
      <w:lvlText w:val="%3."/>
      <w:lvlJc w:val="right"/>
      <w:pPr>
        <w:ind w:left="5770" w:hanging="180"/>
      </w:pPr>
    </w:lvl>
    <w:lvl w:ilvl="3" w:tplc="0405000F">
      <w:start w:val="1"/>
      <w:numFmt w:val="decimal"/>
      <w:lvlText w:val="%4."/>
      <w:lvlJc w:val="left"/>
      <w:pPr>
        <w:ind w:left="6490" w:hanging="360"/>
      </w:pPr>
    </w:lvl>
    <w:lvl w:ilvl="4" w:tplc="04050019">
      <w:start w:val="1"/>
      <w:numFmt w:val="lowerLetter"/>
      <w:lvlText w:val="%5."/>
      <w:lvlJc w:val="left"/>
      <w:pPr>
        <w:ind w:left="7210" w:hanging="360"/>
      </w:pPr>
    </w:lvl>
    <w:lvl w:ilvl="5" w:tplc="0405001B">
      <w:start w:val="1"/>
      <w:numFmt w:val="lowerRoman"/>
      <w:lvlText w:val="%6."/>
      <w:lvlJc w:val="right"/>
      <w:pPr>
        <w:ind w:left="7930" w:hanging="180"/>
      </w:pPr>
    </w:lvl>
    <w:lvl w:ilvl="6" w:tplc="0405000F">
      <w:start w:val="1"/>
      <w:numFmt w:val="decimal"/>
      <w:lvlText w:val="%7."/>
      <w:lvlJc w:val="left"/>
      <w:pPr>
        <w:ind w:left="8650" w:hanging="360"/>
      </w:pPr>
    </w:lvl>
    <w:lvl w:ilvl="7" w:tplc="04050019">
      <w:start w:val="1"/>
      <w:numFmt w:val="lowerLetter"/>
      <w:lvlText w:val="%8."/>
      <w:lvlJc w:val="left"/>
      <w:pPr>
        <w:ind w:left="9370" w:hanging="360"/>
      </w:pPr>
    </w:lvl>
    <w:lvl w:ilvl="8" w:tplc="0405001B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5E8A1A63"/>
    <w:multiLevelType w:val="hybridMultilevel"/>
    <w:tmpl w:val="74FA23C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215B3"/>
    <w:multiLevelType w:val="hybridMultilevel"/>
    <w:tmpl w:val="1F600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141E0"/>
    <w:multiLevelType w:val="hybridMultilevel"/>
    <w:tmpl w:val="02802AB4"/>
    <w:lvl w:ilvl="0" w:tplc="FC8C09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922D6F"/>
    <w:multiLevelType w:val="hybridMultilevel"/>
    <w:tmpl w:val="1F7E6DA2"/>
    <w:lvl w:ilvl="0" w:tplc="2B4431F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7A"/>
    <w:rsid w:val="00065116"/>
    <w:rsid w:val="00436710"/>
    <w:rsid w:val="00604653"/>
    <w:rsid w:val="00663DE5"/>
    <w:rsid w:val="006E072C"/>
    <w:rsid w:val="007B1178"/>
    <w:rsid w:val="009F5ECB"/>
    <w:rsid w:val="00A767DD"/>
    <w:rsid w:val="00AF337A"/>
    <w:rsid w:val="00B31237"/>
    <w:rsid w:val="00BC375A"/>
    <w:rsid w:val="00D95E80"/>
    <w:rsid w:val="00DA24AA"/>
    <w:rsid w:val="00FF0FFF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E680"/>
  <w15:chartTrackingRefBased/>
  <w15:docId w15:val="{1D3142E9-9201-410A-A8A1-AEC15907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37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37A"/>
    <w:pPr>
      <w:spacing w:after="0" w:line="240" w:lineRule="auto"/>
      <w:ind w:left="708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Jana</dc:creator>
  <cp:keywords/>
  <dc:description/>
  <cp:lastModifiedBy>Moravcová Jana</cp:lastModifiedBy>
  <cp:revision>8</cp:revision>
  <cp:lastPrinted>2019-11-21T12:28:00Z</cp:lastPrinted>
  <dcterms:created xsi:type="dcterms:W3CDTF">2019-11-19T14:22:00Z</dcterms:created>
  <dcterms:modified xsi:type="dcterms:W3CDTF">2019-11-21T12:49:00Z</dcterms:modified>
</cp:coreProperties>
</file>