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0F" w:rsidRDefault="00CE350F" w:rsidP="007D175C">
      <w:pPr>
        <w:pStyle w:val="Nadpis1"/>
        <w:tabs>
          <w:tab w:val="left" w:pos="8655"/>
        </w:tabs>
        <w:rPr>
          <w:rFonts w:cs="Arial"/>
          <w:b/>
          <w:sz w:val="16"/>
          <w:szCs w:val="16"/>
        </w:rPr>
      </w:pPr>
      <w:bookmarkStart w:id="0" w:name="_GoBack"/>
      <w:bookmarkEnd w:id="0"/>
      <w:r>
        <w:rPr>
          <w:noProof/>
          <w:lang w:val="cs-CZ" w:eastAsia="cs-CZ"/>
        </w:rPr>
        <w:drawing>
          <wp:anchor distT="0" distB="0" distL="114300" distR="114300" simplePos="0" relativeHeight="251659264" behindDoc="0" locked="1" layoutInCell="1" allowOverlap="1">
            <wp:simplePos x="0" y="0"/>
            <wp:positionH relativeFrom="page">
              <wp:posOffset>788035</wp:posOffset>
            </wp:positionH>
            <wp:positionV relativeFrom="page">
              <wp:posOffset>271780</wp:posOffset>
            </wp:positionV>
            <wp:extent cx="2519680" cy="9715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ssion_70x27_oben cyan.pd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9680" cy="971550"/>
                    </a:xfrm>
                    <a:prstGeom prst="rect">
                      <a:avLst/>
                    </a:prstGeom>
                  </pic:spPr>
                </pic:pic>
              </a:graphicData>
            </a:graphic>
          </wp:anchor>
        </w:drawing>
      </w:r>
      <w:r w:rsidR="007D175C">
        <w:rPr>
          <w:rFonts w:cs="Arial"/>
          <w:b/>
          <w:sz w:val="16"/>
          <w:szCs w:val="16"/>
        </w:rPr>
        <w:tab/>
      </w:r>
      <w:r w:rsidR="007D175C">
        <w:rPr>
          <w:noProof/>
          <w:lang w:val="cs-CZ" w:eastAsia="cs-CZ"/>
        </w:rPr>
        <w:drawing>
          <wp:anchor distT="0" distB="0" distL="114300" distR="114300" simplePos="0" relativeHeight="251661312" behindDoc="0" locked="1" layoutInCell="1" allowOverlap="1">
            <wp:simplePos x="0" y="0"/>
            <wp:positionH relativeFrom="margin">
              <wp:posOffset>4429125</wp:posOffset>
            </wp:positionH>
            <wp:positionV relativeFrom="page">
              <wp:posOffset>351155</wp:posOffset>
            </wp:positionV>
            <wp:extent cx="1939925" cy="968375"/>
            <wp:effectExtent l="0" t="0" r="3175" b="3175"/>
            <wp:wrapNone/>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9925" cy="968375"/>
                    </a:xfrm>
                    <a:prstGeom prst="rect">
                      <a:avLst/>
                    </a:prstGeom>
                  </pic:spPr>
                </pic:pic>
              </a:graphicData>
            </a:graphic>
          </wp:anchor>
        </w:drawing>
      </w:r>
    </w:p>
    <w:p w:rsidR="00CE350F" w:rsidRDefault="00CE350F" w:rsidP="00CF4ED9">
      <w:pPr>
        <w:pStyle w:val="Nadpis1"/>
        <w:tabs>
          <w:tab w:val="left" w:pos="2694"/>
          <w:tab w:val="left" w:pos="4395"/>
        </w:tabs>
        <w:rPr>
          <w:rFonts w:cs="Arial"/>
          <w:b/>
          <w:sz w:val="16"/>
          <w:szCs w:val="16"/>
        </w:rPr>
      </w:pPr>
    </w:p>
    <w:p w:rsidR="00CE350F" w:rsidRDefault="00CE350F" w:rsidP="00CF4ED9">
      <w:pPr>
        <w:pStyle w:val="Nadpis1"/>
        <w:tabs>
          <w:tab w:val="left" w:pos="2694"/>
          <w:tab w:val="left" w:pos="4395"/>
        </w:tabs>
        <w:rPr>
          <w:rFonts w:cs="Arial"/>
          <w:b/>
          <w:sz w:val="16"/>
          <w:szCs w:val="16"/>
        </w:rPr>
      </w:pPr>
    </w:p>
    <w:p w:rsidR="00CF4ED9" w:rsidRPr="007D175C" w:rsidRDefault="00CF4ED9" w:rsidP="00FA299F">
      <w:pPr>
        <w:pStyle w:val="Nadpis1"/>
        <w:tabs>
          <w:tab w:val="left" w:pos="2694"/>
          <w:tab w:val="left" w:pos="4395"/>
        </w:tabs>
        <w:rPr>
          <w:rFonts w:ascii="Arial" w:hAnsi="Arial" w:cs="Arial"/>
          <w:sz w:val="16"/>
          <w:szCs w:val="16"/>
        </w:rPr>
      </w:pPr>
      <w:r w:rsidRPr="007D175C">
        <w:rPr>
          <w:rFonts w:ascii="Arial" w:hAnsi="Arial" w:cs="Arial"/>
          <w:sz w:val="16"/>
          <w:szCs w:val="16"/>
        </w:rPr>
        <w:t xml:space="preserve">Níže uvedeného dne, měsíce a roku uzavřely smluvní strany </w:t>
      </w:r>
    </w:p>
    <w:tbl>
      <w:tblPr>
        <w:tblW w:w="0" w:type="auto"/>
        <w:tblLayout w:type="fixed"/>
        <w:tblCellMar>
          <w:left w:w="70" w:type="dxa"/>
          <w:right w:w="70" w:type="dxa"/>
        </w:tblCellMar>
        <w:tblLook w:val="0000" w:firstRow="0" w:lastRow="0" w:firstColumn="0" w:lastColumn="0" w:noHBand="0" w:noVBand="0"/>
      </w:tblPr>
      <w:tblGrid>
        <w:gridCol w:w="3261"/>
        <w:gridCol w:w="7157"/>
      </w:tblGrid>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Na straně jedné:</w:t>
            </w:r>
          </w:p>
        </w:tc>
        <w:tc>
          <w:tcPr>
            <w:tcW w:w="7157" w:type="dxa"/>
          </w:tcPr>
          <w:p w:rsidR="00CF4ED9" w:rsidRPr="007D175C" w:rsidRDefault="00CF4ED9" w:rsidP="00FA299F">
            <w:pPr>
              <w:tabs>
                <w:tab w:val="left" w:pos="2694"/>
              </w:tabs>
              <w:spacing w:line="240" w:lineRule="auto"/>
              <w:rPr>
                <w:rFonts w:ascii="Arial" w:hAnsi="Arial" w:cs="Arial"/>
                <w:sz w:val="16"/>
                <w:szCs w:val="16"/>
              </w:rPr>
            </w:pPr>
            <w:r w:rsidRPr="007D175C">
              <w:rPr>
                <w:rFonts w:ascii="Arial" w:hAnsi="Arial" w:cs="Arial"/>
                <w:sz w:val="16"/>
                <w:szCs w:val="16"/>
              </w:rPr>
              <w:t>Linde Gas a.s.</w:t>
            </w:r>
            <w:r w:rsidR="00CE350F" w:rsidRPr="007D175C">
              <w:rPr>
                <w:rFonts w:ascii="Arial" w:hAnsi="Arial" w:cs="Arial"/>
                <w:sz w:val="16"/>
                <w:szCs w:val="16"/>
              </w:rPr>
              <w:tab/>
            </w: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b/>
                <w:sz w:val="16"/>
                <w:szCs w:val="16"/>
              </w:rPr>
            </w:pPr>
          </w:p>
        </w:tc>
        <w:tc>
          <w:tcPr>
            <w:tcW w:w="7157"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U Technoplynu 1324</w:t>
            </w: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b/>
                <w:sz w:val="16"/>
                <w:szCs w:val="16"/>
              </w:rPr>
            </w:pPr>
          </w:p>
        </w:tc>
        <w:tc>
          <w:tcPr>
            <w:tcW w:w="7157"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198 00  Praha 9</w:t>
            </w: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b/>
                <w:sz w:val="16"/>
                <w:szCs w:val="16"/>
              </w:rPr>
            </w:pPr>
            <w:r w:rsidRPr="007D175C">
              <w:rPr>
                <w:rFonts w:ascii="Arial" w:hAnsi="Arial" w:cs="Arial"/>
                <w:sz w:val="16"/>
                <w:szCs w:val="16"/>
              </w:rPr>
              <w:t>Zastoupená:</w:t>
            </w:r>
          </w:p>
        </w:tc>
        <w:tc>
          <w:tcPr>
            <w:tcW w:w="7157" w:type="dxa"/>
          </w:tcPr>
          <w:p w:rsidR="00CF4ED9" w:rsidRPr="007D175C" w:rsidRDefault="00E72639" w:rsidP="00FA299F">
            <w:pPr>
              <w:tabs>
                <w:tab w:val="left" w:pos="2694"/>
                <w:tab w:val="left" w:pos="4395"/>
              </w:tabs>
              <w:spacing w:line="240" w:lineRule="auto"/>
              <w:rPr>
                <w:rFonts w:ascii="Arial" w:hAnsi="Arial" w:cs="Arial"/>
                <w:b/>
                <w:sz w:val="16"/>
                <w:szCs w:val="16"/>
              </w:rPr>
            </w:pPr>
            <w:r>
              <w:rPr>
                <w:rFonts w:ascii="Arial" w:hAnsi="Arial" w:cs="Arial"/>
                <w:b/>
                <w:sz w:val="16"/>
                <w:szCs w:val="16"/>
              </w:rPr>
              <w:t>Bc. Petr Štolcar, Lenka Nesvadbová</w:t>
            </w: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Bankovní spojení:</w:t>
            </w:r>
          </w:p>
        </w:tc>
        <w:tc>
          <w:tcPr>
            <w:tcW w:w="7157"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color w:val="000000"/>
                <w:sz w:val="16"/>
                <w:szCs w:val="16"/>
              </w:rPr>
              <w:t>UniCredit Bank Czech Republic and Slovakia, a.s.</w:t>
            </w: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Číslo účtu:</w:t>
            </w:r>
          </w:p>
        </w:tc>
        <w:tc>
          <w:tcPr>
            <w:tcW w:w="7157" w:type="dxa"/>
          </w:tcPr>
          <w:p w:rsidR="00CF4ED9" w:rsidRPr="007D175C" w:rsidRDefault="00BC57A7" w:rsidP="00FA299F">
            <w:pPr>
              <w:tabs>
                <w:tab w:val="left" w:pos="2694"/>
                <w:tab w:val="left" w:pos="4395"/>
              </w:tabs>
              <w:spacing w:line="240" w:lineRule="auto"/>
              <w:rPr>
                <w:rFonts w:ascii="Arial" w:hAnsi="Arial" w:cs="Arial"/>
                <w:sz w:val="16"/>
                <w:szCs w:val="16"/>
              </w:rPr>
            </w:pPr>
            <w:r>
              <w:rPr>
                <w:rFonts w:ascii="Arial" w:hAnsi="Arial" w:cs="Arial"/>
                <w:sz w:val="16"/>
                <w:szCs w:val="16"/>
              </w:rPr>
              <w:t>XXXX</w:t>
            </w: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IČ:</w:t>
            </w:r>
          </w:p>
        </w:tc>
        <w:tc>
          <w:tcPr>
            <w:tcW w:w="7157"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00011754</w:t>
            </w: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DIČ:</w:t>
            </w:r>
          </w:p>
        </w:tc>
        <w:tc>
          <w:tcPr>
            <w:tcW w:w="7157"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CZ00011754</w:t>
            </w:r>
          </w:p>
        </w:tc>
      </w:tr>
    </w:tbl>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(dále jen Linde)</w:t>
      </w:r>
    </w:p>
    <w:p w:rsidR="00CF4ED9" w:rsidRPr="007D175C" w:rsidRDefault="00CF4ED9" w:rsidP="00FA299F">
      <w:pPr>
        <w:tabs>
          <w:tab w:val="left" w:pos="2694"/>
          <w:tab w:val="left" w:pos="4395"/>
        </w:tabs>
        <w:spacing w:line="240" w:lineRule="auto"/>
        <w:rPr>
          <w:rFonts w:ascii="Arial" w:hAnsi="Arial" w:cs="Arial"/>
          <w:sz w:val="16"/>
          <w:szCs w:val="16"/>
        </w:rPr>
      </w:pPr>
    </w:p>
    <w:tbl>
      <w:tblPr>
        <w:tblW w:w="0" w:type="auto"/>
        <w:tblLayout w:type="fixed"/>
        <w:tblCellMar>
          <w:left w:w="70" w:type="dxa"/>
          <w:right w:w="70" w:type="dxa"/>
        </w:tblCellMar>
        <w:tblLook w:val="0000" w:firstRow="0" w:lastRow="0" w:firstColumn="0" w:lastColumn="0" w:noHBand="0" w:noVBand="0"/>
      </w:tblPr>
      <w:tblGrid>
        <w:gridCol w:w="3261"/>
        <w:gridCol w:w="4464"/>
        <w:gridCol w:w="2693"/>
      </w:tblGrid>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Na straně druhé:</w:t>
            </w:r>
          </w:p>
        </w:tc>
        <w:tc>
          <w:tcPr>
            <w:tcW w:w="4464" w:type="dxa"/>
          </w:tcPr>
          <w:p w:rsidR="00CF4ED9" w:rsidRPr="007D175C" w:rsidRDefault="00E72639" w:rsidP="00FA299F">
            <w:pPr>
              <w:tabs>
                <w:tab w:val="left" w:pos="2694"/>
                <w:tab w:val="left" w:pos="4395"/>
              </w:tabs>
              <w:spacing w:line="240" w:lineRule="auto"/>
              <w:rPr>
                <w:rFonts w:ascii="Arial" w:hAnsi="Arial" w:cs="Arial"/>
                <w:b/>
                <w:sz w:val="16"/>
                <w:szCs w:val="16"/>
              </w:rPr>
            </w:pPr>
            <w:r>
              <w:rPr>
                <w:rFonts w:ascii="Arial" w:hAnsi="Arial" w:cs="Arial"/>
                <w:b/>
                <w:sz w:val="16"/>
                <w:szCs w:val="16"/>
              </w:rPr>
              <w:t>Slezská nemocnice v Opavě, příspěvková organizace</w:t>
            </w:r>
          </w:p>
        </w:tc>
        <w:tc>
          <w:tcPr>
            <w:tcW w:w="2693" w:type="dxa"/>
          </w:tcPr>
          <w:p w:rsidR="00CF4ED9" w:rsidRPr="007D175C" w:rsidRDefault="00CF4ED9" w:rsidP="00FA299F">
            <w:pPr>
              <w:pStyle w:val="Nadpis9"/>
              <w:tabs>
                <w:tab w:val="left" w:pos="4395"/>
              </w:tabs>
              <w:spacing w:line="240" w:lineRule="auto"/>
              <w:jc w:val="center"/>
              <w:rPr>
                <w:rFonts w:ascii="Arial" w:hAnsi="Arial" w:cs="Arial"/>
                <w:b/>
                <w:sz w:val="16"/>
                <w:szCs w:val="16"/>
              </w:rPr>
            </w:pPr>
            <w:r w:rsidRPr="007D175C">
              <w:rPr>
                <w:rFonts w:ascii="Arial" w:hAnsi="Arial" w:cs="Arial"/>
                <w:b/>
                <w:sz w:val="16"/>
                <w:szCs w:val="16"/>
              </w:rPr>
              <w:t>Číslo zákazníka:</w:t>
            </w: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p>
        </w:tc>
        <w:tc>
          <w:tcPr>
            <w:tcW w:w="4464" w:type="dxa"/>
          </w:tcPr>
          <w:p w:rsidR="00CF4ED9" w:rsidRPr="007D175C" w:rsidRDefault="00E72639" w:rsidP="00FA299F">
            <w:pPr>
              <w:tabs>
                <w:tab w:val="left" w:pos="2694"/>
                <w:tab w:val="left" w:pos="4395"/>
              </w:tabs>
              <w:spacing w:line="240" w:lineRule="auto"/>
              <w:ind w:left="1914" w:hanging="1914"/>
              <w:rPr>
                <w:rFonts w:ascii="Arial" w:hAnsi="Arial" w:cs="Arial"/>
                <w:sz w:val="16"/>
                <w:szCs w:val="16"/>
              </w:rPr>
            </w:pPr>
            <w:r>
              <w:rPr>
                <w:rFonts w:ascii="Arial" w:hAnsi="Arial" w:cs="Arial"/>
                <w:sz w:val="16"/>
                <w:szCs w:val="16"/>
              </w:rPr>
              <w:t>Olomoucká 470/86, Předměstí</w:t>
            </w:r>
          </w:p>
        </w:tc>
        <w:tc>
          <w:tcPr>
            <w:tcW w:w="2693" w:type="dxa"/>
            <w:tcBorders>
              <w:top w:val="single" w:sz="4" w:space="0" w:color="auto"/>
              <w:left w:val="single" w:sz="4" w:space="0" w:color="auto"/>
              <w:bottom w:val="single" w:sz="4" w:space="0" w:color="auto"/>
              <w:right w:val="single" w:sz="4" w:space="0" w:color="auto"/>
            </w:tcBorders>
          </w:tcPr>
          <w:p w:rsidR="00CF4ED9" w:rsidRPr="007D175C" w:rsidRDefault="00E72639" w:rsidP="00FA299F">
            <w:pPr>
              <w:tabs>
                <w:tab w:val="left" w:pos="2694"/>
                <w:tab w:val="left" w:pos="4395"/>
              </w:tabs>
              <w:spacing w:line="240" w:lineRule="auto"/>
              <w:jc w:val="center"/>
              <w:rPr>
                <w:rFonts w:ascii="Arial" w:hAnsi="Arial" w:cs="Arial"/>
                <w:b/>
                <w:sz w:val="16"/>
                <w:szCs w:val="16"/>
              </w:rPr>
            </w:pPr>
            <w:r>
              <w:rPr>
                <w:rFonts w:ascii="Arial" w:hAnsi="Arial" w:cs="Arial"/>
                <w:b/>
                <w:sz w:val="16"/>
                <w:szCs w:val="16"/>
              </w:rPr>
              <w:t>580619440</w:t>
            </w: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p>
        </w:tc>
        <w:tc>
          <w:tcPr>
            <w:tcW w:w="4464" w:type="dxa"/>
          </w:tcPr>
          <w:p w:rsidR="00CF4ED9" w:rsidRPr="007D175C" w:rsidRDefault="00E72639" w:rsidP="00FA299F">
            <w:pPr>
              <w:tabs>
                <w:tab w:val="left" w:pos="2694"/>
                <w:tab w:val="left" w:pos="4395"/>
              </w:tabs>
              <w:spacing w:line="240" w:lineRule="auto"/>
              <w:ind w:left="1914" w:hanging="1914"/>
              <w:rPr>
                <w:rFonts w:ascii="Arial" w:hAnsi="Arial" w:cs="Arial"/>
                <w:sz w:val="16"/>
                <w:szCs w:val="16"/>
              </w:rPr>
            </w:pPr>
            <w:r>
              <w:rPr>
                <w:rFonts w:ascii="Arial" w:hAnsi="Arial" w:cs="Arial"/>
                <w:sz w:val="16"/>
                <w:szCs w:val="16"/>
              </w:rPr>
              <w:t>746 01  Opava</w:t>
            </w:r>
          </w:p>
        </w:tc>
        <w:tc>
          <w:tcPr>
            <w:tcW w:w="2693" w:type="dxa"/>
          </w:tcPr>
          <w:p w:rsidR="00CF4ED9" w:rsidRPr="007D175C" w:rsidRDefault="00CF4ED9" w:rsidP="00FA299F">
            <w:pPr>
              <w:tabs>
                <w:tab w:val="left" w:pos="2694"/>
                <w:tab w:val="left" w:pos="4395"/>
              </w:tabs>
              <w:spacing w:line="240" w:lineRule="auto"/>
              <w:rPr>
                <w:rFonts w:ascii="Arial" w:hAnsi="Arial" w:cs="Arial"/>
                <w:sz w:val="16"/>
                <w:szCs w:val="16"/>
              </w:rPr>
            </w:pPr>
          </w:p>
        </w:tc>
      </w:tr>
      <w:tr w:rsidR="00CF4ED9" w:rsidRPr="007D175C" w:rsidTr="00E72639">
        <w:trPr>
          <w:trHeight w:val="157"/>
        </w:trPr>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Zastoupená:</w:t>
            </w:r>
          </w:p>
        </w:tc>
        <w:tc>
          <w:tcPr>
            <w:tcW w:w="4464" w:type="dxa"/>
          </w:tcPr>
          <w:p w:rsidR="00CF4ED9" w:rsidRPr="007D175C" w:rsidRDefault="00B50821" w:rsidP="00B50821">
            <w:pPr>
              <w:tabs>
                <w:tab w:val="left" w:pos="2694"/>
                <w:tab w:val="left" w:pos="4395"/>
              </w:tabs>
              <w:spacing w:line="240" w:lineRule="auto"/>
              <w:ind w:left="1914" w:hanging="1914"/>
              <w:rPr>
                <w:rFonts w:ascii="Arial" w:hAnsi="Arial" w:cs="Arial"/>
                <w:sz w:val="16"/>
                <w:szCs w:val="16"/>
              </w:rPr>
            </w:pPr>
            <w:r>
              <w:rPr>
                <w:rFonts w:ascii="Arial" w:hAnsi="Arial" w:cs="Arial"/>
                <w:sz w:val="16"/>
                <w:szCs w:val="16"/>
              </w:rPr>
              <w:t>Ing. Karel Siebert</w:t>
            </w:r>
            <w:r w:rsidR="00E72639">
              <w:rPr>
                <w:rFonts w:ascii="Arial" w:hAnsi="Arial" w:cs="Arial"/>
                <w:sz w:val="16"/>
                <w:szCs w:val="16"/>
              </w:rPr>
              <w:t>, MBA, ředitel</w:t>
            </w:r>
          </w:p>
        </w:tc>
        <w:tc>
          <w:tcPr>
            <w:tcW w:w="2693" w:type="dxa"/>
          </w:tcPr>
          <w:p w:rsidR="00CF4ED9" w:rsidRPr="007D175C" w:rsidRDefault="00CF4ED9" w:rsidP="00FA299F">
            <w:pPr>
              <w:tabs>
                <w:tab w:val="left" w:pos="2694"/>
                <w:tab w:val="left" w:pos="4395"/>
              </w:tabs>
              <w:spacing w:line="240" w:lineRule="auto"/>
              <w:jc w:val="center"/>
              <w:rPr>
                <w:rFonts w:ascii="Arial" w:hAnsi="Arial" w:cs="Arial"/>
                <w:i/>
                <w:sz w:val="16"/>
                <w:szCs w:val="16"/>
              </w:rPr>
            </w:pP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Bankovní spojení:</w:t>
            </w:r>
          </w:p>
        </w:tc>
        <w:tc>
          <w:tcPr>
            <w:tcW w:w="4464" w:type="dxa"/>
          </w:tcPr>
          <w:p w:rsidR="00CF4ED9" w:rsidRPr="007D175C" w:rsidRDefault="00E72639" w:rsidP="00FA299F">
            <w:pPr>
              <w:tabs>
                <w:tab w:val="left" w:pos="2694"/>
                <w:tab w:val="left" w:pos="4395"/>
              </w:tabs>
              <w:spacing w:line="240" w:lineRule="auto"/>
              <w:ind w:left="1914" w:hanging="1914"/>
              <w:rPr>
                <w:rFonts w:ascii="Arial" w:hAnsi="Arial" w:cs="Arial"/>
                <w:sz w:val="16"/>
                <w:szCs w:val="16"/>
              </w:rPr>
            </w:pPr>
            <w:r>
              <w:rPr>
                <w:rFonts w:ascii="Arial" w:hAnsi="Arial" w:cs="Arial"/>
                <w:sz w:val="16"/>
                <w:szCs w:val="16"/>
              </w:rPr>
              <w:t>KB Opava</w:t>
            </w:r>
          </w:p>
        </w:tc>
        <w:tc>
          <w:tcPr>
            <w:tcW w:w="2693" w:type="dxa"/>
          </w:tcPr>
          <w:p w:rsidR="00CF4ED9" w:rsidRPr="007D175C" w:rsidRDefault="00CF4ED9" w:rsidP="00FA299F">
            <w:pPr>
              <w:tabs>
                <w:tab w:val="left" w:pos="2694"/>
                <w:tab w:val="left" w:pos="4395"/>
              </w:tabs>
              <w:spacing w:line="240" w:lineRule="auto"/>
              <w:rPr>
                <w:rFonts w:ascii="Arial" w:hAnsi="Arial" w:cs="Arial"/>
                <w:sz w:val="16"/>
                <w:szCs w:val="16"/>
              </w:rPr>
            </w:pP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Číslo účtu:</w:t>
            </w:r>
          </w:p>
        </w:tc>
        <w:tc>
          <w:tcPr>
            <w:tcW w:w="4464" w:type="dxa"/>
          </w:tcPr>
          <w:p w:rsidR="00CF4ED9" w:rsidRPr="007D175C" w:rsidRDefault="00BC57A7" w:rsidP="00FA299F">
            <w:pPr>
              <w:tabs>
                <w:tab w:val="left" w:pos="2694"/>
                <w:tab w:val="left" w:pos="4395"/>
              </w:tabs>
              <w:spacing w:line="240" w:lineRule="auto"/>
              <w:ind w:left="2058" w:hanging="1914"/>
              <w:rPr>
                <w:rFonts w:ascii="Arial" w:hAnsi="Arial" w:cs="Arial"/>
                <w:sz w:val="16"/>
                <w:szCs w:val="16"/>
              </w:rPr>
            </w:pPr>
            <w:r>
              <w:rPr>
                <w:rFonts w:ascii="Arial" w:hAnsi="Arial" w:cs="Arial"/>
                <w:sz w:val="16"/>
                <w:szCs w:val="16"/>
              </w:rPr>
              <w:t>XXXX</w:t>
            </w:r>
          </w:p>
        </w:tc>
        <w:tc>
          <w:tcPr>
            <w:tcW w:w="2693" w:type="dxa"/>
          </w:tcPr>
          <w:p w:rsidR="00CF4ED9" w:rsidRPr="007D175C" w:rsidRDefault="00CF4ED9" w:rsidP="00FA299F">
            <w:pPr>
              <w:tabs>
                <w:tab w:val="left" w:pos="2694"/>
                <w:tab w:val="left" w:pos="4395"/>
              </w:tabs>
              <w:spacing w:line="240" w:lineRule="auto"/>
              <w:rPr>
                <w:rFonts w:ascii="Arial" w:hAnsi="Arial" w:cs="Arial"/>
                <w:sz w:val="16"/>
                <w:szCs w:val="16"/>
              </w:rPr>
            </w:pP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IČ:</w:t>
            </w:r>
          </w:p>
        </w:tc>
        <w:tc>
          <w:tcPr>
            <w:tcW w:w="4464" w:type="dxa"/>
          </w:tcPr>
          <w:p w:rsidR="00CF4ED9" w:rsidRPr="007D175C" w:rsidRDefault="00E72639" w:rsidP="00FA299F">
            <w:pPr>
              <w:tabs>
                <w:tab w:val="left" w:pos="2694"/>
                <w:tab w:val="left" w:pos="4395"/>
              </w:tabs>
              <w:spacing w:line="240" w:lineRule="auto"/>
              <w:ind w:left="1914" w:hanging="1914"/>
              <w:rPr>
                <w:rFonts w:ascii="Arial" w:hAnsi="Arial" w:cs="Arial"/>
                <w:sz w:val="16"/>
                <w:szCs w:val="16"/>
              </w:rPr>
            </w:pPr>
            <w:r>
              <w:rPr>
                <w:rFonts w:ascii="Arial" w:hAnsi="Arial" w:cs="Arial"/>
                <w:sz w:val="16"/>
                <w:szCs w:val="16"/>
              </w:rPr>
              <w:t>47813750</w:t>
            </w:r>
          </w:p>
        </w:tc>
        <w:tc>
          <w:tcPr>
            <w:tcW w:w="2693" w:type="dxa"/>
          </w:tcPr>
          <w:p w:rsidR="00CF4ED9" w:rsidRPr="007D175C" w:rsidRDefault="00CF4ED9" w:rsidP="00FA299F">
            <w:pPr>
              <w:tabs>
                <w:tab w:val="left" w:pos="2694"/>
                <w:tab w:val="left" w:pos="4395"/>
              </w:tabs>
              <w:spacing w:line="240" w:lineRule="auto"/>
              <w:rPr>
                <w:rFonts w:ascii="Arial" w:hAnsi="Arial" w:cs="Arial"/>
                <w:sz w:val="16"/>
                <w:szCs w:val="16"/>
              </w:rPr>
            </w:pP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DIČ:</w:t>
            </w:r>
          </w:p>
        </w:tc>
        <w:tc>
          <w:tcPr>
            <w:tcW w:w="4464" w:type="dxa"/>
          </w:tcPr>
          <w:p w:rsidR="00CF4ED9" w:rsidRPr="007D175C" w:rsidRDefault="00E72639" w:rsidP="00FA299F">
            <w:pPr>
              <w:tabs>
                <w:tab w:val="left" w:pos="2694"/>
                <w:tab w:val="left" w:pos="4395"/>
              </w:tabs>
              <w:spacing w:line="240" w:lineRule="auto"/>
              <w:ind w:left="1914" w:hanging="1914"/>
              <w:rPr>
                <w:rFonts w:ascii="Arial" w:hAnsi="Arial" w:cs="Arial"/>
                <w:sz w:val="16"/>
                <w:szCs w:val="16"/>
              </w:rPr>
            </w:pPr>
            <w:r>
              <w:rPr>
                <w:rFonts w:ascii="Arial" w:hAnsi="Arial" w:cs="Arial"/>
                <w:sz w:val="16"/>
                <w:szCs w:val="16"/>
              </w:rPr>
              <w:t>CZ47813750</w:t>
            </w:r>
          </w:p>
        </w:tc>
        <w:tc>
          <w:tcPr>
            <w:tcW w:w="2693" w:type="dxa"/>
          </w:tcPr>
          <w:p w:rsidR="00CF4ED9" w:rsidRPr="007D175C" w:rsidRDefault="00CF4ED9" w:rsidP="00FA299F">
            <w:pPr>
              <w:tabs>
                <w:tab w:val="left" w:pos="2694"/>
                <w:tab w:val="left" w:pos="4395"/>
              </w:tabs>
              <w:spacing w:line="240" w:lineRule="auto"/>
              <w:rPr>
                <w:rFonts w:ascii="Arial" w:hAnsi="Arial" w:cs="Arial"/>
                <w:sz w:val="16"/>
                <w:szCs w:val="16"/>
              </w:rPr>
            </w:pPr>
          </w:p>
        </w:tc>
      </w:tr>
      <w:tr w:rsidR="00CF4ED9" w:rsidRPr="007D175C" w:rsidTr="00E72639">
        <w:tc>
          <w:tcPr>
            <w:tcW w:w="3261" w:type="dxa"/>
          </w:tcPr>
          <w:p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(dále jen zákazník)</w:t>
            </w:r>
          </w:p>
        </w:tc>
        <w:tc>
          <w:tcPr>
            <w:tcW w:w="4464" w:type="dxa"/>
          </w:tcPr>
          <w:p w:rsidR="00CF4ED9" w:rsidRPr="007D175C" w:rsidRDefault="00E72639" w:rsidP="00FA299F">
            <w:pPr>
              <w:tabs>
                <w:tab w:val="left" w:pos="2694"/>
                <w:tab w:val="left" w:pos="4395"/>
              </w:tabs>
              <w:spacing w:line="240" w:lineRule="auto"/>
              <w:ind w:left="1914" w:hanging="1914"/>
              <w:rPr>
                <w:rFonts w:ascii="Arial" w:hAnsi="Arial" w:cs="Arial"/>
                <w:sz w:val="16"/>
                <w:szCs w:val="16"/>
              </w:rPr>
            </w:pPr>
            <w:r>
              <w:rPr>
                <w:rFonts w:ascii="Arial" w:hAnsi="Arial" w:cs="Arial"/>
                <w:sz w:val="16"/>
                <w:szCs w:val="16"/>
              </w:rPr>
              <w:t>Zapsán v OR vedeném KS v Ostravě, oddíl Pr, vložka 924</w:t>
            </w:r>
          </w:p>
        </w:tc>
        <w:tc>
          <w:tcPr>
            <w:tcW w:w="2693" w:type="dxa"/>
          </w:tcPr>
          <w:p w:rsidR="00CF4ED9" w:rsidRPr="007D175C" w:rsidRDefault="00CF4ED9" w:rsidP="00FA299F">
            <w:pPr>
              <w:tabs>
                <w:tab w:val="left" w:pos="2694"/>
                <w:tab w:val="left" w:pos="4395"/>
              </w:tabs>
              <w:spacing w:line="240" w:lineRule="auto"/>
              <w:rPr>
                <w:rFonts w:ascii="Arial" w:hAnsi="Arial" w:cs="Arial"/>
                <w:sz w:val="16"/>
                <w:szCs w:val="16"/>
              </w:rPr>
            </w:pPr>
          </w:p>
        </w:tc>
      </w:tr>
    </w:tbl>
    <w:p w:rsidR="00CF4ED9" w:rsidRPr="007D175C" w:rsidRDefault="00CF4ED9" w:rsidP="00FA299F">
      <w:pPr>
        <w:tabs>
          <w:tab w:val="left" w:pos="2694"/>
          <w:tab w:val="left" w:pos="4395"/>
        </w:tabs>
        <w:spacing w:line="240" w:lineRule="auto"/>
        <w:rPr>
          <w:rFonts w:ascii="Arial" w:hAnsi="Arial" w:cs="Arial"/>
          <w:sz w:val="16"/>
          <w:szCs w:val="16"/>
        </w:rPr>
      </w:pPr>
    </w:p>
    <w:p w:rsidR="00CF4ED9" w:rsidRPr="007D175C" w:rsidRDefault="00CF4ED9" w:rsidP="00FA299F">
      <w:pPr>
        <w:tabs>
          <w:tab w:val="left" w:pos="2694"/>
          <w:tab w:val="left" w:pos="4395"/>
        </w:tabs>
        <w:spacing w:line="240" w:lineRule="auto"/>
        <w:jc w:val="center"/>
        <w:rPr>
          <w:rFonts w:ascii="Arial" w:hAnsi="Arial" w:cs="Arial"/>
          <w:sz w:val="16"/>
          <w:szCs w:val="16"/>
        </w:rPr>
      </w:pPr>
      <w:r w:rsidRPr="007D175C">
        <w:rPr>
          <w:rFonts w:ascii="Arial" w:hAnsi="Arial" w:cs="Arial"/>
          <w:sz w:val="16"/>
          <w:szCs w:val="16"/>
        </w:rPr>
        <w:t>tuto</w:t>
      </w:r>
    </w:p>
    <w:p w:rsidR="00CF4ED9" w:rsidRPr="007D175C" w:rsidRDefault="00CF4ED9" w:rsidP="00FA299F">
      <w:pPr>
        <w:pStyle w:val="Nadpis6"/>
        <w:tabs>
          <w:tab w:val="left" w:pos="567"/>
          <w:tab w:val="left" w:pos="4395"/>
        </w:tabs>
        <w:spacing w:line="240" w:lineRule="auto"/>
        <w:jc w:val="center"/>
        <w:rPr>
          <w:rFonts w:ascii="Arial" w:hAnsi="Arial" w:cs="Arial"/>
          <w:b/>
          <w:color w:val="auto"/>
          <w:sz w:val="16"/>
          <w:szCs w:val="16"/>
        </w:rPr>
      </w:pPr>
      <w:r w:rsidRPr="007D175C">
        <w:rPr>
          <w:rFonts w:ascii="Arial" w:hAnsi="Arial" w:cs="Arial"/>
          <w:b/>
          <w:color w:val="auto"/>
          <w:sz w:val="16"/>
          <w:szCs w:val="16"/>
        </w:rPr>
        <w:t>Smlouvu o dlouhodobém pronájmu lahví na stlačené plyny</w:t>
      </w:r>
    </w:p>
    <w:p w:rsidR="00CF4ED9" w:rsidRPr="007D175C" w:rsidRDefault="00CF4ED9" w:rsidP="00FA299F">
      <w:pPr>
        <w:tabs>
          <w:tab w:val="left" w:pos="2694"/>
          <w:tab w:val="left" w:pos="4395"/>
        </w:tabs>
        <w:spacing w:line="240" w:lineRule="auto"/>
        <w:ind w:left="567"/>
        <w:jc w:val="center"/>
        <w:rPr>
          <w:rFonts w:ascii="Arial" w:hAnsi="Arial" w:cs="Arial"/>
          <w:b/>
          <w:i/>
          <w:sz w:val="16"/>
          <w:szCs w:val="16"/>
        </w:rPr>
      </w:pPr>
      <w:r w:rsidRPr="007D175C">
        <w:rPr>
          <w:rFonts w:ascii="Arial" w:hAnsi="Arial" w:cs="Arial"/>
          <w:b/>
          <w:sz w:val="16"/>
          <w:szCs w:val="16"/>
        </w:rPr>
        <w:t xml:space="preserve">číslo </w:t>
      </w:r>
      <w:r w:rsidR="00E72639" w:rsidRPr="002B4F77">
        <w:rPr>
          <w:rFonts w:cs="Arial"/>
          <w:b/>
          <w:bCs/>
          <w:color w:val="000000"/>
          <w:sz w:val="16"/>
          <w:szCs w:val="16"/>
        </w:rPr>
        <w:t>SNO/Otr/2019/26/medic. a tech. plyny+pronájem lahví</w:t>
      </w:r>
      <w:r w:rsidR="00E72639" w:rsidRPr="007D175C">
        <w:rPr>
          <w:rFonts w:ascii="Arial" w:hAnsi="Arial" w:cs="Arial"/>
          <w:b/>
          <w:sz w:val="16"/>
          <w:szCs w:val="16"/>
        </w:rPr>
        <w:t xml:space="preserve"> </w:t>
      </w:r>
    </w:p>
    <w:p w:rsidR="00CF4ED9" w:rsidRPr="007D175C" w:rsidRDefault="00CF4ED9" w:rsidP="00FA299F">
      <w:pPr>
        <w:tabs>
          <w:tab w:val="left" w:pos="851"/>
          <w:tab w:val="left" w:pos="2694"/>
          <w:tab w:val="left" w:pos="4395"/>
        </w:tabs>
        <w:spacing w:line="240" w:lineRule="auto"/>
        <w:jc w:val="both"/>
        <w:rPr>
          <w:rFonts w:ascii="Arial" w:hAnsi="Arial" w:cs="Arial"/>
          <w:sz w:val="16"/>
          <w:szCs w:val="16"/>
        </w:rPr>
      </w:pPr>
    </w:p>
    <w:p w:rsidR="00CF4ED9" w:rsidRPr="007D175C" w:rsidRDefault="00CF4ED9" w:rsidP="003D4668">
      <w:pPr>
        <w:pStyle w:val="Zpat"/>
        <w:numPr>
          <w:ilvl w:val="0"/>
          <w:numId w:val="3"/>
        </w:numPr>
        <w:tabs>
          <w:tab w:val="left" w:pos="567"/>
          <w:tab w:val="left" w:pos="2694"/>
          <w:tab w:val="left" w:pos="4395"/>
        </w:tabs>
        <w:spacing w:line="240" w:lineRule="auto"/>
        <w:ind w:right="284"/>
        <w:rPr>
          <w:rFonts w:ascii="Arial" w:hAnsi="Arial" w:cs="Arial"/>
          <w:sz w:val="16"/>
          <w:szCs w:val="16"/>
        </w:rPr>
      </w:pPr>
      <w:r w:rsidRPr="007D175C">
        <w:rPr>
          <w:rFonts w:ascii="Arial" w:hAnsi="Arial" w:cs="Arial"/>
          <w:sz w:val="16"/>
          <w:szCs w:val="16"/>
        </w:rPr>
        <w:t>Zákazník získává jednorázovým zaplacením níže uvedeného dlouhodobého nájmu + DPH za každou lahev nebo distribuční prostředek na stlačené plyny Linde Gas a.s. (dále jen Linde) právo používat je v počtu a po dobu uvedenou níže.</w:t>
      </w:r>
    </w:p>
    <w:p w:rsidR="00CF4ED9" w:rsidRPr="007D175C" w:rsidRDefault="00CF4ED9" w:rsidP="00FA299F">
      <w:pPr>
        <w:pStyle w:val="Zpat"/>
        <w:tabs>
          <w:tab w:val="left" w:pos="567"/>
          <w:tab w:val="left" w:pos="2694"/>
          <w:tab w:val="left" w:pos="4395"/>
        </w:tabs>
        <w:spacing w:line="240" w:lineRule="auto"/>
        <w:ind w:left="567" w:right="284"/>
        <w:jc w:val="both"/>
        <w:rPr>
          <w:rFonts w:ascii="Arial" w:hAnsi="Arial" w:cs="Arial"/>
          <w:sz w:val="16"/>
          <w:szCs w:val="16"/>
        </w:rPr>
      </w:pPr>
    </w:p>
    <w:tbl>
      <w:tblPr>
        <w:tblW w:w="0" w:type="auto"/>
        <w:tblInd w:w="279" w:type="dxa"/>
        <w:tblLayout w:type="fixed"/>
        <w:tblCellMar>
          <w:left w:w="70" w:type="dxa"/>
          <w:right w:w="70" w:type="dxa"/>
        </w:tblCellMar>
        <w:tblLook w:val="0000" w:firstRow="0" w:lastRow="0" w:firstColumn="0" w:lastColumn="0" w:noHBand="0" w:noVBand="0"/>
      </w:tblPr>
      <w:tblGrid>
        <w:gridCol w:w="2410"/>
        <w:gridCol w:w="1777"/>
        <w:gridCol w:w="1985"/>
        <w:gridCol w:w="1985"/>
        <w:gridCol w:w="1985"/>
      </w:tblGrid>
      <w:tr w:rsidR="00CF4ED9" w:rsidRPr="007D175C" w:rsidTr="00E72639">
        <w:trPr>
          <w:trHeight w:val="587"/>
        </w:trPr>
        <w:tc>
          <w:tcPr>
            <w:tcW w:w="2410" w:type="dxa"/>
            <w:tcBorders>
              <w:top w:val="single" w:sz="4" w:space="0" w:color="auto"/>
              <w:left w:val="single" w:sz="4" w:space="0" w:color="auto"/>
              <w:bottom w:val="single" w:sz="4" w:space="0" w:color="auto"/>
              <w:right w:val="single" w:sz="4" w:space="0" w:color="auto"/>
            </w:tcBorders>
            <w:shd w:val="clear" w:color="auto" w:fill="CCCCCC"/>
            <w:vAlign w:val="center"/>
          </w:tcPr>
          <w:p w:rsidR="00CF4ED9" w:rsidRPr="007D175C" w:rsidRDefault="00CF4ED9" w:rsidP="00FA299F">
            <w:pPr>
              <w:tabs>
                <w:tab w:val="left" w:pos="851"/>
                <w:tab w:val="left" w:pos="2694"/>
                <w:tab w:val="left" w:pos="4395"/>
              </w:tabs>
              <w:spacing w:line="240" w:lineRule="auto"/>
              <w:jc w:val="both"/>
              <w:rPr>
                <w:rFonts w:ascii="Arial" w:hAnsi="Arial" w:cs="Arial"/>
                <w:b/>
                <w:sz w:val="16"/>
                <w:szCs w:val="16"/>
              </w:rPr>
            </w:pPr>
            <w:r w:rsidRPr="007D175C">
              <w:rPr>
                <w:rFonts w:ascii="Arial" w:hAnsi="Arial" w:cs="Arial"/>
                <w:b/>
                <w:sz w:val="16"/>
                <w:szCs w:val="16"/>
              </w:rPr>
              <w:t xml:space="preserve">Skupina lahví / </w:t>
            </w:r>
          </w:p>
          <w:p w:rsidR="00CF4ED9" w:rsidRPr="007D175C" w:rsidRDefault="00CF4ED9" w:rsidP="00FA299F">
            <w:pPr>
              <w:tabs>
                <w:tab w:val="left" w:pos="851"/>
                <w:tab w:val="left" w:pos="2694"/>
                <w:tab w:val="left" w:pos="4395"/>
              </w:tabs>
              <w:spacing w:line="240" w:lineRule="auto"/>
              <w:jc w:val="both"/>
              <w:rPr>
                <w:rFonts w:ascii="Arial" w:hAnsi="Arial" w:cs="Arial"/>
                <w:b/>
                <w:sz w:val="16"/>
                <w:szCs w:val="16"/>
              </w:rPr>
            </w:pPr>
            <w:r w:rsidRPr="007D175C">
              <w:rPr>
                <w:rFonts w:ascii="Arial" w:hAnsi="Arial" w:cs="Arial"/>
                <w:b/>
                <w:sz w:val="16"/>
                <w:szCs w:val="16"/>
              </w:rPr>
              <w:t>Distr. prostředek</w:t>
            </w:r>
          </w:p>
        </w:tc>
        <w:tc>
          <w:tcPr>
            <w:tcW w:w="1777" w:type="dxa"/>
            <w:tcBorders>
              <w:top w:val="single" w:sz="4" w:space="0" w:color="auto"/>
              <w:left w:val="nil"/>
              <w:bottom w:val="single" w:sz="4" w:space="0" w:color="auto"/>
              <w:right w:val="single" w:sz="4" w:space="0" w:color="auto"/>
            </w:tcBorders>
            <w:shd w:val="clear" w:color="auto" w:fill="CCCCCC"/>
            <w:vAlign w:val="center"/>
          </w:tcPr>
          <w:p w:rsidR="00CF4ED9" w:rsidRPr="007D175C" w:rsidRDefault="00CF4ED9" w:rsidP="00FA299F">
            <w:pPr>
              <w:tabs>
                <w:tab w:val="left" w:pos="851"/>
                <w:tab w:val="left" w:pos="2694"/>
                <w:tab w:val="left" w:pos="4395"/>
              </w:tabs>
              <w:spacing w:line="240" w:lineRule="auto"/>
              <w:jc w:val="both"/>
              <w:rPr>
                <w:rFonts w:ascii="Arial" w:hAnsi="Arial" w:cs="Arial"/>
                <w:b/>
                <w:sz w:val="16"/>
                <w:szCs w:val="16"/>
              </w:rPr>
            </w:pPr>
            <w:r w:rsidRPr="007D175C">
              <w:rPr>
                <w:rFonts w:ascii="Arial" w:hAnsi="Arial" w:cs="Arial"/>
                <w:b/>
                <w:sz w:val="16"/>
                <w:szCs w:val="16"/>
              </w:rPr>
              <w:t xml:space="preserve">Počet </w:t>
            </w:r>
          </w:p>
          <w:p w:rsidR="00CF4ED9" w:rsidRPr="007D175C" w:rsidRDefault="00CF4ED9" w:rsidP="00FA299F">
            <w:pPr>
              <w:tabs>
                <w:tab w:val="left" w:pos="851"/>
                <w:tab w:val="left" w:pos="2694"/>
                <w:tab w:val="left" w:pos="4395"/>
              </w:tabs>
              <w:spacing w:line="240" w:lineRule="auto"/>
              <w:jc w:val="both"/>
              <w:rPr>
                <w:rFonts w:ascii="Arial" w:hAnsi="Arial" w:cs="Arial"/>
                <w:b/>
                <w:sz w:val="16"/>
                <w:szCs w:val="16"/>
              </w:rPr>
            </w:pPr>
            <w:r w:rsidRPr="007D175C">
              <w:rPr>
                <w:rFonts w:ascii="Arial" w:hAnsi="Arial" w:cs="Arial"/>
                <w:b/>
                <w:sz w:val="16"/>
                <w:szCs w:val="16"/>
              </w:rPr>
              <w:t>pronajatých kusů</w:t>
            </w:r>
          </w:p>
        </w:tc>
        <w:tc>
          <w:tcPr>
            <w:tcW w:w="1985" w:type="dxa"/>
            <w:tcBorders>
              <w:top w:val="single" w:sz="4" w:space="0" w:color="auto"/>
              <w:left w:val="nil"/>
              <w:bottom w:val="single" w:sz="4" w:space="0" w:color="auto"/>
              <w:right w:val="single" w:sz="4" w:space="0" w:color="auto"/>
            </w:tcBorders>
            <w:shd w:val="clear" w:color="auto" w:fill="CCCCCC"/>
            <w:vAlign w:val="center"/>
          </w:tcPr>
          <w:p w:rsidR="00CF4ED9" w:rsidRPr="007D175C" w:rsidRDefault="00CF4ED9" w:rsidP="00FA299F">
            <w:pPr>
              <w:tabs>
                <w:tab w:val="left" w:pos="851"/>
                <w:tab w:val="left" w:pos="2694"/>
                <w:tab w:val="left" w:pos="4395"/>
              </w:tabs>
              <w:spacing w:line="240" w:lineRule="auto"/>
              <w:jc w:val="both"/>
              <w:rPr>
                <w:rFonts w:ascii="Arial" w:hAnsi="Arial" w:cs="Arial"/>
                <w:b/>
                <w:sz w:val="16"/>
                <w:szCs w:val="16"/>
              </w:rPr>
            </w:pPr>
            <w:r w:rsidRPr="007D175C">
              <w:rPr>
                <w:rFonts w:ascii="Arial" w:hAnsi="Arial" w:cs="Arial"/>
                <w:b/>
                <w:sz w:val="16"/>
                <w:szCs w:val="16"/>
              </w:rPr>
              <w:t xml:space="preserve">Počátek </w:t>
            </w:r>
          </w:p>
          <w:p w:rsidR="00CF4ED9" w:rsidRPr="007D175C" w:rsidRDefault="00CF4ED9" w:rsidP="00FA299F">
            <w:pPr>
              <w:tabs>
                <w:tab w:val="left" w:pos="851"/>
                <w:tab w:val="left" w:pos="2694"/>
                <w:tab w:val="left" w:pos="4395"/>
              </w:tabs>
              <w:spacing w:line="240" w:lineRule="auto"/>
              <w:jc w:val="both"/>
              <w:rPr>
                <w:rFonts w:ascii="Arial" w:hAnsi="Arial" w:cs="Arial"/>
                <w:b/>
                <w:sz w:val="16"/>
                <w:szCs w:val="16"/>
              </w:rPr>
            </w:pPr>
            <w:r w:rsidRPr="007D175C">
              <w:rPr>
                <w:rFonts w:ascii="Arial" w:hAnsi="Arial" w:cs="Arial"/>
                <w:b/>
                <w:sz w:val="16"/>
                <w:szCs w:val="16"/>
              </w:rPr>
              <w:t>smlouvy</w:t>
            </w:r>
          </w:p>
        </w:tc>
        <w:tc>
          <w:tcPr>
            <w:tcW w:w="1985" w:type="dxa"/>
            <w:tcBorders>
              <w:top w:val="single" w:sz="4" w:space="0" w:color="auto"/>
              <w:left w:val="nil"/>
              <w:bottom w:val="single" w:sz="4" w:space="0" w:color="auto"/>
              <w:right w:val="single" w:sz="4" w:space="0" w:color="auto"/>
            </w:tcBorders>
            <w:shd w:val="clear" w:color="auto" w:fill="CCCCCC"/>
            <w:vAlign w:val="center"/>
          </w:tcPr>
          <w:p w:rsidR="00CF4ED9" w:rsidRPr="007D175C" w:rsidRDefault="00CF4ED9" w:rsidP="00FA299F">
            <w:pPr>
              <w:tabs>
                <w:tab w:val="left" w:pos="851"/>
                <w:tab w:val="left" w:pos="2694"/>
                <w:tab w:val="left" w:pos="4395"/>
              </w:tabs>
              <w:spacing w:line="240" w:lineRule="auto"/>
              <w:jc w:val="both"/>
              <w:rPr>
                <w:rFonts w:ascii="Arial" w:hAnsi="Arial" w:cs="Arial"/>
                <w:b/>
                <w:sz w:val="16"/>
                <w:szCs w:val="16"/>
              </w:rPr>
            </w:pPr>
            <w:r w:rsidRPr="007D175C">
              <w:rPr>
                <w:rFonts w:ascii="Arial" w:hAnsi="Arial" w:cs="Arial"/>
                <w:b/>
                <w:sz w:val="16"/>
                <w:szCs w:val="16"/>
              </w:rPr>
              <w:t xml:space="preserve">Konec </w:t>
            </w:r>
          </w:p>
          <w:p w:rsidR="00CF4ED9" w:rsidRPr="007D175C" w:rsidRDefault="00CF4ED9" w:rsidP="00FA299F">
            <w:pPr>
              <w:tabs>
                <w:tab w:val="left" w:pos="851"/>
                <w:tab w:val="left" w:pos="2694"/>
                <w:tab w:val="left" w:pos="4395"/>
              </w:tabs>
              <w:spacing w:line="240" w:lineRule="auto"/>
              <w:jc w:val="both"/>
              <w:rPr>
                <w:rFonts w:ascii="Arial" w:hAnsi="Arial" w:cs="Arial"/>
                <w:b/>
                <w:sz w:val="16"/>
                <w:szCs w:val="16"/>
              </w:rPr>
            </w:pPr>
            <w:r w:rsidRPr="007D175C">
              <w:rPr>
                <w:rFonts w:ascii="Arial" w:hAnsi="Arial" w:cs="Arial"/>
                <w:b/>
                <w:sz w:val="16"/>
                <w:szCs w:val="16"/>
              </w:rPr>
              <w:t>smlouvy</w:t>
            </w:r>
          </w:p>
        </w:tc>
        <w:tc>
          <w:tcPr>
            <w:tcW w:w="1985" w:type="dxa"/>
            <w:tcBorders>
              <w:top w:val="single" w:sz="4" w:space="0" w:color="auto"/>
              <w:left w:val="nil"/>
              <w:bottom w:val="single" w:sz="4" w:space="0" w:color="auto"/>
              <w:right w:val="single" w:sz="4" w:space="0" w:color="auto"/>
            </w:tcBorders>
            <w:shd w:val="clear" w:color="auto" w:fill="CCCCCC"/>
            <w:vAlign w:val="center"/>
          </w:tcPr>
          <w:p w:rsidR="00CF4ED9" w:rsidRPr="007D175C" w:rsidRDefault="00CF4ED9" w:rsidP="00FA299F">
            <w:pPr>
              <w:tabs>
                <w:tab w:val="left" w:pos="851"/>
                <w:tab w:val="left" w:pos="2694"/>
                <w:tab w:val="left" w:pos="4395"/>
              </w:tabs>
              <w:spacing w:line="240" w:lineRule="auto"/>
              <w:jc w:val="both"/>
              <w:rPr>
                <w:rFonts w:ascii="Arial" w:hAnsi="Arial" w:cs="Arial"/>
                <w:b/>
                <w:sz w:val="16"/>
                <w:szCs w:val="16"/>
              </w:rPr>
            </w:pPr>
            <w:r w:rsidRPr="007D175C">
              <w:rPr>
                <w:rFonts w:ascii="Arial" w:hAnsi="Arial" w:cs="Arial"/>
                <w:b/>
                <w:sz w:val="16"/>
                <w:szCs w:val="16"/>
              </w:rPr>
              <w:t xml:space="preserve">Nájemné/kus </w:t>
            </w:r>
          </w:p>
          <w:p w:rsidR="00CF4ED9" w:rsidRPr="007D175C" w:rsidRDefault="00CF4ED9" w:rsidP="00FA299F">
            <w:pPr>
              <w:tabs>
                <w:tab w:val="left" w:pos="851"/>
                <w:tab w:val="left" w:pos="2694"/>
                <w:tab w:val="left" w:pos="4395"/>
              </w:tabs>
              <w:spacing w:line="240" w:lineRule="auto"/>
              <w:jc w:val="both"/>
              <w:rPr>
                <w:rFonts w:ascii="Arial" w:hAnsi="Arial" w:cs="Arial"/>
                <w:b/>
                <w:sz w:val="16"/>
                <w:szCs w:val="16"/>
              </w:rPr>
            </w:pPr>
            <w:r w:rsidRPr="007D175C">
              <w:rPr>
                <w:rFonts w:ascii="Arial" w:hAnsi="Arial" w:cs="Arial"/>
                <w:b/>
                <w:sz w:val="16"/>
                <w:szCs w:val="16"/>
              </w:rPr>
              <w:t>(Kč)</w:t>
            </w:r>
          </w:p>
        </w:tc>
      </w:tr>
      <w:tr w:rsidR="008154DC" w:rsidRPr="007D175C" w:rsidTr="00E72639">
        <w:trPr>
          <w:trHeight w:val="285"/>
        </w:trPr>
        <w:tc>
          <w:tcPr>
            <w:tcW w:w="2410" w:type="dxa"/>
            <w:tcBorders>
              <w:top w:val="single" w:sz="4" w:space="0" w:color="auto"/>
              <w:left w:val="single" w:sz="4" w:space="0" w:color="auto"/>
              <w:right w:val="single" w:sz="4" w:space="0" w:color="auto"/>
            </w:tcBorders>
            <w:vAlign w:val="center"/>
          </w:tcPr>
          <w:p w:rsidR="008154DC" w:rsidRPr="007D175C" w:rsidRDefault="008154DC" w:rsidP="008154DC">
            <w:pPr>
              <w:tabs>
                <w:tab w:val="left" w:pos="851"/>
                <w:tab w:val="left" w:pos="2694"/>
                <w:tab w:val="left" w:pos="4395"/>
              </w:tabs>
              <w:spacing w:line="240" w:lineRule="auto"/>
              <w:jc w:val="both"/>
              <w:rPr>
                <w:rFonts w:ascii="Arial" w:hAnsi="Arial" w:cs="Arial"/>
                <w:sz w:val="16"/>
                <w:szCs w:val="16"/>
              </w:rPr>
            </w:pPr>
            <w:r w:rsidRPr="007D175C">
              <w:rPr>
                <w:rFonts w:ascii="Arial" w:hAnsi="Arial" w:cs="Arial"/>
                <w:sz w:val="16"/>
                <w:szCs w:val="16"/>
              </w:rPr>
              <w:t>Lahve – technické plyny</w:t>
            </w:r>
          </w:p>
        </w:tc>
        <w:tc>
          <w:tcPr>
            <w:tcW w:w="1777" w:type="dxa"/>
            <w:tcBorders>
              <w:top w:val="single" w:sz="4" w:space="0" w:color="auto"/>
              <w:left w:val="nil"/>
              <w:right w:val="single" w:sz="4" w:space="0" w:color="auto"/>
            </w:tcBorders>
            <w:vAlign w:val="center"/>
          </w:tcPr>
          <w:p w:rsidR="008154DC" w:rsidRPr="007D175C" w:rsidRDefault="008154DC" w:rsidP="008154DC">
            <w:pPr>
              <w:tabs>
                <w:tab w:val="left" w:pos="851"/>
                <w:tab w:val="left" w:pos="2694"/>
                <w:tab w:val="left" w:pos="4395"/>
              </w:tabs>
              <w:spacing w:line="240" w:lineRule="auto"/>
              <w:jc w:val="center"/>
              <w:rPr>
                <w:rFonts w:ascii="Arial" w:hAnsi="Arial" w:cs="Arial"/>
                <w:sz w:val="16"/>
                <w:szCs w:val="16"/>
              </w:rPr>
            </w:pPr>
            <w:r>
              <w:rPr>
                <w:rFonts w:ascii="Arial" w:hAnsi="Arial" w:cs="Arial"/>
                <w:sz w:val="16"/>
                <w:szCs w:val="16"/>
              </w:rPr>
              <w:t>17</w:t>
            </w:r>
          </w:p>
        </w:tc>
        <w:tc>
          <w:tcPr>
            <w:tcW w:w="1985" w:type="dxa"/>
            <w:tcBorders>
              <w:top w:val="single" w:sz="4" w:space="0" w:color="auto"/>
              <w:left w:val="nil"/>
              <w:bottom w:val="single" w:sz="6" w:space="0" w:color="auto"/>
              <w:right w:val="single" w:sz="4" w:space="0" w:color="auto"/>
            </w:tcBorders>
            <w:vAlign w:val="center"/>
          </w:tcPr>
          <w:p w:rsidR="008154DC" w:rsidRPr="007D175C" w:rsidRDefault="008154DC" w:rsidP="008154DC">
            <w:pPr>
              <w:tabs>
                <w:tab w:val="left" w:pos="851"/>
                <w:tab w:val="left" w:pos="2694"/>
                <w:tab w:val="left" w:pos="4395"/>
              </w:tabs>
              <w:spacing w:line="240" w:lineRule="auto"/>
              <w:jc w:val="both"/>
              <w:rPr>
                <w:rFonts w:ascii="Arial" w:hAnsi="Arial" w:cs="Arial"/>
                <w:sz w:val="16"/>
                <w:szCs w:val="16"/>
              </w:rPr>
            </w:pPr>
            <w:r>
              <w:rPr>
                <w:rFonts w:cs="Arial"/>
                <w:sz w:val="16"/>
                <w:szCs w:val="16"/>
              </w:rPr>
              <w:t>1.</w:t>
            </w:r>
            <w:r w:rsidR="00252F02">
              <w:rPr>
                <w:rFonts w:cs="Arial"/>
                <w:sz w:val="16"/>
                <w:szCs w:val="16"/>
              </w:rPr>
              <w:t>5</w:t>
            </w:r>
            <w:r>
              <w:rPr>
                <w:rFonts w:cs="Arial"/>
                <w:sz w:val="16"/>
                <w:szCs w:val="16"/>
              </w:rPr>
              <w:t>.20</w:t>
            </w:r>
            <w:r w:rsidR="00252F02">
              <w:rPr>
                <w:rFonts w:cs="Arial"/>
                <w:sz w:val="16"/>
                <w:szCs w:val="16"/>
              </w:rPr>
              <w:t>20</w:t>
            </w:r>
          </w:p>
        </w:tc>
        <w:tc>
          <w:tcPr>
            <w:tcW w:w="1985" w:type="dxa"/>
            <w:tcBorders>
              <w:top w:val="single" w:sz="4" w:space="0" w:color="auto"/>
              <w:left w:val="nil"/>
              <w:bottom w:val="single" w:sz="6" w:space="0" w:color="auto"/>
              <w:right w:val="single" w:sz="4" w:space="0" w:color="auto"/>
            </w:tcBorders>
            <w:vAlign w:val="center"/>
          </w:tcPr>
          <w:p w:rsidR="008154DC" w:rsidRPr="007D175C" w:rsidRDefault="008154DC" w:rsidP="008154DC">
            <w:pPr>
              <w:tabs>
                <w:tab w:val="left" w:pos="851"/>
                <w:tab w:val="left" w:pos="2694"/>
                <w:tab w:val="left" w:pos="4395"/>
              </w:tabs>
              <w:spacing w:line="240" w:lineRule="auto"/>
              <w:jc w:val="both"/>
              <w:rPr>
                <w:rFonts w:ascii="Arial" w:hAnsi="Arial" w:cs="Arial"/>
                <w:sz w:val="16"/>
                <w:szCs w:val="16"/>
              </w:rPr>
            </w:pPr>
            <w:r>
              <w:rPr>
                <w:rFonts w:cs="Arial"/>
                <w:sz w:val="16"/>
                <w:szCs w:val="16"/>
              </w:rPr>
              <w:t>3</w:t>
            </w:r>
            <w:r w:rsidR="00252F02">
              <w:rPr>
                <w:rFonts w:cs="Arial"/>
                <w:sz w:val="16"/>
                <w:szCs w:val="16"/>
              </w:rPr>
              <w:t>1</w:t>
            </w:r>
            <w:r>
              <w:rPr>
                <w:rFonts w:cs="Arial"/>
                <w:sz w:val="16"/>
                <w:szCs w:val="16"/>
              </w:rPr>
              <w:t>.</w:t>
            </w:r>
            <w:r w:rsidR="00252F02">
              <w:rPr>
                <w:rFonts w:cs="Arial"/>
                <w:sz w:val="16"/>
                <w:szCs w:val="16"/>
              </w:rPr>
              <w:t>10</w:t>
            </w:r>
            <w:r>
              <w:rPr>
                <w:rFonts w:cs="Arial"/>
                <w:sz w:val="16"/>
                <w:szCs w:val="16"/>
              </w:rPr>
              <w:t>.2020</w:t>
            </w:r>
          </w:p>
        </w:tc>
        <w:tc>
          <w:tcPr>
            <w:tcW w:w="1985" w:type="dxa"/>
            <w:tcBorders>
              <w:top w:val="single" w:sz="4" w:space="0" w:color="auto"/>
              <w:left w:val="nil"/>
              <w:bottom w:val="single" w:sz="6" w:space="0" w:color="auto"/>
              <w:right w:val="single" w:sz="4" w:space="0" w:color="auto"/>
            </w:tcBorders>
            <w:vAlign w:val="center"/>
          </w:tcPr>
          <w:p w:rsidR="008154DC" w:rsidRPr="007D175C" w:rsidRDefault="00BC57A7" w:rsidP="008154DC">
            <w:pPr>
              <w:tabs>
                <w:tab w:val="left" w:pos="851"/>
                <w:tab w:val="left" w:pos="2694"/>
                <w:tab w:val="left" w:pos="4395"/>
              </w:tabs>
              <w:spacing w:line="240" w:lineRule="auto"/>
              <w:jc w:val="both"/>
              <w:rPr>
                <w:rFonts w:ascii="Arial" w:hAnsi="Arial" w:cs="Arial"/>
                <w:sz w:val="16"/>
                <w:szCs w:val="16"/>
              </w:rPr>
            </w:pPr>
            <w:r>
              <w:rPr>
                <w:rFonts w:ascii="Arial" w:hAnsi="Arial" w:cs="Arial"/>
                <w:sz w:val="16"/>
                <w:szCs w:val="16"/>
              </w:rPr>
              <w:t>XXXX</w:t>
            </w:r>
          </w:p>
        </w:tc>
      </w:tr>
      <w:tr w:rsidR="00252F02" w:rsidRPr="007D175C" w:rsidTr="00E72639">
        <w:trPr>
          <w:trHeight w:val="285"/>
        </w:trPr>
        <w:tc>
          <w:tcPr>
            <w:tcW w:w="2410" w:type="dxa"/>
            <w:tcBorders>
              <w:top w:val="single" w:sz="4" w:space="0" w:color="auto"/>
              <w:left w:val="single" w:sz="4"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sidRPr="007D175C">
              <w:rPr>
                <w:rFonts w:ascii="Arial" w:hAnsi="Arial" w:cs="Arial"/>
                <w:sz w:val="16"/>
                <w:szCs w:val="16"/>
              </w:rPr>
              <w:t>Lahve – acetylen</w:t>
            </w:r>
          </w:p>
        </w:tc>
        <w:tc>
          <w:tcPr>
            <w:tcW w:w="1777" w:type="dxa"/>
            <w:tcBorders>
              <w:top w:val="single" w:sz="4" w:space="0" w:color="auto"/>
              <w:left w:val="nil"/>
              <w:right w:val="single" w:sz="4" w:space="0" w:color="auto"/>
            </w:tcBorders>
            <w:vAlign w:val="center"/>
          </w:tcPr>
          <w:p w:rsidR="00252F02" w:rsidRPr="007D175C" w:rsidRDefault="00252F02" w:rsidP="00252F02">
            <w:pPr>
              <w:tabs>
                <w:tab w:val="left" w:pos="851"/>
                <w:tab w:val="left" w:pos="2694"/>
                <w:tab w:val="left" w:pos="4395"/>
              </w:tabs>
              <w:spacing w:line="240" w:lineRule="auto"/>
              <w:jc w:val="center"/>
              <w:rPr>
                <w:rFonts w:ascii="Arial" w:hAnsi="Arial" w:cs="Arial"/>
                <w:sz w:val="16"/>
                <w:szCs w:val="16"/>
              </w:rPr>
            </w:pPr>
            <w:r>
              <w:rPr>
                <w:rFonts w:ascii="Arial" w:hAnsi="Arial" w:cs="Arial"/>
                <w:sz w:val="16"/>
                <w:szCs w:val="16"/>
              </w:rPr>
              <w:t>2</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1.5.2020</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31.10.2020</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BC57A7" w:rsidP="00252F02">
            <w:pPr>
              <w:tabs>
                <w:tab w:val="left" w:pos="851"/>
                <w:tab w:val="left" w:pos="2694"/>
                <w:tab w:val="left" w:pos="4395"/>
              </w:tabs>
              <w:spacing w:line="240" w:lineRule="auto"/>
              <w:jc w:val="both"/>
              <w:rPr>
                <w:rFonts w:ascii="Arial" w:hAnsi="Arial" w:cs="Arial"/>
                <w:sz w:val="16"/>
                <w:szCs w:val="16"/>
              </w:rPr>
            </w:pPr>
            <w:r>
              <w:rPr>
                <w:rFonts w:ascii="Arial" w:hAnsi="Arial" w:cs="Arial"/>
                <w:sz w:val="16"/>
                <w:szCs w:val="16"/>
              </w:rPr>
              <w:t>XXXX</w:t>
            </w:r>
          </w:p>
        </w:tc>
      </w:tr>
      <w:tr w:rsidR="00252F02" w:rsidRPr="007D175C" w:rsidTr="00E72639">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sidRPr="007D175C">
              <w:rPr>
                <w:rFonts w:ascii="Arial" w:hAnsi="Arial" w:cs="Arial"/>
                <w:sz w:val="16"/>
                <w:szCs w:val="16"/>
              </w:rPr>
              <w:t>Lahve – speciální plyny</w:t>
            </w:r>
          </w:p>
        </w:tc>
        <w:tc>
          <w:tcPr>
            <w:tcW w:w="1777" w:type="dxa"/>
            <w:tcBorders>
              <w:top w:val="single" w:sz="4" w:space="0" w:color="auto"/>
              <w:left w:val="nil"/>
              <w:bottom w:val="single" w:sz="4"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center"/>
              <w:rPr>
                <w:rFonts w:ascii="Arial" w:hAnsi="Arial" w:cs="Arial"/>
                <w:sz w:val="16"/>
                <w:szCs w:val="16"/>
              </w:rPr>
            </w:pPr>
            <w:r>
              <w:rPr>
                <w:rFonts w:ascii="Arial" w:hAnsi="Arial" w:cs="Arial"/>
                <w:sz w:val="16"/>
                <w:szCs w:val="16"/>
              </w:rPr>
              <w:t>1</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1.5.2020</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31.10.2020</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BC57A7" w:rsidP="00252F02">
            <w:pPr>
              <w:tabs>
                <w:tab w:val="left" w:pos="851"/>
                <w:tab w:val="left" w:pos="2694"/>
                <w:tab w:val="left" w:pos="4395"/>
              </w:tabs>
              <w:spacing w:line="240" w:lineRule="auto"/>
              <w:jc w:val="both"/>
              <w:rPr>
                <w:rFonts w:ascii="Arial" w:hAnsi="Arial" w:cs="Arial"/>
                <w:sz w:val="16"/>
                <w:szCs w:val="16"/>
              </w:rPr>
            </w:pPr>
            <w:r>
              <w:rPr>
                <w:rFonts w:ascii="Arial" w:hAnsi="Arial" w:cs="Arial"/>
                <w:sz w:val="16"/>
                <w:szCs w:val="16"/>
              </w:rPr>
              <w:t>XXXX</w:t>
            </w:r>
          </w:p>
        </w:tc>
      </w:tr>
      <w:tr w:rsidR="00252F02" w:rsidRPr="007D175C" w:rsidTr="00E72639">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sidRPr="007D175C">
              <w:rPr>
                <w:rFonts w:ascii="Arial" w:hAnsi="Arial" w:cs="Arial"/>
                <w:sz w:val="16"/>
                <w:szCs w:val="16"/>
              </w:rPr>
              <w:t>Lahve – medicinální plyny</w:t>
            </w:r>
          </w:p>
        </w:tc>
        <w:tc>
          <w:tcPr>
            <w:tcW w:w="1777" w:type="dxa"/>
            <w:tcBorders>
              <w:top w:val="single" w:sz="4" w:space="0" w:color="auto"/>
              <w:left w:val="nil"/>
              <w:bottom w:val="single" w:sz="4" w:space="0" w:color="auto"/>
              <w:right w:val="single" w:sz="4" w:space="0" w:color="auto"/>
            </w:tcBorders>
            <w:vAlign w:val="center"/>
          </w:tcPr>
          <w:p w:rsidR="00252F02" w:rsidRPr="007D175C" w:rsidRDefault="00252F02" w:rsidP="00B50821">
            <w:pPr>
              <w:tabs>
                <w:tab w:val="left" w:pos="851"/>
                <w:tab w:val="left" w:pos="2694"/>
                <w:tab w:val="left" w:pos="4395"/>
              </w:tabs>
              <w:spacing w:line="240" w:lineRule="auto"/>
              <w:jc w:val="center"/>
              <w:rPr>
                <w:rFonts w:ascii="Arial" w:hAnsi="Arial" w:cs="Arial"/>
                <w:sz w:val="16"/>
                <w:szCs w:val="16"/>
              </w:rPr>
            </w:pPr>
            <w:r>
              <w:rPr>
                <w:rFonts w:ascii="Arial" w:hAnsi="Arial" w:cs="Arial"/>
                <w:sz w:val="16"/>
                <w:szCs w:val="16"/>
              </w:rPr>
              <w:t xml:space="preserve">73 </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1.5.2020</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31.10.2020</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BC57A7" w:rsidP="00252F02">
            <w:pPr>
              <w:tabs>
                <w:tab w:val="left" w:pos="851"/>
                <w:tab w:val="left" w:pos="2694"/>
                <w:tab w:val="left" w:pos="4395"/>
              </w:tabs>
              <w:spacing w:line="240" w:lineRule="auto"/>
              <w:jc w:val="both"/>
              <w:rPr>
                <w:rFonts w:ascii="Arial" w:hAnsi="Arial" w:cs="Arial"/>
                <w:sz w:val="16"/>
                <w:szCs w:val="16"/>
              </w:rPr>
            </w:pPr>
            <w:r>
              <w:rPr>
                <w:rFonts w:ascii="Arial" w:hAnsi="Arial" w:cs="Arial"/>
                <w:sz w:val="16"/>
                <w:szCs w:val="16"/>
              </w:rPr>
              <w:t>XXXX</w:t>
            </w:r>
          </w:p>
        </w:tc>
      </w:tr>
      <w:tr w:rsidR="00252F02" w:rsidRPr="007D175C" w:rsidTr="00E72639">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sidRPr="007D175C">
              <w:rPr>
                <w:rFonts w:ascii="Arial" w:hAnsi="Arial" w:cs="Arial"/>
                <w:sz w:val="16"/>
                <w:szCs w:val="16"/>
              </w:rPr>
              <w:t>Lahve – medicinální plyny</w:t>
            </w:r>
            <w:r>
              <w:rPr>
                <w:rFonts w:ascii="Arial" w:hAnsi="Arial" w:cs="Arial"/>
                <w:sz w:val="16"/>
                <w:szCs w:val="16"/>
              </w:rPr>
              <w:t xml:space="preserve"> LIV</w:t>
            </w:r>
          </w:p>
        </w:tc>
        <w:tc>
          <w:tcPr>
            <w:tcW w:w="1777" w:type="dxa"/>
            <w:tcBorders>
              <w:top w:val="single" w:sz="4" w:space="0" w:color="auto"/>
              <w:left w:val="nil"/>
              <w:bottom w:val="single" w:sz="4"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center"/>
              <w:rPr>
                <w:rFonts w:ascii="Arial" w:hAnsi="Arial" w:cs="Arial"/>
                <w:sz w:val="16"/>
                <w:szCs w:val="16"/>
              </w:rPr>
            </w:pPr>
            <w:r>
              <w:rPr>
                <w:rFonts w:ascii="Arial" w:hAnsi="Arial" w:cs="Arial"/>
                <w:sz w:val="16"/>
                <w:szCs w:val="16"/>
              </w:rPr>
              <w:t>62</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1.5.2020</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31.10.2020</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BC57A7" w:rsidP="00252F02">
            <w:pPr>
              <w:tabs>
                <w:tab w:val="left" w:pos="851"/>
                <w:tab w:val="left" w:pos="2694"/>
                <w:tab w:val="left" w:pos="4395"/>
              </w:tabs>
              <w:spacing w:line="240" w:lineRule="auto"/>
              <w:jc w:val="both"/>
              <w:rPr>
                <w:rFonts w:ascii="Arial" w:hAnsi="Arial" w:cs="Arial"/>
                <w:sz w:val="16"/>
                <w:szCs w:val="16"/>
              </w:rPr>
            </w:pPr>
            <w:r>
              <w:rPr>
                <w:rFonts w:ascii="Arial" w:hAnsi="Arial" w:cs="Arial"/>
                <w:sz w:val="16"/>
                <w:szCs w:val="16"/>
              </w:rPr>
              <w:t>XXXX</w:t>
            </w:r>
          </w:p>
        </w:tc>
      </w:tr>
      <w:tr w:rsidR="00252F02" w:rsidRPr="007D175C" w:rsidTr="00E72639">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sidRPr="007B67A8">
              <w:rPr>
                <w:rFonts w:cs="Arial"/>
                <w:sz w:val="16"/>
                <w:szCs w:val="16"/>
              </w:rPr>
              <w:t xml:space="preserve">Lahve </w:t>
            </w:r>
            <w:r>
              <w:rPr>
                <w:rFonts w:cs="Arial"/>
                <w:sz w:val="16"/>
                <w:szCs w:val="16"/>
              </w:rPr>
              <w:t>– entonox</w:t>
            </w:r>
          </w:p>
        </w:tc>
        <w:tc>
          <w:tcPr>
            <w:tcW w:w="1777" w:type="dxa"/>
            <w:tcBorders>
              <w:top w:val="single" w:sz="4" w:space="0" w:color="auto"/>
              <w:left w:val="nil"/>
              <w:bottom w:val="single" w:sz="4"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center"/>
              <w:rPr>
                <w:rFonts w:ascii="Arial" w:hAnsi="Arial" w:cs="Arial"/>
                <w:sz w:val="16"/>
                <w:szCs w:val="16"/>
              </w:rPr>
            </w:pPr>
            <w:r>
              <w:rPr>
                <w:rFonts w:ascii="Arial" w:hAnsi="Arial" w:cs="Arial"/>
                <w:sz w:val="16"/>
                <w:szCs w:val="16"/>
              </w:rPr>
              <w:t>2</w:t>
            </w:r>
          </w:p>
        </w:tc>
        <w:tc>
          <w:tcPr>
            <w:tcW w:w="1985" w:type="dxa"/>
            <w:tcBorders>
              <w:top w:val="single" w:sz="6" w:space="0" w:color="auto"/>
              <w:left w:val="nil"/>
              <w:bottom w:val="single" w:sz="4"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1.5.2020</w:t>
            </w:r>
          </w:p>
        </w:tc>
        <w:tc>
          <w:tcPr>
            <w:tcW w:w="1985" w:type="dxa"/>
            <w:tcBorders>
              <w:top w:val="single" w:sz="6" w:space="0" w:color="auto"/>
              <w:left w:val="nil"/>
              <w:bottom w:val="single" w:sz="4"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31.10.2020</w:t>
            </w:r>
          </w:p>
        </w:tc>
        <w:tc>
          <w:tcPr>
            <w:tcW w:w="1985" w:type="dxa"/>
            <w:tcBorders>
              <w:top w:val="single" w:sz="6" w:space="0" w:color="auto"/>
              <w:left w:val="nil"/>
              <w:bottom w:val="single" w:sz="4" w:space="0" w:color="auto"/>
              <w:right w:val="single" w:sz="4" w:space="0" w:color="auto"/>
            </w:tcBorders>
            <w:vAlign w:val="center"/>
          </w:tcPr>
          <w:p w:rsidR="00252F02" w:rsidRPr="007D175C" w:rsidRDefault="00BC57A7" w:rsidP="00252F02">
            <w:pPr>
              <w:tabs>
                <w:tab w:val="left" w:pos="851"/>
                <w:tab w:val="left" w:pos="2694"/>
                <w:tab w:val="left" w:pos="4395"/>
              </w:tabs>
              <w:spacing w:line="240" w:lineRule="auto"/>
              <w:jc w:val="both"/>
              <w:rPr>
                <w:rFonts w:ascii="Arial" w:hAnsi="Arial" w:cs="Arial"/>
                <w:sz w:val="16"/>
                <w:szCs w:val="16"/>
              </w:rPr>
            </w:pPr>
            <w:r>
              <w:rPr>
                <w:rFonts w:ascii="Arial" w:hAnsi="Arial" w:cs="Arial"/>
                <w:sz w:val="16"/>
                <w:szCs w:val="16"/>
              </w:rPr>
              <w:t>XXXX</w:t>
            </w:r>
          </w:p>
        </w:tc>
      </w:tr>
      <w:tr w:rsidR="00252F02" w:rsidRPr="007D175C" w:rsidTr="008154DC">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252F02" w:rsidRPr="007B67A8" w:rsidRDefault="00252F02" w:rsidP="00252F02">
            <w:pPr>
              <w:tabs>
                <w:tab w:val="left" w:pos="851"/>
                <w:tab w:val="left" w:pos="2694"/>
                <w:tab w:val="left" w:pos="4395"/>
              </w:tabs>
              <w:spacing w:line="240" w:lineRule="auto"/>
              <w:jc w:val="both"/>
              <w:rPr>
                <w:rFonts w:cs="Arial"/>
                <w:sz w:val="16"/>
                <w:szCs w:val="16"/>
              </w:rPr>
            </w:pPr>
            <w:r>
              <w:rPr>
                <w:rFonts w:cs="Arial"/>
                <w:sz w:val="16"/>
                <w:szCs w:val="16"/>
              </w:rPr>
              <w:t>Nádechový ventil</w:t>
            </w:r>
          </w:p>
        </w:tc>
        <w:tc>
          <w:tcPr>
            <w:tcW w:w="1777" w:type="dxa"/>
            <w:tcBorders>
              <w:top w:val="single" w:sz="4" w:space="0" w:color="auto"/>
              <w:left w:val="nil"/>
              <w:bottom w:val="single" w:sz="4"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center"/>
              <w:rPr>
                <w:rFonts w:ascii="Arial" w:hAnsi="Arial" w:cs="Arial"/>
                <w:sz w:val="16"/>
                <w:szCs w:val="16"/>
              </w:rPr>
            </w:pPr>
            <w:r>
              <w:rPr>
                <w:rFonts w:ascii="Arial" w:hAnsi="Arial" w:cs="Arial"/>
                <w:sz w:val="16"/>
                <w:szCs w:val="16"/>
              </w:rPr>
              <w:t>1</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1.5.2020</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252F02" w:rsidP="00252F02">
            <w:pPr>
              <w:tabs>
                <w:tab w:val="left" w:pos="851"/>
                <w:tab w:val="left" w:pos="2694"/>
                <w:tab w:val="left" w:pos="4395"/>
              </w:tabs>
              <w:spacing w:line="240" w:lineRule="auto"/>
              <w:jc w:val="both"/>
              <w:rPr>
                <w:rFonts w:ascii="Arial" w:hAnsi="Arial" w:cs="Arial"/>
                <w:sz w:val="16"/>
                <w:szCs w:val="16"/>
              </w:rPr>
            </w:pPr>
            <w:r>
              <w:rPr>
                <w:rFonts w:cs="Arial"/>
                <w:sz w:val="16"/>
                <w:szCs w:val="16"/>
              </w:rPr>
              <w:t>31.10.2020</w:t>
            </w:r>
          </w:p>
        </w:tc>
        <w:tc>
          <w:tcPr>
            <w:tcW w:w="1985" w:type="dxa"/>
            <w:tcBorders>
              <w:top w:val="single" w:sz="6" w:space="0" w:color="auto"/>
              <w:left w:val="nil"/>
              <w:bottom w:val="single" w:sz="6" w:space="0" w:color="auto"/>
              <w:right w:val="single" w:sz="4" w:space="0" w:color="auto"/>
            </w:tcBorders>
            <w:vAlign w:val="center"/>
          </w:tcPr>
          <w:p w:rsidR="00252F02" w:rsidRPr="007D175C" w:rsidRDefault="00BC57A7" w:rsidP="00252F02">
            <w:pPr>
              <w:tabs>
                <w:tab w:val="left" w:pos="851"/>
                <w:tab w:val="left" w:pos="2694"/>
                <w:tab w:val="left" w:pos="4395"/>
              </w:tabs>
              <w:spacing w:line="240" w:lineRule="auto"/>
              <w:jc w:val="both"/>
              <w:rPr>
                <w:rFonts w:ascii="Arial" w:hAnsi="Arial" w:cs="Arial"/>
                <w:sz w:val="16"/>
                <w:szCs w:val="16"/>
              </w:rPr>
            </w:pPr>
            <w:r>
              <w:rPr>
                <w:rFonts w:ascii="Arial" w:hAnsi="Arial" w:cs="Arial"/>
                <w:sz w:val="16"/>
                <w:szCs w:val="16"/>
              </w:rPr>
              <w:t>XXXX</w:t>
            </w:r>
          </w:p>
        </w:tc>
      </w:tr>
      <w:tr w:rsidR="008154DC" w:rsidRPr="007D175C" w:rsidTr="00E72639">
        <w:trPr>
          <w:trHeight w:val="285"/>
        </w:trPr>
        <w:tc>
          <w:tcPr>
            <w:tcW w:w="2410" w:type="dxa"/>
            <w:tcBorders>
              <w:top w:val="single" w:sz="4" w:space="0" w:color="auto"/>
              <w:left w:val="single" w:sz="4" w:space="0" w:color="auto"/>
              <w:bottom w:val="single" w:sz="4" w:space="0" w:color="auto"/>
              <w:right w:val="single" w:sz="4" w:space="0" w:color="auto"/>
            </w:tcBorders>
            <w:vAlign w:val="center"/>
          </w:tcPr>
          <w:p w:rsidR="008154DC" w:rsidRDefault="008154DC" w:rsidP="00E72639">
            <w:pPr>
              <w:tabs>
                <w:tab w:val="left" w:pos="851"/>
                <w:tab w:val="left" w:pos="2694"/>
                <w:tab w:val="left" w:pos="4395"/>
              </w:tabs>
              <w:spacing w:line="240" w:lineRule="auto"/>
              <w:jc w:val="both"/>
              <w:rPr>
                <w:rFonts w:cs="Arial"/>
                <w:sz w:val="16"/>
                <w:szCs w:val="16"/>
              </w:rPr>
            </w:pPr>
            <w:r>
              <w:rPr>
                <w:rFonts w:cs="Arial"/>
                <w:sz w:val="16"/>
                <w:szCs w:val="16"/>
              </w:rPr>
              <w:t>CELKEM</w:t>
            </w:r>
          </w:p>
        </w:tc>
        <w:tc>
          <w:tcPr>
            <w:tcW w:w="1777" w:type="dxa"/>
            <w:tcBorders>
              <w:top w:val="single" w:sz="4" w:space="0" w:color="auto"/>
              <w:left w:val="nil"/>
              <w:bottom w:val="single" w:sz="4" w:space="0" w:color="auto"/>
              <w:right w:val="single" w:sz="4" w:space="0" w:color="auto"/>
            </w:tcBorders>
            <w:vAlign w:val="center"/>
          </w:tcPr>
          <w:p w:rsidR="008154DC" w:rsidRDefault="008154DC" w:rsidP="00B50821">
            <w:pPr>
              <w:tabs>
                <w:tab w:val="left" w:pos="851"/>
                <w:tab w:val="left" w:pos="2694"/>
                <w:tab w:val="left" w:pos="4395"/>
              </w:tabs>
              <w:spacing w:line="240" w:lineRule="auto"/>
              <w:jc w:val="center"/>
              <w:rPr>
                <w:rFonts w:ascii="Arial" w:hAnsi="Arial" w:cs="Arial"/>
                <w:sz w:val="16"/>
                <w:szCs w:val="16"/>
              </w:rPr>
            </w:pPr>
            <w:r>
              <w:rPr>
                <w:rFonts w:ascii="Arial" w:hAnsi="Arial" w:cs="Arial"/>
                <w:sz w:val="16"/>
                <w:szCs w:val="16"/>
              </w:rPr>
              <w:t>157+1</w:t>
            </w:r>
            <w:r w:rsidR="00252F02">
              <w:rPr>
                <w:rFonts w:ascii="Arial" w:hAnsi="Arial" w:cs="Arial"/>
                <w:sz w:val="16"/>
                <w:szCs w:val="16"/>
              </w:rPr>
              <w:t xml:space="preserve"> </w:t>
            </w:r>
          </w:p>
        </w:tc>
        <w:tc>
          <w:tcPr>
            <w:tcW w:w="1985" w:type="dxa"/>
            <w:tcBorders>
              <w:top w:val="single" w:sz="6" w:space="0" w:color="auto"/>
              <w:left w:val="nil"/>
              <w:bottom w:val="single" w:sz="4" w:space="0" w:color="auto"/>
              <w:right w:val="single" w:sz="4" w:space="0" w:color="auto"/>
            </w:tcBorders>
            <w:vAlign w:val="center"/>
          </w:tcPr>
          <w:p w:rsidR="008154DC" w:rsidRPr="007D175C" w:rsidRDefault="008154DC" w:rsidP="00E72639">
            <w:pPr>
              <w:tabs>
                <w:tab w:val="left" w:pos="851"/>
                <w:tab w:val="left" w:pos="2694"/>
                <w:tab w:val="left" w:pos="4395"/>
              </w:tabs>
              <w:spacing w:line="240" w:lineRule="auto"/>
              <w:jc w:val="both"/>
              <w:rPr>
                <w:rFonts w:ascii="Arial" w:hAnsi="Arial" w:cs="Arial"/>
                <w:sz w:val="16"/>
                <w:szCs w:val="16"/>
              </w:rPr>
            </w:pPr>
          </w:p>
        </w:tc>
        <w:tc>
          <w:tcPr>
            <w:tcW w:w="1985" w:type="dxa"/>
            <w:tcBorders>
              <w:top w:val="single" w:sz="6" w:space="0" w:color="auto"/>
              <w:left w:val="nil"/>
              <w:bottom w:val="single" w:sz="4" w:space="0" w:color="auto"/>
              <w:right w:val="single" w:sz="4" w:space="0" w:color="auto"/>
            </w:tcBorders>
            <w:vAlign w:val="center"/>
          </w:tcPr>
          <w:p w:rsidR="008154DC" w:rsidRPr="007D175C" w:rsidRDefault="008154DC" w:rsidP="00B50821">
            <w:pPr>
              <w:tabs>
                <w:tab w:val="left" w:pos="851"/>
                <w:tab w:val="left" w:pos="2694"/>
                <w:tab w:val="left" w:pos="4395"/>
              </w:tabs>
              <w:spacing w:line="240" w:lineRule="auto"/>
              <w:jc w:val="both"/>
              <w:rPr>
                <w:rFonts w:ascii="Arial" w:hAnsi="Arial" w:cs="Arial"/>
                <w:sz w:val="16"/>
                <w:szCs w:val="16"/>
              </w:rPr>
            </w:pPr>
            <w:r>
              <w:rPr>
                <w:rFonts w:ascii="Arial" w:hAnsi="Arial" w:cs="Arial"/>
                <w:sz w:val="16"/>
                <w:szCs w:val="16"/>
              </w:rPr>
              <w:t>305.865,-</w:t>
            </w:r>
            <w:r w:rsidR="00252F02">
              <w:rPr>
                <w:rFonts w:ascii="Arial" w:hAnsi="Arial" w:cs="Arial"/>
                <w:sz w:val="16"/>
                <w:szCs w:val="16"/>
              </w:rPr>
              <w:t xml:space="preserve"> </w:t>
            </w:r>
          </w:p>
        </w:tc>
        <w:tc>
          <w:tcPr>
            <w:tcW w:w="1985" w:type="dxa"/>
            <w:tcBorders>
              <w:top w:val="single" w:sz="6" w:space="0" w:color="auto"/>
              <w:left w:val="nil"/>
              <w:bottom w:val="single" w:sz="4" w:space="0" w:color="auto"/>
              <w:right w:val="single" w:sz="4" w:space="0" w:color="auto"/>
            </w:tcBorders>
            <w:vAlign w:val="center"/>
          </w:tcPr>
          <w:p w:rsidR="008154DC" w:rsidRPr="007D175C" w:rsidRDefault="00BC57A7" w:rsidP="00E72639">
            <w:pPr>
              <w:tabs>
                <w:tab w:val="left" w:pos="851"/>
                <w:tab w:val="left" w:pos="2694"/>
                <w:tab w:val="left" w:pos="4395"/>
              </w:tabs>
              <w:spacing w:line="240" w:lineRule="auto"/>
              <w:jc w:val="both"/>
              <w:rPr>
                <w:rFonts w:ascii="Arial" w:hAnsi="Arial" w:cs="Arial"/>
                <w:sz w:val="16"/>
                <w:szCs w:val="16"/>
              </w:rPr>
            </w:pPr>
            <w:r>
              <w:rPr>
                <w:rFonts w:ascii="Arial" w:hAnsi="Arial" w:cs="Arial"/>
                <w:sz w:val="16"/>
                <w:szCs w:val="16"/>
              </w:rPr>
              <w:t>XXXX</w:t>
            </w:r>
          </w:p>
        </w:tc>
      </w:tr>
    </w:tbl>
    <w:p w:rsidR="00CF4ED9" w:rsidRPr="007D175C" w:rsidRDefault="00CF4ED9" w:rsidP="00FA299F">
      <w:pPr>
        <w:tabs>
          <w:tab w:val="left" w:pos="851"/>
          <w:tab w:val="left" w:pos="2694"/>
          <w:tab w:val="left" w:pos="4395"/>
        </w:tabs>
        <w:spacing w:line="240" w:lineRule="auto"/>
        <w:jc w:val="both"/>
        <w:rPr>
          <w:rFonts w:ascii="Arial" w:hAnsi="Arial" w:cs="Arial"/>
          <w:sz w:val="16"/>
          <w:szCs w:val="16"/>
        </w:rPr>
      </w:pPr>
    </w:p>
    <w:p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Nájemné je zákazníkem hrazeno v hotovosti, resp. v den splatnosti uvedeném na účetním dokladu předem na celou dobu pronájmu.</w:t>
      </w:r>
    </w:p>
    <w:p w:rsidR="00CF4ED9" w:rsidRPr="007D175C" w:rsidRDefault="00CF4ED9" w:rsidP="00FF7306">
      <w:pPr>
        <w:tabs>
          <w:tab w:val="left" w:pos="851"/>
          <w:tab w:val="left" w:pos="2694"/>
          <w:tab w:val="left" w:pos="4395"/>
        </w:tabs>
        <w:spacing w:line="240" w:lineRule="auto"/>
        <w:rPr>
          <w:rFonts w:ascii="Arial" w:hAnsi="Arial" w:cs="Arial"/>
          <w:sz w:val="16"/>
          <w:szCs w:val="16"/>
        </w:rPr>
      </w:pPr>
    </w:p>
    <w:p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Lahve a distribuční prostředky na stlačené plyny poskytnuté k používání mohou být použity jen k odběru plynů od Linde, popřípadě od dodavatele pověřeného společností Linde.</w:t>
      </w:r>
    </w:p>
    <w:p w:rsidR="00CF4ED9" w:rsidRPr="007D175C" w:rsidRDefault="00CF4ED9" w:rsidP="00FF7306">
      <w:pPr>
        <w:tabs>
          <w:tab w:val="left" w:pos="851"/>
          <w:tab w:val="left" w:pos="2694"/>
          <w:tab w:val="left" w:pos="4395"/>
        </w:tabs>
        <w:spacing w:line="240" w:lineRule="auto"/>
        <w:ind w:left="567" w:right="284"/>
        <w:rPr>
          <w:rFonts w:ascii="Arial" w:hAnsi="Arial" w:cs="Arial"/>
          <w:sz w:val="16"/>
          <w:szCs w:val="16"/>
        </w:rPr>
      </w:pPr>
    </w:p>
    <w:p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Náklady na obsluhu, údržbu, předepsané tlakové zkoušky a náklady spojené s běžným opotřebením nese Linde.</w:t>
      </w:r>
      <w:r w:rsidRPr="007D175C">
        <w:rPr>
          <w:rFonts w:ascii="Arial" w:hAnsi="Arial" w:cs="Arial"/>
          <w:sz w:val="16"/>
          <w:szCs w:val="16"/>
        </w:rPr>
        <w:br/>
        <w:t>Za zcizení, ztrátu, poškození nebo zničení přenechaných lahví a distribučních prostředků na stlačené plyny odpovídá zákazník.</w:t>
      </w:r>
    </w:p>
    <w:p w:rsidR="00CF4ED9" w:rsidRPr="007D175C" w:rsidRDefault="00CF4ED9" w:rsidP="00FF7306">
      <w:pPr>
        <w:tabs>
          <w:tab w:val="left" w:pos="851"/>
          <w:tab w:val="left" w:pos="2694"/>
          <w:tab w:val="left" w:pos="4395"/>
        </w:tabs>
        <w:spacing w:line="240" w:lineRule="auto"/>
        <w:rPr>
          <w:rFonts w:ascii="Arial" w:hAnsi="Arial" w:cs="Arial"/>
          <w:sz w:val="16"/>
          <w:szCs w:val="16"/>
        </w:rPr>
      </w:pPr>
    </w:p>
    <w:p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Po skončení smlouvy (nebude-li uzavřena smlouva nová) bude účtováno nájemné a dodatkové nájemné podle právě platných sazeb, dokud lahve nebo distribuční prostředky na stlačené plyny nebudou vráceny příslušnému dodacímu místu Linde. Období pro výpočet a vznik nároku a účtování dodatkového nájemného, tj. užívání lahví bez tzv. obrátky, počíná běžet 3 měsíce před skončením smlouvy.</w:t>
      </w:r>
    </w:p>
    <w:p w:rsidR="00CF4ED9" w:rsidRPr="007D175C" w:rsidRDefault="00CF4ED9" w:rsidP="00FF7306">
      <w:pPr>
        <w:tabs>
          <w:tab w:val="left" w:pos="851"/>
          <w:tab w:val="left" w:pos="2694"/>
          <w:tab w:val="left" w:pos="4395"/>
        </w:tabs>
        <w:spacing w:line="240" w:lineRule="auto"/>
        <w:rPr>
          <w:rFonts w:ascii="Arial" w:hAnsi="Arial" w:cs="Arial"/>
          <w:sz w:val="16"/>
          <w:szCs w:val="16"/>
        </w:rPr>
      </w:pPr>
    </w:p>
    <w:p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V případě ukončení výše uvedené smlouvy mezi Linde a zákazníkem během doby, za kterou je uhrazeno dlouhodobé nájemné, Linde není povinna uhradit zákazníkovi jakoukoliv částku ze zaplaceného dlouhodobého pronájmu.</w:t>
      </w:r>
    </w:p>
    <w:p w:rsidR="00CF4ED9" w:rsidRPr="007D175C" w:rsidRDefault="00CF4ED9" w:rsidP="00FF7306">
      <w:pPr>
        <w:tabs>
          <w:tab w:val="left" w:pos="851"/>
          <w:tab w:val="left" w:pos="2694"/>
          <w:tab w:val="left" w:pos="4395"/>
        </w:tabs>
        <w:spacing w:line="240" w:lineRule="auto"/>
        <w:rPr>
          <w:rFonts w:ascii="Arial" w:hAnsi="Arial" w:cs="Arial"/>
          <w:sz w:val="16"/>
          <w:szCs w:val="16"/>
        </w:rPr>
      </w:pPr>
    </w:p>
    <w:p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Součástí této smlouvy jsou na druhé straně uvedené „Všeobecné obchodní podmínky společnosti Linde Gas a.s. pro dodávky kapalných plynů, plynů v lahvích, paletách, pevných svazcích, kontejnerech a trajlerech a ostatních produktů a služeb“.</w:t>
      </w:r>
    </w:p>
    <w:p w:rsidR="00CF4ED9" w:rsidRPr="007D175C" w:rsidRDefault="00CF4ED9" w:rsidP="00FF7306">
      <w:pPr>
        <w:tabs>
          <w:tab w:val="left" w:pos="851"/>
          <w:tab w:val="left" w:pos="2694"/>
          <w:tab w:val="left" w:pos="4395"/>
        </w:tabs>
        <w:spacing w:line="240" w:lineRule="auto"/>
        <w:rPr>
          <w:rFonts w:ascii="Arial" w:hAnsi="Arial" w:cs="Arial"/>
          <w:sz w:val="16"/>
          <w:szCs w:val="16"/>
        </w:rPr>
      </w:pPr>
    </w:p>
    <w:p w:rsidR="00CF4ED9" w:rsidRPr="007D175C" w:rsidRDefault="00CF4ED9" w:rsidP="00FA299F">
      <w:pPr>
        <w:tabs>
          <w:tab w:val="left" w:pos="851"/>
          <w:tab w:val="left" w:pos="2694"/>
          <w:tab w:val="left" w:pos="4395"/>
        </w:tabs>
        <w:spacing w:line="240" w:lineRule="auto"/>
        <w:jc w:val="both"/>
        <w:rPr>
          <w:rFonts w:ascii="Arial" w:hAnsi="Arial" w:cs="Arial"/>
          <w:sz w:val="16"/>
          <w:szCs w:val="16"/>
        </w:rPr>
      </w:pPr>
    </w:p>
    <w:p w:rsidR="00CF4ED9" w:rsidRPr="007D175C" w:rsidRDefault="00CF4ED9" w:rsidP="00CF4ED9">
      <w:pPr>
        <w:tabs>
          <w:tab w:val="left" w:pos="851"/>
          <w:tab w:val="left" w:pos="2694"/>
          <w:tab w:val="left" w:pos="4395"/>
        </w:tabs>
        <w:rPr>
          <w:rFonts w:ascii="Arial" w:hAnsi="Arial" w:cs="Arial"/>
          <w:sz w:val="16"/>
          <w:szCs w:val="16"/>
        </w:rPr>
      </w:pPr>
      <w:r w:rsidRPr="007D175C">
        <w:rPr>
          <w:rFonts w:ascii="Arial" w:hAnsi="Arial" w:cs="Arial"/>
          <w:sz w:val="16"/>
          <w:szCs w:val="16"/>
        </w:rPr>
        <w:t>V .................................... dne....................................</w:t>
      </w:r>
    </w:p>
    <w:p w:rsidR="00CF4ED9" w:rsidRPr="007D175C" w:rsidRDefault="00CF4ED9" w:rsidP="00CF4ED9">
      <w:pPr>
        <w:tabs>
          <w:tab w:val="left" w:pos="851"/>
          <w:tab w:val="left" w:pos="2694"/>
          <w:tab w:val="left" w:pos="4395"/>
        </w:tabs>
        <w:rPr>
          <w:rFonts w:ascii="Arial" w:hAnsi="Arial" w:cs="Arial"/>
          <w:sz w:val="16"/>
          <w:szCs w:val="16"/>
        </w:rPr>
      </w:pPr>
    </w:p>
    <w:p w:rsidR="00CF4ED9" w:rsidRPr="007D175C" w:rsidRDefault="00CF4ED9" w:rsidP="00CF4ED9">
      <w:pPr>
        <w:tabs>
          <w:tab w:val="left" w:pos="851"/>
          <w:tab w:val="left" w:pos="2694"/>
          <w:tab w:val="left" w:pos="4395"/>
        </w:tabs>
        <w:rPr>
          <w:rFonts w:ascii="Arial" w:hAnsi="Arial" w:cs="Arial"/>
          <w:sz w:val="16"/>
          <w:szCs w:val="16"/>
        </w:rPr>
      </w:pPr>
    </w:p>
    <w:p w:rsidR="00CF4ED9" w:rsidRDefault="00CF4ED9" w:rsidP="009F1E8E">
      <w:pPr>
        <w:tabs>
          <w:tab w:val="left" w:pos="4395"/>
        </w:tabs>
        <w:rPr>
          <w:rFonts w:ascii="Arial" w:hAnsi="Arial" w:cs="Arial"/>
          <w:b/>
          <w:sz w:val="16"/>
          <w:szCs w:val="16"/>
        </w:rPr>
      </w:pPr>
    </w:p>
    <w:p w:rsidR="00FB3E63" w:rsidRPr="007D175C" w:rsidRDefault="00FB3E63" w:rsidP="009F1E8E">
      <w:pPr>
        <w:tabs>
          <w:tab w:val="left" w:pos="4395"/>
        </w:tabs>
        <w:rPr>
          <w:rFonts w:ascii="Arial" w:hAnsi="Arial" w:cs="Arial"/>
          <w:b/>
          <w:sz w:val="16"/>
          <w:szCs w:val="16"/>
        </w:rPr>
      </w:pPr>
    </w:p>
    <w:tbl>
      <w:tblPr>
        <w:tblW w:w="10676" w:type="dxa"/>
        <w:tblLook w:val="01E0" w:firstRow="1" w:lastRow="1" w:firstColumn="1" w:lastColumn="1" w:noHBand="0" w:noVBand="0"/>
      </w:tblPr>
      <w:tblGrid>
        <w:gridCol w:w="5338"/>
        <w:gridCol w:w="5338"/>
      </w:tblGrid>
      <w:tr w:rsidR="00CF4ED9" w:rsidRPr="007D175C" w:rsidTr="003026CC">
        <w:trPr>
          <w:trHeight w:val="1"/>
        </w:trPr>
        <w:tc>
          <w:tcPr>
            <w:tcW w:w="5338" w:type="dxa"/>
            <w:shd w:val="clear" w:color="auto" w:fill="auto"/>
          </w:tcPr>
          <w:p w:rsidR="00CF4ED9" w:rsidRPr="007D175C" w:rsidRDefault="00CF4ED9" w:rsidP="00C32B9A">
            <w:pPr>
              <w:pStyle w:val="Zpat"/>
              <w:tabs>
                <w:tab w:val="left" w:pos="851"/>
                <w:tab w:val="left" w:pos="2694"/>
                <w:tab w:val="left" w:pos="4395"/>
              </w:tabs>
              <w:jc w:val="center"/>
              <w:rPr>
                <w:rFonts w:ascii="Arial" w:hAnsi="Arial" w:cs="Arial"/>
                <w:sz w:val="16"/>
                <w:szCs w:val="16"/>
              </w:rPr>
            </w:pPr>
            <w:r w:rsidRPr="007D175C">
              <w:rPr>
                <w:rFonts w:ascii="Arial" w:hAnsi="Arial" w:cs="Arial"/>
                <w:sz w:val="16"/>
                <w:szCs w:val="16"/>
              </w:rPr>
              <w:t>za Linde Gas a.s.</w:t>
            </w:r>
          </w:p>
          <w:p w:rsidR="00CF4ED9" w:rsidRPr="007D175C" w:rsidRDefault="00CF4ED9" w:rsidP="00C32B9A">
            <w:pPr>
              <w:pStyle w:val="Zpat"/>
              <w:tabs>
                <w:tab w:val="left" w:pos="851"/>
                <w:tab w:val="left" w:pos="2694"/>
                <w:tab w:val="left" w:pos="4395"/>
              </w:tabs>
              <w:jc w:val="center"/>
              <w:rPr>
                <w:rFonts w:ascii="Arial" w:hAnsi="Arial" w:cs="Arial"/>
                <w:sz w:val="16"/>
                <w:szCs w:val="16"/>
              </w:rPr>
            </w:pPr>
            <w:r w:rsidRPr="007D175C">
              <w:rPr>
                <w:rFonts w:ascii="Arial" w:hAnsi="Arial" w:cs="Arial"/>
                <w:sz w:val="16"/>
                <w:szCs w:val="16"/>
              </w:rPr>
              <w:t>(jméno / podpis / razítko)</w:t>
            </w:r>
          </w:p>
        </w:tc>
        <w:tc>
          <w:tcPr>
            <w:tcW w:w="5338" w:type="dxa"/>
            <w:shd w:val="clear" w:color="auto" w:fill="auto"/>
          </w:tcPr>
          <w:p w:rsidR="00CF4ED9" w:rsidRPr="007D175C" w:rsidRDefault="00CF4ED9" w:rsidP="00C32B9A">
            <w:pPr>
              <w:pStyle w:val="Zpat"/>
              <w:tabs>
                <w:tab w:val="left" w:pos="851"/>
                <w:tab w:val="left" w:pos="2694"/>
                <w:tab w:val="left" w:pos="4395"/>
              </w:tabs>
              <w:jc w:val="center"/>
              <w:rPr>
                <w:rFonts w:ascii="Arial" w:hAnsi="Arial" w:cs="Arial"/>
                <w:sz w:val="16"/>
                <w:szCs w:val="16"/>
              </w:rPr>
            </w:pPr>
            <w:r w:rsidRPr="007D175C">
              <w:rPr>
                <w:rFonts w:ascii="Arial" w:hAnsi="Arial" w:cs="Arial"/>
                <w:sz w:val="16"/>
                <w:szCs w:val="16"/>
              </w:rPr>
              <w:t>za zákazníka</w:t>
            </w:r>
          </w:p>
          <w:p w:rsidR="00CF4ED9" w:rsidRPr="007D175C" w:rsidRDefault="00CF4ED9" w:rsidP="00C32B9A">
            <w:pPr>
              <w:pStyle w:val="Zpat"/>
              <w:tabs>
                <w:tab w:val="left" w:pos="851"/>
                <w:tab w:val="left" w:pos="2694"/>
                <w:tab w:val="left" w:pos="4395"/>
              </w:tabs>
              <w:jc w:val="center"/>
              <w:rPr>
                <w:rFonts w:ascii="Arial" w:hAnsi="Arial" w:cs="Arial"/>
                <w:sz w:val="16"/>
                <w:szCs w:val="16"/>
              </w:rPr>
            </w:pPr>
            <w:r w:rsidRPr="007D175C">
              <w:rPr>
                <w:rFonts w:ascii="Arial" w:hAnsi="Arial" w:cs="Arial"/>
                <w:sz w:val="16"/>
                <w:szCs w:val="16"/>
              </w:rPr>
              <w:t>(jméno / podpis / razítko)</w:t>
            </w:r>
          </w:p>
        </w:tc>
      </w:tr>
    </w:tbl>
    <w:p w:rsidR="00CF4ED9" w:rsidRPr="00DE0F2B" w:rsidRDefault="00CF4ED9" w:rsidP="00DE0F2B">
      <w:pPr>
        <w:rPr>
          <w:rFonts w:ascii="Arial" w:hAnsi="Arial" w:cs="Arial"/>
          <w:sz w:val="16"/>
          <w:szCs w:val="16"/>
        </w:rPr>
        <w:sectPr w:rsidR="00CF4ED9" w:rsidRPr="00DE0F2B" w:rsidSect="00D247E9">
          <w:headerReference w:type="default" r:id="rId14"/>
          <w:footerReference w:type="default" r:id="rId15"/>
          <w:footerReference w:type="first" r:id="rId16"/>
          <w:pgSz w:w="11907" w:h="16840" w:code="9"/>
          <w:pgMar w:top="284" w:right="567" w:bottom="340" w:left="851" w:header="284" w:footer="170" w:gutter="0"/>
          <w:cols w:space="708"/>
          <w:titlePg/>
          <w:docGrid w:linePitch="272"/>
        </w:sectPr>
      </w:pPr>
    </w:p>
    <w:p w:rsidR="00CF4ED9" w:rsidRPr="003515BF" w:rsidRDefault="00CF4ED9" w:rsidP="003515BF">
      <w:pPr>
        <w:pStyle w:val="Nadpis4"/>
        <w:spacing w:line="240" w:lineRule="auto"/>
        <w:jc w:val="both"/>
        <w:rPr>
          <w:rFonts w:ascii="Arial" w:hAnsi="Arial" w:cs="Arial"/>
          <w:b/>
          <w:color w:val="auto"/>
          <w:sz w:val="16"/>
          <w:szCs w:val="16"/>
        </w:rPr>
      </w:pPr>
      <w:r w:rsidRPr="003515BF">
        <w:rPr>
          <w:rFonts w:ascii="Arial" w:hAnsi="Arial" w:cs="Arial"/>
          <w:b/>
          <w:color w:val="auto"/>
          <w:sz w:val="16"/>
          <w:szCs w:val="16"/>
        </w:rPr>
        <w:lastRenderedPageBreak/>
        <w:t>Všeobecné obchodní podmínky společnosti Linde Gas a.s. pro dodávky kapalných plynů, plynů v lahvích, paletách, pevných svazcích, kontejnerech a trajlerech a ostatních produktů a služeb</w:t>
      </w:r>
    </w:p>
    <w:p w:rsidR="00CF4ED9" w:rsidRPr="003515BF" w:rsidRDefault="00CF4ED9" w:rsidP="003515BF">
      <w:pPr>
        <w:spacing w:line="240" w:lineRule="auto"/>
        <w:jc w:val="both"/>
        <w:rPr>
          <w:rFonts w:ascii="Arial" w:hAnsi="Arial" w:cs="Arial"/>
          <w:sz w:val="16"/>
          <w:szCs w:val="16"/>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 Platnost</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Všechny dodávky kapalných plynů uskutečňované v silničních a železničních cisternách a plynů dodávaných v lahvích, paletách, pevných svazcích a kontejnerech a trajlerech a dodávky ostatních produktů a služeb se řídí podle následujících všeobecných obchodních podmínek, nestanoví-li zvláštní písemné smlouvy jinak. </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Pod pojmem lahev se rozumí kovová tlaková nádoba pro přepravu plynů do 90 l vodního objemu. Paletou se rozumí přepravní zařízení, uzpůsobené pro přepravu jednotlivých lahví. Pevným svazkem lahví se rozumí několik vzájemně propojených lahví na společném přepravním základě. Kontejnerem se rozumí mobilní nádoba pro přepravu plynů o objemu větším než 90 l vodního objemu. Trajlerem se rozumí silniční nebo železniční vůz, kde na podvozku je umístěno určité množství pevných svazků ocelových lahví, které jsou navzájem propojeny. Pod pojmem číslo zákazníka se rozumí evidenční číslo, které je zákazníkovi přidělené při prvním odběru zboží, a pod nímž je veden aktuální stav zákazníkem pronajatých lahví, palet, pevných svazků, kontejnerů a jeho závazků.</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2. Doprava a zacházení s plyny, lahvemi, paletami, pevnými svazky a kontejnery</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Doprava plynů včetně lahví, palet, pevných svazků a kontejnerů se provádí z rampy prodejního místa Linde Gas a.s. (dále jen „Linde“). Při vlastním vyzvednutí nebo převzetí dopravcem, který </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je pověřen zákazníkem, je za provozně a přepravně bezpečnou nakládku a vykládku odpovědný zákazník, eventuálně pověřený dopravce. Zákazník musí dodržovat při zacházení a přepravě technických plynů stanovené předpisy, obzvláště ustanovení o bezpečnosti práce a předcházení úrazům, jakož i obecně uznávaná pravidla technologie včetně ČSN 078304 v jejich vždy platné podobě.</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3. Dodávky plynů</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Zásobovací zařízení Linde, do kterého zákazník odebírá kapalné technické plyny, je standardně vybaveno zařízením na dálkové sledování stavu zásoby technických plynů (služba Accura Liquid Management). Zákazník neobjednává jednotlivé dílčí dodávky, Linde dodává zákazníkovi technické plyny na základě stavu zjištěného prostřednictvím tohoto zařízení tak, aby měl zákazník </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v zásobovacím zařízení dostatečnou zásobu, s přihlédnutím k jeho obvyklé spotřebě. </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Zákazník je povinen umožnit Linde dodávku technických plynů do zásobovacího zařízení kdykoliv 24 hodin denně a současně zajistit potvrzení převzetí dodávky odpovědným zástupcem.</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Zákazník je dále povinen v případě plánovaného přerušení odběrů technických plynů ze zásobovacího zařízení (např. z důvodu odstávky) nebo v případě plánovaného zvýšení spotřeby o více než 30 % oproti předchozí průměrné denní spotřebě, takovouto skutečnost Linde písemně sdělit, nejpozději 24 hodin předem s uvedením doby trvání takové situace. Za písemnou formu sdělení se považuje též sdělení učiněné e-mailem nebo faxem. V případě porušení této povinnosti ze strany zákazníka, Linde negarantuje zajištění dostatečné zásoby kapalných technických plynů v zásobovacím zařízení Linde. </w:t>
      </w:r>
    </w:p>
    <w:p w:rsidR="00CF4ED9" w:rsidRPr="003515BF" w:rsidRDefault="00CF4ED9" w:rsidP="003515BF">
      <w:pPr>
        <w:pStyle w:val="Zkladntextodsazen2"/>
        <w:ind w:left="0" w:firstLine="0"/>
        <w:rPr>
          <w:rFonts w:cs="Arial"/>
          <w:sz w:val="11"/>
          <w:szCs w:val="11"/>
        </w:rPr>
      </w:pPr>
      <w:r w:rsidRPr="003515BF">
        <w:rPr>
          <w:rFonts w:cs="Arial"/>
          <w:sz w:val="11"/>
          <w:szCs w:val="11"/>
        </w:rPr>
        <w:t>V ostatních případech určí zákazník jednotlivé dílčí dodávky objednávkou, kde uvede množství, termín a místo složení. Objednávky jsou činěny zpravidla písemně, přičemž za písemnou formu se považuje též objednávka učiněná e-mailem, dopisem nebo faxem. Objednávky je třeba zasílat přímo na dodavatelské místo Linde, a to v případě plynů dodávaných v silničních a železničních cisternách a trajlerech nejméně 3 pracovní dny před dnem dodání, v případě ostatních plynů nejpozději do 11. hodin pracovního dne předcházejícímu dni dodání. Splnění pozdějších objednávek nemůže Linde v krajních případech, zejména z přepravně kapacitních důvodů, garantovat. V případě dodávky zboží podléhající spotřební dani je zákazník povinen při objednání sdělit účel použití dle zákona o spotřebních daních.</w:t>
      </w:r>
    </w:p>
    <w:p w:rsidR="00CF4ED9" w:rsidRPr="003515BF" w:rsidRDefault="00CF4ED9" w:rsidP="003515BF">
      <w:pPr>
        <w:pStyle w:val="Zkladntextodsazen2"/>
        <w:ind w:left="0" w:firstLine="0"/>
        <w:rPr>
          <w:rFonts w:cs="Arial"/>
          <w:sz w:val="11"/>
          <w:szCs w:val="11"/>
        </w:rPr>
      </w:pPr>
      <w:r w:rsidRPr="003515BF">
        <w:rPr>
          <w:rFonts w:cs="Arial"/>
          <w:sz w:val="11"/>
          <w:szCs w:val="11"/>
        </w:rPr>
        <w:t>Cena plynů, ostatních produktů a služeb se řídí dle aktuálního ceníku společnosti Linde.</w:t>
      </w:r>
    </w:p>
    <w:p w:rsidR="00CF4ED9" w:rsidRPr="003515BF" w:rsidRDefault="00CF4ED9" w:rsidP="003515BF">
      <w:pPr>
        <w:pStyle w:val="Zkladntextodsazen2"/>
        <w:ind w:left="0" w:firstLine="0"/>
        <w:rPr>
          <w:rFonts w:cs="Arial"/>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4. Pronájem lahví, palet, pevných svazků a kontejnerů (dále i „distribuční prostředky“)</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Za pronajaté distribuční prostředky je zákazník povinen platit nájemné. Podpisem dodacího listu zákazníkem vzniká nájemní vztah. Výše denního nájemného a dodatkového nájemného se řídí podle platných sazeb tak, jak jsou tyto zveřejněny na prodejních místech </w:t>
      </w:r>
      <w:r w:rsidRPr="003515BF">
        <w:rPr>
          <w:rFonts w:ascii="Arial" w:hAnsi="Arial" w:cs="Arial"/>
          <w:sz w:val="11"/>
          <w:szCs w:val="11"/>
        </w:rPr>
        <w:t>Linde</w:t>
      </w:r>
      <w:r w:rsidRPr="003515BF">
        <w:rPr>
          <w:rFonts w:ascii="Arial" w:hAnsi="Arial" w:cs="Arial"/>
          <w:snapToGrid w:val="0"/>
          <w:sz w:val="11"/>
          <w:szCs w:val="11"/>
        </w:rPr>
        <w:t>, která je oprávněna tyto sazby upravovat i v průběhu nájemního vztahu.</w:t>
      </w:r>
    </w:p>
    <w:p w:rsidR="00CF4ED9" w:rsidRPr="003515BF" w:rsidRDefault="00CF4ED9" w:rsidP="003515BF">
      <w:pPr>
        <w:pStyle w:val="Zkladntextodsazen3"/>
        <w:ind w:left="0"/>
        <w:rPr>
          <w:rFonts w:cs="Arial"/>
          <w:sz w:val="11"/>
          <w:szCs w:val="11"/>
        </w:rPr>
      </w:pPr>
      <w:r w:rsidRPr="003515BF">
        <w:rPr>
          <w:rFonts w:cs="Arial"/>
          <w:sz w:val="11"/>
          <w:szCs w:val="11"/>
        </w:rPr>
        <w:t>U distribučních prostředků Linde, které má zákazník v pronájmu déle než tři měsíce bez obrátky (tzn. výměny prázdných za plné), zaplatí zákazník dodatkové nájemné. Denní a dodatkové nájemné je u distribučních prostředků evidovaných dle individuálního čárového kódu přiřazeného k výrobnímu a evidenčnímu číslu distribučního prostředku účtováno pro konkrétní distribuční prostředek. V případě nájemní smlouvy na dobu určitou končí nájem uplynutím doby nebo odstoupením ze zákonných důvodů. V případě nájmu na dobu neurčitou je možno nájem vypovědět kteroukoliv stranou s měsíční výpovědní lhůtou. Účtování denního a dodatkového nájemného končí u distribučních prostředků evidovaných dle čárového kódu, vrácením konkrétního distribučního prostředku, který zákazník převzal.</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Zákazník odpovídá za zcizení, ztrátu, odcizení, poškození, zničení nebo nevrácení jemu pronajatých distribučních prostředků. Přenechání distribučních prostředků třetí osobě není dovoleno.</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Je zakázáno, aby zákazník měnil na jemu přiděleném čísle zákazníka větší počet distribučních prostředků, než má na tomto čísle od </w:t>
      </w:r>
      <w:r w:rsidRPr="003515BF">
        <w:rPr>
          <w:rFonts w:ascii="Arial" w:hAnsi="Arial" w:cs="Arial"/>
          <w:sz w:val="11"/>
          <w:szCs w:val="11"/>
        </w:rPr>
        <w:t>Linde</w:t>
      </w:r>
      <w:r w:rsidRPr="003515BF">
        <w:rPr>
          <w:rFonts w:ascii="Arial" w:hAnsi="Arial" w:cs="Arial"/>
          <w:snapToGrid w:val="0"/>
          <w:sz w:val="11"/>
          <w:szCs w:val="11"/>
        </w:rPr>
        <w:t xml:space="preserve"> pronajatých.</w:t>
      </w:r>
    </w:p>
    <w:p w:rsidR="00CF4ED9" w:rsidRPr="003515BF" w:rsidRDefault="00CF4ED9" w:rsidP="003515BF">
      <w:pPr>
        <w:pStyle w:val="Zkladntext2"/>
        <w:rPr>
          <w:rFonts w:cs="Arial"/>
          <w:sz w:val="11"/>
          <w:szCs w:val="11"/>
        </w:rPr>
      </w:pPr>
      <w:r w:rsidRPr="003515BF">
        <w:rPr>
          <w:rFonts w:cs="Arial"/>
          <w:sz w:val="11"/>
          <w:szCs w:val="11"/>
        </w:rPr>
        <w:t>Distribuční prostředky může zákazník kdykoli vrátit na své náklady prodejnímu místu Linde v jeho prodejní době. O vrácení musí být zákazníkovi vydáno písemné potvrzení prodejního místa Linde.</w:t>
      </w:r>
    </w:p>
    <w:p w:rsidR="00CF4ED9" w:rsidRPr="003515BF" w:rsidRDefault="00CF4ED9" w:rsidP="003515BF">
      <w:pPr>
        <w:spacing w:line="240" w:lineRule="auto"/>
        <w:jc w:val="both"/>
        <w:rPr>
          <w:rFonts w:ascii="Arial" w:hAnsi="Arial" w:cs="Arial"/>
          <w:sz w:val="11"/>
          <w:szCs w:val="11"/>
        </w:rPr>
      </w:pPr>
      <w:r w:rsidRPr="003515BF">
        <w:rPr>
          <w:rFonts w:ascii="Arial" w:hAnsi="Arial" w:cs="Arial"/>
          <w:snapToGrid w:val="0"/>
          <w:sz w:val="11"/>
          <w:szCs w:val="11"/>
        </w:rPr>
        <w:t>Správnost výpisu z konta stavu pronajatých distribučních prostředků, který je součástí vyúčtování nájemného, musí být zákazníkem bez prodlení přezkoumána. Námitky jsou přípustné do jednoho měsíce po obdržení vyúčtování nájemného, jinak se má za to, že vyúčtování bylo zákazníkem uznáno za platné a počet distribučních prostředků zde uvedených je podkladem pro vyúčtování nájemného v následujícím období. Vyúčtování nájemného (výpis z čísla zákazníka) má účinnost potvrzení počtu pronajatých distribučních prostředků.</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Zákazník je povinen neprodleně oznámit </w:t>
      </w:r>
      <w:r w:rsidRPr="003515BF">
        <w:rPr>
          <w:rFonts w:ascii="Arial" w:hAnsi="Arial" w:cs="Arial"/>
          <w:sz w:val="11"/>
          <w:szCs w:val="11"/>
        </w:rPr>
        <w:t>Linde</w:t>
      </w:r>
      <w:r w:rsidRPr="003515BF">
        <w:rPr>
          <w:rFonts w:ascii="Arial" w:hAnsi="Arial" w:cs="Arial"/>
          <w:snapToGrid w:val="0"/>
          <w:sz w:val="11"/>
          <w:szCs w:val="11"/>
        </w:rPr>
        <w:t xml:space="preserve"> veškeré změny týkající se jeho osoby, které by mohly mít vliv na obchodní vztah mezi ním a </w:t>
      </w:r>
      <w:r w:rsidRPr="003515BF">
        <w:rPr>
          <w:rFonts w:ascii="Arial" w:hAnsi="Arial" w:cs="Arial"/>
          <w:sz w:val="11"/>
          <w:szCs w:val="11"/>
        </w:rPr>
        <w:t>Linde</w:t>
      </w:r>
      <w:r w:rsidRPr="003515BF">
        <w:rPr>
          <w:rFonts w:ascii="Arial" w:hAnsi="Arial" w:cs="Arial"/>
          <w:snapToGrid w:val="0"/>
          <w:sz w:val="11"/>
          <w:szCs w:val="11"/>
        </w:rPr>
        <w:t>, zejména změny jména, firmy, sídla (bydliště), provozovny, či změnu registrace k DPH. Zadržovací právo na pronajaté distribuční prostředky se po dobu trvání nájemní smlouvy vylučuje.</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Nájemné je splatné a je účtováno nejméně jednou měsíčně.</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 </w:t>
      </w: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 xml:space="preserve">5. Kauce (finanční jistina za vrácení majetku </w:t>
      </w:r>
      <w:r w:rsidRPr="003515BF">
        <w:rPr>
          <w:rFonts w:ascii="Arial" w:hAnsi="Arial" w:cs="Arial"/>
          <w:b/>
          <w:sz w:val="11"/>
          <w:szCs w:val="11"/>
        </w:rPr>
        <w:t>Linde</w:t>
      </w:r>
      <w:r w:rsidRPr="003515BF">
        <w:rPr>
          <w:rFonts w:ascii="Arial" w:hAnsi="Arial" w:cs="Arial"/>
          <w:b/>
          <w:snapToGrid w:val="0"/>
          <w:sz w:val="11"/>
          <w:szCs w:val="11"/>
        </w:rPr>
        <w:t>)</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Linde je oprávněna požadovat a zákazník je povinen platit za distribuční prostředky pronajaté zákazníkovi nezúročitelnou kauci až do výše pořizovací ceny distribučního prostředku. Vrácení kauce se provede po odevzdání distribučních prostředků prodejnímu místu </w:t>
      </w:r>
      <w:r w:rsidRPr="003515BF">
        <w:rPr>
          <w:rFonts w:ascii="Arial" w:hAnsi="Arial" w:cs="Arial"/>
          <w:sz w:val="11"/>
          <w:szCs w:val="11"/>
        </w:rPr>
        <w:t>Linde</w:t>
      </w:r>
      <w:r w:rsidRPr="003515BF">
        <w:rPr>
          <w:rFonts w:ascii="Arial" w:hAnsi="Arial" w:cs="Arial"/>
          <w:snapToGrid w:val="0"/>
          <w:sz w:val="11"/>
          <w:szCs w:val="11"/>
        </w:rPr>
        <w:t xml:space="preserve">, po zápočtu nákladů vzniklých </w:t>
      </w:r>
      <w:r w:rsidRPr="003515BF">
        <w:rPr>
          <w:rFonts w:ascii="Arial" w:hAnsi="Arial" w:cs="Arial"/>
          <w:sz w:val="11"/>
          <w:szCs w:val="11"/>
        </w:rPr>
        <w:t>Linde</w:t>
      </w:r>
      <w:r w:rsidRPr="003515BF">
        <w:rPr>
          <w:rFonts w:ascii="Arial" w:hAnsi="Arial" w:cs="Arial"/>
          <w:snapToGrid w:val="0"/>
          <w:sz w:val="11"/>
          <w:szCs w:val="11"/>
        </w:rPr>
        <w:t xml:space="preserve"> za náhradní opatření, odstranění škod nebo nečistot a dalších závazků. </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Za den úhrady závazků zápočtem je považován den vyhotovení zápočtu.</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6. Smluvní pokuta</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Při zcizení, odcizení, poškození, zničení nebo nevrácení distribučních prostředků je zákazník povinen zaplatit </w:t>
      </w:r>
      <w:r w:rsidRPr="003515BF">
        <w:rPr>
          <w:rFonts w:ascii="Arial" w:hAnsi="Arial" w:cs="Arial"/>
          <w:sz w:val="11"/>
          <w:szCs w:val="11"/>
        </w:rPr>
        <w:t>Linde</w:t>
      </w:r>
      <w:r w:rsidRPr="003515BF">
        <w:rPr>
          <w:rFonts w:ascii="Arial" w:hAnsi="Arial" w:cs="Arial"/>
          <w:snapToGrid w:val="0"/>
          <w:sz w:val="11"/>
          <w:szCs w:val="11"/>
        </w:rPr>
        <w:t xml:space="preserve"> smluvní pokutu za každou tlakovou lahev 4.000,- Kč, za každou přepravní paletu 5.000,- Kč, za každý pevný svazek 80.000,- Kč (včetně lahví ve svazku) a za každý kontejner 100.000,- Kč. Smluvní pokutou není dotčeno právo </w:t>
      </w:r>
      <w:r w:rsidRPr="003515BF">
        <w:rPr>
          <w:rFonts w:ascii="Arial" w:hAnsi="Arial" w:cs="Arial"/>
          <w:sz w:val="11"/>
          <w:szCs w:val="11"/>
        </w:rPr>
        <w:t>Linde</w:t>
      </w:r>
      <w:r w:rsidRPr="003515BF">
        <w:rPr>
          <w:rFonts w:ascii="Arial" w:hAnsi="Arial" w:cs="Arial"/>
          <w:snapToGrid w:val="0"/>
          <w:sz w:val="11"/>
          <w:szCs w:val="11"/>
        </w:rPr>
        <w:t xml:space="preserve"> na náhradu škody, kterou je oprávněna vymáhat samostatně.</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7. Lahve zákazníků</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Lahve zákazníků, které jsou jako takové označeny, jsou plněny podle objednávky zákazníků. Objednávka zákazníka současně zahrnuje i potřebné přezkoušení podle platných předpisů, které musí být podle těchto předpisů provedené před naplněním lahve v plnírně. Zákazník touto objednávkou rovněž potvrzuje i souhlas s vyúčtováním a cenou tohoto přezkoušení.</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8. Platební podmínky</w:t>
      </w:r>
    </w:p>
    <w:p w:rsidR="00CF4ED9" w:rsidRPr="003515BF" w:rsidRDefault="00CF4ED9" w:rsidP="003515BF">
      <w:pPr>
        <w:pStyle w:val="Zkladntext3"/>
        <w:rPr>
          <w:rFonts w:cs="Arial"/>
          <w:color w:val="auto"/>
          <w:sz w:val="11"/>
          <w:szCs w:val="11"/>
        </w:rPr>
      </w:pPr>
      <w:r w:rsidRPr="003515BF">
        <w:rPr>
          <w:rFonts w:cs="Arial"/>
          <w:color w:val="auto"/>
          <w:sz w:val="11"/>
          <w:szCs w:val="11"/>
        </w:rPr>
        <w:t>Linde je oprávněna požadovat platbu v hotovosti maximálně do hodnoty stanovené zákonem. Platbu předem poštovní poukázkou či šekem banky je oprávněna požadovat bez omezení u těch zákazníků, kteří neprokáží spolehlivě svou platební schopnost nebo platební morálku. Veškeré platby provádí zákazník na základě daňových dokladů vystavených Linde. Splatnost daňových dokladů je 14 dnů od data vystavení, není-li na daňovém dokladu uvedena lhůta delší. V případě prodlení zákazníka se zaplacením kteréhokoliv daňového dokladu, je zákazník povinen zaplatit Linde úrok z prodlení ve výši 0,02 % z dlužné částky za každý den prodlení. Kromě toho, je Linde v takovém případě oprávněna přerušit dodávky do doby úplného zaplacení nebo odstoupit od smlouvy a požadovat okamžité vrácení distribučních prostředků.</w:t>
      </w:r>
    </w:p>
    <w:p w:rsidR="00CF4ED9" w:rsidRPr="003515BF" w:rsidRDefault="00CF4ED9" w:rsidP="003515BF">
      <w:pPr>
        <w:pStyle w:val="Zkladntext3"/>
        <w:rPr>
          <w:rFonts w:cs="Arial"/>
          <w:color w:val="auto"/>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9. Výhrada vlastnictví</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Až do úplného vyrovnání závazků zákazníkem zůstává dodané zboží vlastnictvím </w:t>
      </w:r>
      <w:r w:rsidRPr="003515BF">
        <w:rPr>
          <w:rFonts w:ascii="Arial" w:hAnsi="Arial" w:cs="Arial"/>
          <w:sz w:val="11"/>
          <w:szCs w:val="11"/>
        </w:rPr>
        <w:t>Linde</w:t>
      </w:r>
      <w:r w:rsidRPr="003515BF">
        <w:rPr>
          <w:rFonts w:ascii="Arial" w:hAnsi="Arial" w:cs="Arial"/>
          <w:snapToGrid w:val="0"/>
          <w:sz w:val="11"/>
          <w:szCs w:val="11"/>
        </w:rPr>
        <w:t>.</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10. Prodlení</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V případě opožděných dodávek nebo výpadku v dodávkách může zákazník, pokud </w:t>
      </w:r>
      <w:r w:rsidRPr="003515BF">
        <w:rPr>
          <w:rFonts w:ascii="Arial" w:hAnsi="Arial" w:cs="Arial"/>
          <w:sz w:val="11"/>
          <w:szCs w:val="11"/>
        </w:rPr>
        <w:t>Linde</w:t>
      </w:r>
      <w:r w:rsidRPr="003515BF">
        <w:rPr>
          <w:rFonts w:ascii="Arial" w:hAnsi="Arial" w:cs="Arial"/>
          <w:snapToGrid w:val="0"/>
          <w:sz w:val="11"/>
          <w:szCs w:val="11"/>
        </w:rPr>
        <w:t xml:space="preserve"> nesplní dodávku v náhradní lhůtě, odstoupit od smlouvy. Škody takto vzniklé jsou hrazeny podle zákona </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a těchto podmínek.</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11. Odpovědnost za škodu</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V případě, že je </w:t>
      </w:r>
      <w:r w:rsidRPr="003515BF">
        <w:rPr>
          <w:rFonts w:ascii="Arial" w:hAnsi="Arial" w:cs="Arial"/>
          <w:sz w:val="11"/>
          <w:szCs w:val="11"/>
        </w:rPr>
        <w:t>Linde</w:t>
      </w:r>
      <w:r w:rsidRPr="003515BF">
        <w:rPr>
          <w:rFonts w:ascii="Arial" w:hAnsi="Arial" w:cs="Arial"/>
          <w:snapToGrid w:val="0"/>
          <w:sz w:val="11"/>
          <w:szCs w:val="11"/>
        </w:rPr>
        <w:t xml:space="preserve"> za podmínek daných zákonem povinna nahradit zákazníkovi způsobenou škodu, dohodly si smluvní strany rozsah náhrady škody tak, že </w:t>
      </w:r>
      <w:r w:rsidRPr="003515BF">
        <w:rPr>
          <w:rFonts w:ascii="Arial" w:hAnsi="Arial" w:cs="Arial"/>
          <w:sz w:val="11"/>
          <w:szCs w:val="11"/>
        </w:rPr>
        <w:t>Linde</w:t>
      </w:r>
      <w:r w:rsidRPr="003515BF">
        <w:rPr>
          <w:rFonts w:ascii="Arial" w:hAnsi="Arial" w:cs="Arial"/>
          <w:snapToGrid w:val="0"/>
          <w:sz w:val="11"/>
          <w:szCs w:val="11"/>
        </w:rPr>
        <w:t xml:space="preserve"> uhradí zákazníkovi škodu </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v prokázané výši, nejvýše však částku 20 000 000,- Kč. Právo na náhradu škody a vydání bezdůvodného obohacení se promlčují v tříleté promlčecí době.</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tabs>
          <w:tab w:val="left" w:pos="4185"/>
        </w:tabs>
        <w:spacing w:line="240" w:lineRule="auto"/>
        <w:jc w:val="both"/>
        <w:rPr>
          <w:rFonts w:ascii="Arial" w:hAnsi="Arial" w:cs="Arial"/>
          <w:b/>
          <w:snapToGrid w:val="0"/>
          <w:sz w:val="11"/>
          <w:szCs w:val="11"/>
        </w:rPr>
      </w:pPr>
      <w:r w:rsidRPr="003515BF">
        <w:rPr>
          <w:rFonts w:ascii="Arial" w:hAnsi="Arial" w:cs="Arial"/>
          <w:b/>
          <w:snapToGrid w:val="0"/>
          <w:sz w:val="11"/>
          <w:szCs w:val="11"/>
        </w:rPr>
        <w:t>12. Záruka za vadné plnění</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Pokud je dodávka vadná nebo neodpovídá množství dodaného plynu, má zákazník právo uplatnit reklamaci, která se řídí platnou legislativou a vnitřními předpisy </w:t>
      </w:r>
      <w:r w:rsidRPr="003515BF">
        <w:rPr>
          <w:rFonts w:ascii="Arial" w:hAnsi="Arial" w:cs="Arial"/>
          <w:sz w:val="11"/>
          <w:szCs w:val="11"/>
        </w:rPr>
        <w:t>Linde</w:t>
      </w:r>
      <w:r w:rsidRPr="003515BF">
        <w:rPr>
          <w:rFonts w:ascii="Arial" w:hAnsi="Arial" w:cs="Arial"/>
          <w:snapToGrid w:val="0"/>
          <w:sz w:val="11"/>
          <w:szCs w:val="11"/>
        </w:rPr>
        <w:t>. Při reklamaci kvality plynů nesmí být spotřebováno více než 50 % uvedeného množství náplně, a to z důvodu možného řádného provedení kontrolních analýz. Distribuční prostředky s vadným zbožím nesmějí být dále používány a po nápadném označení musí být vráceny prodejnímu místu. V tomto případě může zákazník při vyloučení dalších nároků požadovat bezplatně opakovanou dodávku. Nepodaří-li se toto dodatečné plnění, může zákazník podle svého výběru požadovat snížení kupní ceny vadné dodávky a nebo požadovat zrušení dodávky.</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13. Vyšší moc</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Všechny případy vyšší moci, jakož i provozní, dopravní a energetické poruchy, stávky, výluky, osvobozují toho, kdo je jimi postižen, od smluvních povinností po dobu a v rozsahu účinnosti těchto událostí. To platí také tehdy, když uvedené okolnosti nastanou u subdodavatelů.</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14. Zajištění množství</w:t>
      </w:r>
    </w:p>
    <w:p w:rsidR="00CF4ED9" w:rsidRPr="003515BF" w:rsidRDefault="00CF4ED9" w:rsidP="003515BF">
      <w:pPr>
        <w:pStyle w:val="Zkladntextodsazen2"/>
        <w:ind w:left="0" w:firstLine="0"/>
        <w:rPr>
          <w:rFonts w:cs="Arial"/>
          <w:sz w:val="11"/>
          <w:szCs w:val="11"/>
        </w:rPr>
      </w:pPr>
      <w:r w:rsidRPr="003515BF">
        <w:rPr>
          <w:rFonts w:cs="Arial"/>
          <w:sz w:val="11"/>
          <w:szCs w:val="11"/>
        </w:rPr>
        <w:t>Pokud je údaj o množství v lahvích v ”m</w:t>
      </w:r>
      <w:r w:rsidRPr="003515BF">
        <w:rPr>
          <w:rFonts w:cs="Arial"/>
          <w:sz w:val="11"/>
          <w:szCs w:val="11"/>
          <w:vertAlign w:val="superscript"/>
        </w:rPr>
        <w:t>3</w:t>
      </w:r>
      <w:r w:rsidRPr="003515BF">
        <w:rPr>
          <w:rFonts w:cs="Arial"/>
          <w:sz w:val="11"/>
          <w:szCs w:val="11"/>
        </w:rPr>
        <w:t>”, pak se vztahuje na stav plynu při 15°C a tlaku 0,1 MPa. Zbytkové obsahy u vrácených distribučních prostředků nepodléhají náhradě.</w:t>
      </w:r>
    </w:p>
    <w:p w:rsidR="00CF4ED9" w:rsidRPr="003515BF" w:rsidRDefault="00CF4ED9" w:rsidP="003515BF">
      <w:pPr>
        <w:pStyle w:val="Zkladntextodsazen2"/>
        <w:ind w:left="0" w:firstLine="0"/>
        <w:rPr>
          <w:rFonts w:cs="Arial"/>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15. Dodávky prostřednictvím třetí osoby</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Linde je oprávněna splnit své dodavatelské povinnosti prostřednictvím třetí osoby.</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pStyle w:val="Zkladntext"/>
        <w:rPr>
          <w:rFonts w:cs="Arial"/>
          <w:sz w:val="11"/>
          <w:szCs w:val="11"/>
        </w:rPr>
      </w:pPr>
      <w:r w:rsidRPr="003515BF">
        <w:rPr>
          <w:rFonts w:cs="Arial"/>
          <w:b/>
          <w:sz w:val="11"/>
          <w:szCs w:val="11"/>
        </w:rPr>
        <w:t>16. Poplatky</w:t>
      </w:r>
    </w:p>
    <w:p w:rsidR="00CF4ED9" w:rsidRPr="003515BF" w:rsidRDefault="00CF4ED9" w:rsidP="003515BF">
      <w:pPr>
        <w:pStyle w:val="Zkladntext"/>
        <w:rPr>
          <w:rFonts w:cs="Arial"/>
          <w:sz w:val="11"/>
          <w:szCs w:val="11"/>
        </w:rPr>
      </w:pPr>
      <w:r w:rsidRPr="003515BF">
        <w:rPr>
          <w:rFonts w:cs="Arial"/>
          <w:sz w:val="11"/>
          <w:szCs w:val="11"/>
        </w:rPr>
        <w:t>Společně s cenou dodaného plynu bude zákazníkovi účtován i poplatek ADR, silniční a energetický poplatek za každou lahev, svazek lahví, mobilní zásobník, trajler a dodávku kapalných plynů do stabilního zásobníku, poplatek za příslušný atest, předaný zákazníkovi vždy s dodávkou jednotlivého druhu plynu a další poplatky stanovené ceníkem Linde. Výše poplatků se řídí podle aktuálně platných sazeb tak, jak jsou tyto zveřejněny na prodejních místech Linde, není-li smlouvou stanoveno jinak.</w:t>
      </w:r>
    </w:p>
    <w:p w:rsidR="00CF4ED9" w:rsidRPr="003515BF" w:rsidRDefault="00CF4ED9" w:rsidP="003515BF">
      <w:pPr>
        <w:pStyle w:val="Zkladntext"/>
        <w:rPr>
          <w:rFonts w:cs="Arial"/>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17. Změny smlouvy</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Změny a doplňky sjednaných podmínek se vyžadují písemnou formou. Písemnou formou se nerozumí forma elektronické komunikace.</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18. Řešení sporů</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Pro řešení všech sporů mezi zákazníkem a </w:t>
      </w:r>
      <w:r w:rsidRPr="003515BF">
        <w:rPr>
          <w:rFonts w:ascii="Arial" w:hAnsi="Arial" w:cs="Arial"/>
          <w:sz w:val="11"/>
          <w:szCs w:val="11"/>
        </w:rPr>
        <w:t>Linde</w:t>
      </w:r>
      <w:r w:rsidRPr="003515BF">
        <w:rPr>
          <w:rFonts w:ascii="Arial" w:hAnsi="Arial" w:cs="Arial"/>
          <w:snapToGrid w:val="0"/>
          <w:sz w:val="11"/>
          <w:szCs w:val="11"/>
        </w:rPr>
        <w:t xml:space="preserve"> je, za dodržení příslušnosti věcné, místně příslušný soud, v jehož obvodu je sídlo </w:t>
      </w:r>
      <w:r w:rsidRPr="003515BF">
        <w:rPr>
          <w:rFonts w:ascii="Arial" w:hAnsi="Arial" w:cs="Arial"/>
          <w:sz w:val="11"/>
          <w:szCs w:val="11"/>
        </w:rPr>
        <w:t>Linde</w:t>
      </w:r>
      <w:r w:rsidRPr="003515BF">
        <w:rPr>
          <w:rFonts w:ascii="Arial" w:hAnsi="Arial" w:cs="Arial"/>
          <w:snapToGrid w:val="0"/>
          <w:sz w:val="11"/>
          <w:szCs w:val="11"/>
        </w:rPr>
        <w:t>.</w:t>
      </w:r>
    </w:p>
    <w:p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V případě, že je zákazník spotřebitelem, je subjektem řešení mimosoudních sporů Česká obchodní inspekce, bližší informace na www.coi.cz.</w:t>
      </w:r>
    </w:p>
    <w:p w:rsidR="00CF4ED9" w:rsidRPr="003515BF" w:rsidRDefault="00CF4ED9" w:rsidP="003515BF">
      <w:pPr>
        <w:spacing w:line="240" w:lineRule="auto"/>
        <w:jc w:val="both"/>
        <w:rPr>
          <w:rFonts w:ascii="Arial" w:hAnsi="Arial" w:cs="Arial"/>
          <w:snapToGrid w:val="0"/>
          <w:sz w:val="11"/>
          <w:szCs w:val="11"/>
        </w:rPr>
      </w:pPr>
    </w:p>
    <w:p w:rsidR="00CF4ED9" w:rsidRPr="003515BF" w:rsidRDefault="00CF4ED9" w:rsidP="003515BF">
      <w:pPr>
        <w:widowControl w:val="0"/>
        <w:spacing w:line="240" w:lineRule="auto"/>
        <w:jc w:val="both"/>
        <w:rPr>
          <w:rFonts w:ascii="Arial" w:hAnsi="Arial" w:cs="Arial"/>
          <w:b/>
          <w:snapToGrid w:val="0"/>
          <w:sz w:val="11"/>
          <w:szCs w:val="11"/>
        </w:rPr>
      </w:pPr>
      <w:r w:rsidRPr="003515BF">
        <w:rPr>
          <w:rFonts w:ascii="Arial" w:hAnsi="Arial" w:cs="Arial"/>
          <w:b/>
          <w:snapToGrid w:val="0"/>
          <w:sz w:val="11"/>
          <w:szCs w:val="11"/>
        </w:rPr>
        <w:t>19. Prohlášení o shodě</w:t>
      </w:r>
    </w:p>
    <w:p w:rsidR="00CF4ED9" w:rsidRPr="003515BF" w:rsidRDefault="00CF4ED9" w:rsidP="003515BF">
      <w:pPr>
        <w:pStyle w:val="Zkladntextodsazen2"/>
        <w:widowControl w:val="0"/>
        <w:ind w:left="0" w:firstLine="0"/>
        <w:rPr>
          <w:rFonts w:cs="Arial"/>
          <w:sz w:val="11"/>
          <w:szCs w:val="11"/>
        </w:rPr>
      </w:pPr>
      <w:r w:rsidRPr="003515BF">
        <w:rPr>
          <w:rFonts w:cs="Arial"/>
          <w:sz w:val="11"/>
          <w:szCs w:val="11"/>
        </w:rPr>
        <w:t>Linde vlastní ”Prohlášení o shodě” na ocelové tlakové lahve včetně svařovaných, které mu dodavatel lahví poskytuje na lahve vyrobené po 1.9.1997, používané k distribuci plynů.</w:t>
      </w:r>
    </w:p>
    <w:p w:rsidR="00CF4ED9" w:rsidRPr="003515BF" w:rsidRDefault="00CF4ED9" w:rsidP="003515BF">
      <w:pPr>
        <w:pStyle w:val="Zkladntextodsazen2"/>
        <w:widowControl w:val="0"/>
        <w:ind w:left="0" w:firstLine="0"/>
        <w:rPr>
          <w:rFonts w:cs="Arial"/>
          <w:sz w:val="11"/>
          <w:szCs w:val="11"/>
        </w:rPr>
      </w:pPr>
    </w:p>
    <w:p w:rsidR="00CF4ED9" w:rsidRPr="003515BF" w:rsidRDefault="00CF4ED9" w:rsidP="003515BF">
      <w:pPr>
        <w:widowControl w:val="0"/>
        <w:spacing w:line="240" w:lineRule="auto"/>
        <w:jc w:val="both"/>
        <w:rPr>
          <w:rFonts w:ascii="Arial" w:hAnsi="Arial" w:cs="Arial"/>
          <w:b/>
          <w:snapToGrid w:val="0"/>
          <w:sz w:val="11"/>
          <w:szCs w:val="11"/>
        </w:rPr>
      </w:pPr>
      <w:r w:rsidRPr="003515BF">
        <w:rPr>
          <w:rFonts w:ascii="Arial" w:hAnsi="Arial" w:cs="Arial"/>
          <w:b/>
          <w:snapToGrid w:val="0"/>
          <w:sz w:val="11"/>
          <w:szCs w:val="11"/>
        </w:rPr>
        <w:t xml:space="preserve">20. Výrobky vyhovují ČSN nebo specifikaci </w:t>
      </w:r>
      <w:r w:rsidRPr="003515BF">
        <w:rPr>
          <w:rFonts w:ascii="Arial" w:hAnsi="Arial" w:cs="Arial"/>
          <w:b/>
          <w:sz w:val="11"/>
          <w:szCs w:val="11"/>
        </w:rPr>
        <w:t>Linde</w:t>
      </w:r>
      <w:r w:rsidRPr="003515BF">
        <w:rPr>
          <w:rFonts w:ascii="Arial" w:hAnsi="Arial" w:cs="Arial"/>
          <w:b/>
          <w:snapToGrid w:val="0"/>
          <w:sz w:val="11"/>
          <w:szCs w:val="11"/>
        </w:rPr>
        <w:t>.</w:t>
      </w:r>
    </w:p>
    <w:p w:rsidR="00CF4ED9" w:rsidRPr="003515BF" w:rsidRDefault="00CF4ED9" w:rsidP="003515BF">
      <w:pPr>
        <w:widowControl w:val="0"/>
        <w:spacing w:line="240" w:lineRule="auto"/>
        <w:jc w:val="both"/>
        <w:rPr>
          <w:rFonts w:ascii="Arial" w:hAnsi="Arial" w:cs="Arial"/>
          <w:b/>
          <w:snapToGrid w:val="0"/>
          <w:sz w:val="11"/>
          <w:szCs w:val="11"/>
        </w:rPr>
      </w:pPr>
    </w:p>
    <w:p w:rsidR="00CF4ED9" w:rsidRPr="003515BF" w:rsidRDefault="00CF4ED9" w:rsidP="003515BF">
      <w:pPr>
        <w:pStyle w:val="Nadpis4"/>
        <w:spacing w:line="240" w:lineRule="auto"/>
        <w:jc w:val="both"/>
        <w:rPr>
          <w:rFonts w:ascii="Arial" w:hAnsi="Arial" w:cs="Arial"/>
          <w:snapToGrid w:val="0"/>
          <w:color w:val="auto"/>
          <w:sz w:val="11"/>
          <w:szCs w:val="11"/>
        </w:rPr>
      </w:pPr>
      <w:r w:rsidRPr="003515BF">
        <w:rPr>
          <w:rFonts w:ascii="Arial" w:hAnsi="Arial" w:cs="Arial"/>
          <w:snapToGrid w:val="0"/>
          <w:color w:val="auto"/>
          <w:sz w:val="11"/>
          <w:szCs w:val="11"/>
        </w:rPr>
        <w:t>21. Tyto Všeobecné podmínky (Form 1211/22) jsou platné od 1.2.2016.</w:t>
      </w:r>
    </w:p>
    <w:sectPr w:rsidR="00CF4ED9" w:rsidRPr="003515BF" w:rsidSect="003515BF">
      <w:headerReference w:type="default" r:id="rId17"/>
      <w:headerReference w:type="first" r:id="rId18"/>
      <w:pgSz w:w="11906" w:h="16838" w:code="9"/>
      <w:pgMar w:top="720" w:right="720" w:bottom="720" w:left="720" w:header="737"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1A" w:rsidRDefault="00AA1C1A">
      <w:r>
        <w:separator/>
      </w:r>
    </w:p>
  </w:endnote>
  <w:endnote w:type="continuationSeparator" w:id="0">
    <w:p w:rsidR="00AA1C1A" w:rsidRDefault="00AA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ndeDaxOffice">
    <w:altName w:val="Arial"/>
    <w:charset w:val="EE"/>
    <w:family w:val="swiss"/>
    <w:pitch w:val="variable"/>
    <w:sig w:usb0="00000001" w:usb1="5000206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D9" w:rsidRDefault="00CF4ED9">
    <w:pPr>
      <w:pStyle w:val="Zpat"/>
      <w:rPr>
        <w:szCs w:val="14"/>
      </w:rPr>
    </w:pPr>
  </w:p>
  <w:p w:rsidR="00CF4ED9" w:rsidRPr="00C35B0E" w:rsidRDefault="00CF4ED9">
    <w:pPr>
      <w:pStyle w:val="Zpat"/>
      <w:rPr>
        <w:rFonts w:cs="Arial"/>
        <w:sz w:val="12"/>
        <w:szCs w:val="12"/>
      </w:rPr>
    </w:pPr>
  </w:p>
  <w:p w:rsidR="00CF4ED9" w:rsidRPr="00D168FE" w:rsidRDefault="00CF4ED9" w:rsidP="00E1188F">
    <w:pPr>
      <w:pStyle w:val="Zpat"/>
      <w:rPr>
        <w:sz w:val="12"/>
        <w:szCs w:val="12"/>
      </w:rPr>
    </w:pPr>
    <w:r w:rsidRPr="00D168FE">
      <w:rPr>
        <w:sz w:val="12"/>
        <w:szCs w:val="12"/>
      </w:rPr>
      <w:tab/>
    </w:r>
  </w:p>
  <w:p w:rsidR="00CF4ED9" w:rsidRPr="00044422" w:rsidRDefault="00CF4ED9">
    <w:pPr>
      <w:pStyle w:val="Zpat"/>
      <w:rPr>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814173"/>
      <w:docPartObj>
        <w:docPartGallery w:val="Page Numbers (Bottom of Page)"/>
        <w:docPartUnique/>
      </w:docPartObj>
    </w:sdtPr>
    <w:sdtEndPr/>
    <w:sdtContent>
      <w:p w:rsidR="007B356C" w:rsidRPr="007B356C" w:rsidRDefault="007B356C" w:rsidP="007B356C">
        <w:pPr>
          <w:pStyle w:val="Zpat"/>
        </w:pPr>
        <w:r w:rsidRPr="007B356C">
          <w:rPr>
            <w:rFonts w:ascii="Arial" w:hAnsi="Arial" w:cs="Arial"/>
            <w:sz w:val="12"/>
            <w:szCs w:val="12"/>
          </w:rPr>
          <w:t>Společnost je zapsaná u Městského soudu v Praze v Obchodním rejstříku oddíl B, vložka 411. Společnost je certifikovaná dle ISO 9001, ISO 14001 a je držitelem osvědčení Responsible Care.</w:t>
        </w:r>
      </w:p>
      <w:p w:rsidR="009F1E8E" w:rsidRDefault="00924687">
        <w:pPr>
          <w:pStyle w:val="Zpat"/>
          <w:jc w:val="center"/>
        </w:pPr>
        <w:r>
          <w:fldChar w:fldCharType="begin"/>
        </w:r>
        <w:r w:rsidR="009F1E8E">
          <w:instrText>PAGE   \* MERGEFORMAT</w:instrText>
        </w:r>
        <w:r>
          <w:fldChar w:fldCharType="separate"/>
        </w:r>
        <w:r w:rsidR="00F52D77" w:rsidRPr="00F52D77">
          <w:rPr>
            <w:noProof/>
            <w:lang w:val="cs-CZ"/>
          </w:rPr>
          <w:t>2</w:t>
        </w:r>
        <w:r>
          <w:fldChar w:fldCharType="end"/>
        </w:r>
      </w:p>
    </w:sdtContent>
  </w:sdt>
  <w:p w:rsidR="00CF4ED9" w:rsidRPr="007B356C" w:rsidRDefault="007B356C">
    <w:pPr>
      <w:pStyle w:val="Zpat"/>
      <w:tabs>
        <w:tab w:val="left" w:pos="6521"/>
      </w:tabs>
      <w:rPr>
        <w:rFonts w:ascii="Arial" w:hAnsi="Arial" w:cs="Arial"/>
        <w:sz w:val="12"/>
        <w:szCs w:val="12"/>
      </w:rPr>
    </w:pPr>
    <w:r w:rsidRPr="007B356C">
      <w:rPr>
        <w:rFonts w:ascii="Arial" w:hAnsi="Arial" w:cs="Arial"/>
        <w:sz w:val="12"/>
        <w:szCs w:val="12"/>
      </w:rPr>
      <w:t>Form 1203/33  2019.06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1A" w:rsidRDefault="00AA1C1A">
      <w:r>
        <w:separator/>
      </w:r>
    </w:p>
  </w:footnote>
  <w:footnote w:type="continuationSeparator" w:id="0">
    <w:p w:rsidR="00AA1C1A" w:rsidRDefault="00AA1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D9" w:rsidRDefault="00CE350F" w:rsidP="007D175C">
    <w:pPr>
      <w:pStyle w:val="Zhlav"/>
      <w:tabs>
        <w:tab w:val="left" w:pos="8145"/>
        <w:tab w:val="left" w:pos="8640"/>
      </w:tabs>
      <w:ind w:left="-284"/>
      <w:rPr>
        <w:b/>
      </w:rPr>
    </w:pPr>
    <w:r>
      <w:rPr>
        <w:b/>
      </w:rPr>
      <w:tab/>
    </w:r>
    <w:r w:rsidR="007D175C">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BBF" w:rsidRDefault="00B96B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1E" w:rsidRDefault="008E461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66322"/>
    <w:multiLevelType w:val="singleLevel"/>
    <w:tmpl w:val="B34A9FD2"/>
    <w:lvl w:ilvl="0">
      <w:start w:val="2"/>
      <w:numFmt w:val="decimal"/>
      <w:lvlText w:val="%1."/>
      <w:lvlJc w:val="left"/>
      <w:pPr>
        <w:tabs>
          <w:tab w:val="num" w:pos="360"/>
        </w:tabs>
        <w:ind w:left="357" w:hanging="357"/>
      </w:pPr>
      <w:rPr>
        <w:b w:val="0"/>
        <w:i w:val="0"/>
        <w:sz w:val="16"/>
      </w:rPr>
    </w:lvl>
  </w:abstractNum>
  <w:abstractNum w:abstractNumId="1">
    <w:nsid w:val="56540FAD"/>
    <w:multiLevelType w:val="singleLevel"/>
    <w:tmpl w:val="063463B6"/>
    <w:lvl w:ilvl="0">
      <w:start w:val="20"/>
      <w:numFmt w:val="decimal"/>
      <w:lvlText w:val="%1."/>
      <w:legacy w:legacy="1" w:legacySpace="0" w:legacyIndent="360"/>
      <w:lvlJc w:val="left"/>
      <w:pPr>
        <w:ind w:left="360" w:hanging="360"/>
      </w:pPr>
    </w:lvl>
  </w:abstractNum>
  <w:abstractNum w:abstractNumId="2">
    <w:nsid w:val="67545332"/>
    <w:multiLevelType w:val="singleLevel"/>
    <w:tmpl w:val="13E805C6"/>
    <w:lvl w:ilvl="0">
      <w:start w:val="1"/>
      <w:numFmt w:val="decimal"/>
      <w:lvlText w:val="%1."/>
      <w:lvlJc w:val="left"/>
      <w:pPr>
        <w:tabs>
          <w:tab w:val="num" w:pos="360"/>
        </w:tabs>
        <w:ind w:left="357" w:hanging="357"/>
      </w:pPr>
      <w:rPr>
        <w:b w:val="0"/>
        <w:i w:val="0"/>
        <w:sz w:val="16"/>
      </w:rPr>
    </w:lvl>
  </w:abstractNum>
  <w:abstractNum w:abstractNumId="3">
    <w:nsid w:val="6DD3112D"/>
    <w:multiLevelType w:val="hybridMultilevel"/>
    <w:tmpl w:val="111A8F08"/>
    <w:lvl w:ilvl="0" w:tplc="2C02BCEA">
      <w:start w:val="1"/>
      <w:numFmt w:val="bullet"/>
      <w:pStyle w:val="ListBullet"/>
      <w:lvlText w:val="—"/>
      <w:lvlJc w:val="left"/>
      <w:pPr>
        <w:tabs>
          <w:tab w:val="num" w:pos="340"/>
        </w:tabs>
        <w:ind w:left="340" w:hanging="340"/>
      </w:pPr>
      <w:rPr>
        <w:rFonts w:ascii="LindeDaxOffice" w:hAnsi="LindeDaxOffic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cs-CZ" w:vendorID="64" w:dllVersion="0" w:nlCheck="1" w:checkStyle="0"/>
  <w:activeWritingStyle w:appName="MSWord" w:lang="de-LI"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A0"/>
    <w:rsid w:val="0000422A"/>
    <w:rsid w:val="00012C86"/>
    <w:rsid w:val="00075F62"/>
    <w:rsid w:val="000B2B87"/>
    <w:rsid w:val="000B7703"/>
    <w:rsid w:val="000E1756"/>
    <w:rsid w:val="000E4ADB"/>
    <w:rsid w:val="00104B1D"/>
    <w:rsid w:val="00107DC9"/>
    <w:rsid w:val="00136D81"/>
    <w:rsid w:val="001671EF"/>
    <w:rsid w:val="00176724"/>
    <w:rsid w:val="00176CF8"/>
    <w:rsid w:val="00185625"/>
    <w:rsid w:val="00185C30"/>
    <w:rsid w:val="001876A8"/>
    <w:rsid w:val="00187DDD"/>
    <w:rsid w:val="00200BE5"/>
    <w:rsid w:val="00203272"/>
    <w:rsid w:val="00204B60"/>
    <w:rsid w:val="002052B5"/>
    <w:rsid w:val="00230E73"/>
    <w:rsid w:val="00252F02"/>
    <w:rsid w:val="00257200"/>
    <w:rsid w:val="00267820"/>
    <w:rsid w:val="00281557"/>
    <w:rsid w:val="002A07B3"/>
    <w:rsid w:val="002A39BD"/>
    <w:rsid w:val="002B355B"/>
    <w:rsid w:val="002C6960"/>
    <w:rsid w:val="002D198E"/>
    <w:rsid w:val="002D511E"/>
    <w:rsid w:val="002D6B91"/>
    <w:rsid w:val="002E3BC5"/>
    <w:rsid w:val="003026CC"/>
    <w:rsid w:val="00320FEC"/>
    <w:rsid w:val="00342A3C"/>
    <w:rsid w:val="003440DF"/>
    <w:rsid w:val="00345CD8"/>
    <w:rsid w:val="003515BF"/>
    <w:rsid w:val="00355A55"/>
    <w:rsid w:val="003658B1"/>
    <w:rsid w:val="0038216B"/>
    <w:rsid w:val="0038279A"/>
    <w:rsid w:val="003827D8"/>
    <w:rsid w:val="0038562C"/>
    <w:rsid w:val="00390A10"/>
    <w:rsid w:val="003A16AC"/>
    <w:rsid w:val="003B4F8A"/>
    <w:rsid w:val="003D3280"/>
    <w:rsid w:val="003D4668"/>
    <w:rsid w:val="003E0AA6"/>
    <w:rsid w:val="003E1C7E"/>
    <w:rsid w:val="003F1D61"/>
    <w:rsid w:val="00403B35"/>
    <w:rsid w:val="00430F84"/>
    <w:rsid w:val="004340B1"/>
    <w:rsid w:val="004468A5"/>
    <w:rsid w:val="00447D66"/>
    <w:rsid w:val="00453CD0"/>
    <w:rsid w:val="004542C0"/>
    <w:rsid w:val="00466848"/>
    <w:rsid w:val="00485C3D"/>
    <w:rsid w:val="004B6444"/>
    <w:rsid w:val="004F16AF"/>
    <w:rsid w:val="004F5736"/>
    <w:rsid w:val="005071C6"/>
    <w:rsid w:val="00533AB0"/>
    <w:rsid w:val="00573FEF"/>
    <w:rsid w:val="005853C2"/>
    <w:rsid w:val="005978E1"/>
    <w:rsid w:val="005B63B2"/>
    <w:rsid w:val="00607162"/>
    <w:rsid w:val="00630190"/>
    <w:rsid w:val="006307BA"/>
    <w:rsid w:val="00634697"/>
    <w:rsid w:val="00643023"/>
    <w:rsid w:val="00644503"/>
    <w:rsid w:val="00653904"/>
    <w:rsid w:val="00655015"/>
    <w:rsid w:val="00684566"/>
    <w:rsid w:val="00685F70"/>
    <w:rsid w:val="0069778B"/>
    <w:rsid w:val="006A33AB"/>
    <w:rsid w:val="006D191C"/>
    <w:rsid w:val="006F3E10"/>
    <w:rsid w:val="006F5A1F"/>
    <w:rsid w:val="00711FA8"/>
    <w:rsid w:val="007601F6"/>
    <w:rsid w:val="00764E8B"/>
    <w:rsid w:val="00774CDD"/>
    <w:rsid w:val="007B356C"/>
    <w:rsid w:val="007C63E3"/>
    <w:rsid w:val="007D175C"/>
    <w:rsid w:val="007D63FB"/>
    <w:rsid w:val="008154DC"/>
    <w:rsid w:val="008518EE"/>
    <w:rsid w:val="008560BC"/>
    <w:rsid w:val="00875698"/>
    <w:rsid w:val="008C0C45"/>
    <w:rsid w:val="008C5F7E"/>
    <w:rsid w:val="008D1212"/>
    <w:rsid w:val="008D3CA0"/>
    <w:rsid w:val="008E3CD8"/>
    <w:rsid w:val="008E461E"/>
    <w:rsid w:val="008E7ACA"/>
    <w:rsid w:val="008F1852"/>
    <w:rsid w:val="00901D46"/>
    <w:rsid w:val="00903A24"/>
    <w:rsid w:val="00920480"/>
    <w:rsid w:val="00924687"/>
    <w:rsid w:val="0093654E"/>
    <w:rsid w:val="0094559C"/>
    <w:rsid w:val="00945B36"/>
    <w:rsid w:val="009603C6"/>
    <w:rsid w:val="00961DE4"/>
    <w:rsid w:val="009624B7"/>
    <w:rsid w:val="009756EB"/>
    <w:rsid w:val="00993DFA"/>
    <w:rsid w:val="0099709C"/>
    <w:rsid w:val="009A1CF2"/>
    <w:rsid w:val="009B255F"/>
    <w:rsid w:val="009C72DB"/>
    <w:rsid w:val="009D468D"/>
    <w:rsid w:val="009D7727"/>
    <w:rsid w:val="009F1E8E"/>
    <w:rsid w:val="009F7003"/>
    <w:rsid w:val="00A03F32"/>
    <w:rsid w:val="00A562D7"/>
    <w:rsid w:val="00A64B1B"/>
    <w:rsid w:val="00A66F60"/>
    <w:rsid w:val="00A75E53"/>
    <w:rsid w:val="00A86059"/>
    <w:rsid w:val="00AA1C1A"/>
    <w:rsid w:val="00AA588A"/>
    <w:rsid w:val="00AC528F"/>
    <w:rsid w:val="00AE7665"/>
    <w:rsid w:val="00B04584"/>
    <w:rsid w:val="00B21672"/>
    <w:rsid w:val="00B50821"/>
    <w:rsid w:val="00B5788E"/>
    <w:rsid w:val="00B6707E"/>
    <w:rsid w:val="00B71E64"/>
    <w:rsid w:val="00B763F0"/>
    <w:rsid w:val="00B94C91"/>
    <w:rsid w:val="00B96BBF"/>
    <w:rsid w:val="00BA4C7D"/>
    <w:rsid w:val="00BB3AEA"/>
    <w:rsid w:val="00BC57A7"/>
    <w:rsid w:val="00BC6315"/>
    <w:rsid w:val="00BD22F9"/>
    <w:rsid w:val="00BD6284"/>
    <w:rsid w:val="00BE3DC7"/>
    <w:rsid w:val="00BF70C1"/>
    <w:rsid w:val="00C02E14"/>
    <w:rsid w:val="00C11DDF"/>
    <w:rsid w:val="00C167C2"/>
    <w:rsid w:val="00C340FD"/>
    <w:rsid w:val="00C558DB"/>
    <w:rsid w:val="00C56B33"/>
    <w:rsid w:val="00C76592"/>
    <w:rsid w:val="00C839F9"/>
    <w:rsid w:val="00C8585F"/>
    <w:rsid w:val="00CB10FE"/>
    <w:rsid w:val="00CC150A"/>
    <w:rsid w:val="00CC7E56"/>
    <w:rsid w:val="00CD6C0A"/>
    <w:rsid w:val="00CD7710"/>
    <w:rsid w:val="00CE0A78"/>
    <w:rsid w:val="00CE350F"/>
    <w:rsid w:val="00CE4F63"/>
    <w:rsid w:val="00CF4ED9"/>
    <w:rsid w:val="00D06899"/>
    <w:rsid w:val="00D10953"/>
    <w:rsid w:val="00D247E9"/>
    <w:rsid w:val="00D321FA"/>
    <w:rsid w:val="00D37E5C"/>
    <w:rsid w:val="00D50886"/>
    <w:rsid w:val="00D54354"/>
    <w:rsid w:val="00D64DC3"/>
    <w:rsid w:val="00D85F70"/>
    <w:rsid w:val="00D956EA"/>
    <w:rsid w:val="00DA036F"/>
    <w:rsid w:val="00DA2D10"/>
    <w:rsid w:val="00DB10A5"/>
    <w:rsid w:val="00DB1D22"/>
    <w:rsid w:val="00DB3928"/>
    <w:rsid w:val="00DC23B6"/>
    <w:rsid w:val="00DD73F0"/>
    <w:rsid w:val="00DE0F2B"/>
    <w:rsid w:val="00DF0256"/>
    <w:rsid w:val="00E13E44"/>
    <w:rsid w:val="00E326D6"/>
    <w:rsid w:val="00E35EEC"/>
    <w:rsid w:val="00E36965"/>
    <w:rsid w:val="00E46161"/>
    <w:rsid w:val="00E57992"/>
    <w:rsid w:val="00E63C70"/>
    <w:rsid w:val="00E71A84"/>
    <w:rsid w:val="00E72639"/>
    <w:rsid w:val="00E973D5"/>
    <w:rsid w:val="00EB0C2B"/>
    <w:rsid w:val="00EB15A3"/>
    <w:rsid w:val="00EF5D08"/>
    <w:rsid w:val="00F27DD7"/>
    <w:rsid w:val="00F41A75"/>
    <w:rsid w:val="00F46449"/>
    <w:rsid w:val="00F52D77"/>
    <w:rsid w:val="00F5323F"/>
    <w:rsid w:val="00F56484"/>
    <w:rsid w:val="00F64FF5"/>
    <w:rsid w:val="00F83157"/>
    <w:rsid w:val="00F9528B"/>
    <w:rsid w:val="00FA299F"/>
    <w:rsid w:val="00FA44D5"/>
    <w:rsid w:val="00FB3E63"/>
    <w:rsid w:val="00FB659D"/>
    <w:rsid w:val="00FD3634"/>
    <w:rsid w:val="00FE0D74"/>
    <w:rsid w:val="00FE3C0D"/>
    <w:rsid w:val="00FF7306"/>
    <w:rsid w:val="00FF7C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96BBF"/>
    <w:pPr>
      <w:spacing w:line="280" w:lineRule="atLeast"/>
    </w:pPr>
    <w:rPr>
      <w:rFonts w:asciiTheme="minorHAnsi" w:hAnsiTheme="minorHAnsi"/>
      <w:szCs w:val="24"/>
      <w:lang w:val="en-US"/>
    </w:rPr>
  </w:style>
  <w:style w:type="paragraph" w:styleId="Nadpis1">
    <w:name w:val="heading 1"/>
    <w:basedOn w:val="Nzev"/>
    <w:next w:val="Normln"/>
    <w:qFormat/>
    <w:rsid w:val="00653904"/>
    <w:pPr>
      <w:outlineLvl w:val="0"/>
    </w:pPr>
  </w:style>
  <w:style w:type="paragraph" w:styleId="Nadpis4">
    <w:name w:val="heading 4"/>
    <w:basedOn w:val="Normln"/>
    <w:next w:val="Normln"/>
    <w:link w:val="Nadpis4Char"/>
    <w:semiHidden/>
    <w:unhideWhenUsed/>
    <w:qFormat/>
    <w:rsid w:val="00CF4ED9"/>
    <w:pPr>
      <w:keepNext/>
      <w:keepLines/>
      <w:spacing w:before="40"/>
      <w:outlineLvl w:val="3"/>
    </w:pPr>
    <w:rPr>
      <w:rFonts w:asciiTheme="majorHAnsi" w:eastAsiaTheme="majorEastAsia" w:hAnsiTheme="majorHAnsi" w:cstheme="majorBidi"/>
      <w:i/>
      <w:iCs/>
      <w:color w:val="003F6C" w:themeColor="accent1" w:themeShade="BF"/>
    </w:rPr>
  </w:style>
  <w:style w:type="paragraph" w:styleId="Nadpis6">
    <w:name w:val="heading 6"/>
    <w:basedOn w:val="Normln"/>
    <w:next w:val="Normln"/>
    <w:link w:val="Nadpis6Char"/>
    <w:semiHidden/>
    <w:unhideWhenUsed/>
    <w:qFormat/>
    <w:rsid w:val="00CF4ED9"/>
    <w:pPr>
      <w:keepNext/>
      <w:keepLines/>
      <w:spacing w:before="40"/>
      <w:outlineLvl w:val="5"/>
    </w:pPr>
    <w:rPr>
      <w:rFonts w:asciiTheme="majorHAnsi" w:eastAsiaTheme="majorEastAsia" w:hAnsiTheme="majorHAnsi" w:cstheme="majorBidi"/>
      <w:color w:val="002A48" w:themeColor="accent1" w:themeShade="7F"/>
    </w:rPr>
  </w:style>
  <w:style w:type="paragraph" w:styleId="Nadpis9">
    <w:name w:val="heading 9"/>
    <w:basedOn w:val="Normln"/>
    <w:next w:val="Normln"/>
    <w:link w:val="Nadpis9Char"/>
    <w:semiHidden/>
    <w:unhideWhenUsed/>
    <w:qFormat/>
    <w:rsid w:val="00CF4E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Betreff"/>
    <w:next w:val="Normln"/>
    <w:link w:val="NzevChar"/>
    <w:rsid w:val="00653904"/>
  </w:style>
  <w:style w:type="paragraph" w:styleId="Zhlav">
    <w:name w:val="header"/>
    <w:rsid w:val="008560BC"/>
    <w:rPr>
      <w:rFonts w:ascii="LindeDaxOffice" w:hAnsi="LindeDaxOffice"/>
      <w:color w:val="00305C"/>
      <w:sz w:val="23"/>
      <w:szCs w:val="24"/>
      <w:lang w:val="en-GB"/>
    </w:rPr>
  </w:style>
  <w:style w:type="paragraph" w:styleId="Zpat">
    <w:name w:val="footer"/>
    <w:link w:val="ZpatChar"/>
    <w:rsid w:val="003827D8"/>
    <w:pPr>
      <w:spacing w:line="190" w:lineRule="exact"/>
    </w:pPr>
    <w:rPr>
      <w:rFonts w:ascii="LindeDaxOffice" w:hAnsi="LindeDaxOffice"/>
      <w:color w:val="000000" w:themeColor="text1"/>
      <w:spacing w:val="2"/>
      <w:sz w:val="14"/>
      <w:szCs w:val="15"/>
      <w:lang w:val="en-GB"/>
    </w:rPr>
  </w:style>
  <w:style w:type="paragraph" w:customStyle="1" w:styleId="Betreff">
    <w:name w:val="Betreff"/>
    <w:basedOn w:val="Normln"/>
    <w:next w:val="Normln"/>
    <w:rsid w:val="00C340FD"/>
    <w:pPr>
      <w:spacing w:after="320" w:line="240" w:lineRule="auto"/>
    </w:pPr>
    <w:rPr>
      <w:sz w:val="28"/>
    </w:rPr>
  </w:style>
  <w:style w:type="paragraph" w:styleId="Textbubliny">
    <w:name w:val="Balloon Text"/>
    <w:basedOn w:val="Normln"/>
    <w:semiHidden/>
    <w:rsid w:val="00BE3DC7"/>
    <w:rPr>
      <w:rFonts w:ascii="Tahoma" w:hAnsi="Tahoma" w:cs="Tahoma"/>
      <w:sz w:val="16"/>
      <w:szCs w:val="16"/>
    </w:rPr>
  </w:style>
  <w:style w:type="table" w:styleId="Mkatabulky">
    <w:name w:val="Table Grid"/>
    <w:basedOn w:val="Normlntabulka"/>
    <w:rsid w:val="004542C0"/>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
    <w:rsid w:val="006F3E10"/>
    <w:pPr>
      <w:spacing w:line="200" w:lineRule="atLeast"/>
    </w:pPr>
    <w:rPr>
      <w:sz w:val="16"/>
    </w:rPr>
  </w:style>
  <w:style w:type="paragraph" w:customStyle="1" w:styleId="ListBullet">
    <w:name w:val="List_Bullet"/>
    <w:basedOn w:val="Normln"/>
    <w:qFormat/>
    <w:rsid w:val="002B355B"/>
    <w:pPr>
      <w:numPr>
        <w:numId w:val="1"/>
      </w:numPr>
    </w:pPr>
  </w:style>
  <w:style w:type="character" w:customStyle="1" w:styleId="NzevChar">
    <w:name w:val="Název Char"/>
    <w:basedOn w:val="Standardnpsmoodstavce"/>
    <w:link w:val="Nzev"/>
    <w:rsid w:val="00653904"/>
    <w:rPr>
      <w:rFonts w:ascii="LindeDaxOffice" w:hAnsi="LindeDaxOffice"/>
      <w:sz w:val="28"/>
      <w:szCs w:val="24"/>
      <w:lang w:val="en-GB"/>
    </w:rPr>
  </w:style>
  <w:style w:type="character" w:customStyle="1" w:styleId="ZpatChar">
    <w:name w:val="Zápatí Char"/>
    <w:basedOn w:val="Standardnpsmoodstavce"/>
    <w:link w:val="Zpat"/>
    <w:uiPriority w:val="99"/>
    <w:rsid w:val="003827D8"/>
    <w:rPr>
      <w:rFonts w:ascii="LindeDaxOffice" w:hAnsi="LindeDaxOffice"/>
      <w:color w:val="000000" w:themeColor="text1"/>
      <w:spacing w:val="2"/>
      <w:sz w:val="14"/>
      <w:szCs w:val="15"/>
      <w:lang w:val="en-GB"/>
    </w:rPr>
  </w:style>
  <w:style w:type="paragraph" w:customStyle="1" w:styleId="Sender">
    <w:name w:val="Sender"/>
    <w:basedOn w:val="Normln"/>
    <w:qFormat/>
    <w:rsid w:val="00E46161"/>
    <w:pPr>
      <w:spacing w:line="240" w:lineRule="auto"/>
    </w:pPr>
    <w:rPr>
      <w:sz w:val="16"/>
      <w:szCs w:val="16"/>
    </w:rPr>
  </w:style>
  <w:style w:type="character" w:styleId="Hypertextovodkaz">
    <w:name w:val="Hyperlink"/>
    <w:basedOn w:val="Standardnpsmoodstavce"/>
    <w:uiPriority w:val="99"/>
    <w:unhideWhenUsed/>
    <w:rsid w:val="00634697"/>
    <w:rPr>
      <w:color w:val="0563C1"/>
      <w:u w:val="single"/>
    </w:rPr>
  </w:style>
  <w:style w:type="character" w:customStyle="1" w:styleId="UnresolvedMention">
    <w:name w:val="Unresolved Mention"/>
    <w:basedOn w:val="Standardnpsmoodstavce"/>
    <w:uiPriority w:val="99"/>
    <w:semiHidden/>
    <w:unhideWhenUsed/>
    <w:rsid w:val="00DF0256"/>
    <w:rPr>
      <w:color w:val="605E5C"/>
      <w:shd w:val="clear" w:color="auto" w:fill="E1DFDD"/>
    </w:rPr>
  </w:style>
  <w:style w:type="character" w:customStyle="1" w:styleId="Nadpis4Char">
    <w:name w:val="Nadpis 4 Char"/>
    <w:basedOn w:val="Standardnpsmoodstavce"/>
    <w:link w:val="Nadpis4"/>
    <w:semiHidden/>
    <w:rsid w:val="00CF4ED9"/>
    <w:rPr>
      <w:rFonts w:asciiTheme="majorHAnsi" w:eastAsiaTheme="majorEastAsia" w:hAnsiTheme="majorHAnsi" w:cstheme="majorBidi"/>
      <w:i/>
      <w:iCs/>
      <w:color w:val="003F6C" w:themeColor="accent1" w:themeShade="BF"/>
      <w:szCs w:val="24"/>
      <w:lang w:val="en-US"/>
    </w:rPr>
  </w:style>
  <w:style w:type="character" w:customStyle="1" w:styleId="Nadpis6Char">
    <w:name w:val="Nadpis 6 Char"/>
    <w:basedOn w:val="Standardnpsmoodstavce"/>
    <w:link w:val="Nadpis6"/>
    <w:semiHidden/>
    <w:rsid w:val="00CF4ED9"/>
    <w:rPr>
      <w:rFonts w:asciiTheme="majorHAnsi" w:eastAsiaTheme="majorEastAsia" w:hAnsiTheme="majorHAnsi" w:cstheme="majorBidi"/>
      <w:color w:val="002A48" w:themeColor="accent1" w:themeShade="7F"/>
      <w:szCs w:val="24"/>
      <w:lang w:val="en-US"/>
    </w:rPr>
  </w:style>
  <w:style w:type="character" w:customStyle="1" w:styleId="Nadpis9Char">
    <w:name w:val="Nadpis 9 Char"/>
    <w:basedOn w:val="Standardnpsmoodstavce"/>
    <w:link w:val="Nadpis9"/>
    <w:semiHidden/>
    <w:rsid w:val="00CF4ED9"/>
    <w:rPr>
      <w:rFonts w:asciiTheme="majorHAnsi" w:eastAsiaTheme="majorEastAsia" w:hAnsiTheme="majorHAnsi" w:cstheme="majorBidi"/>
      <w:i/>
      <w:iCs/>
      <w:color w:val="272727" w:themeColor="text1" w:themeTint="D8"/>
      <w:sz w:val="21"/>
      <w:szCs w:val="21"/>
      <w:lang w:val="en-US"/>
    </w:rPr>
  </w:style>
  <w:style w:type="character" w:styleId="slostrnky">
    <w:name w:val="page number"/>
    <w:basedOn w:val="Standardnpsmoodstavce"/>
    <w:rsid w:val="00CF4ED9"/>
  </w:style>
  <w:style w:type="paragraph" w:styleId="Zkladntext">
    <w:name w:val="Body Text"/>
    <w:basedOn w:val="Normln"/>
    <w:link w:val="ZkladntextChar"/>
    <w:rsid w:val="00CF4ED9"/>
    <w:pPr>
      <w:spacing w:line="240" w:lineRule="auto"/>
      <w:jc w:val="both"/>
    </w:pPr>
    <w:rPr>
      <w:rFonts w:ascii="Arial" w:hAnsi="Arial"/>
      <w:szCs w:val="20"/>
      <w:lang w:val="cs-CZ" w:eastAsia="cs-CZ"/>
    </w:rPr>
  </w:style>
  <w:style w:type="character" w:customStyle="1" w:styleId="ZkladntextChar">
    <w:name w:val="Základní text Char"/>
    <w:basedOn w:val="Standardnpsmoodstavce"/>
    <w:link w:val="Zkladntext"/>
    <w:rsid w:val="00CF4ED9"/>
    <w:rPr>
      <w:rFonts w:ascii="Arial" w:hAnsi="Arial"/>
      <w:lang w:val="cs-CZ" w:eastAsia="cs-CZ"/>
    </w:rPr>
  </w:style>
  <w:style w:type="paragraph" w:styleId="Zkladntextodsazen2">
    <w:name w:val="Body Text Indent 2"/>
    <w:basedOn w:val="Normln"/>
    <w:link w:val="Zkladntextodsazen2Char"/>
    <w:rsid w:val="00CF4ED9"/>
    <w:pPr>
      <w:spacing w:line="240" w:lineRule="auto"/>
      <w:ind w:left="284" w:firstLine="567"/>
      <w:jc w:val="both"/>
    </w:pPr>
    <w:rPr>
      <w:rFonts w:ascii="Arial" w:hAnsi="Arial"/>
      <w:snapToGrid w:val="0"/>
      <w:color w:val="000000"/>
      <w:sz w:val="14"/>
      <w:szCs w:val="20"/>
      <w:lang w:val="cs-CZ" w:eastAsia="cs-CZ"/>
    </w:rPr>
  </w:style>
  <w:style w:type="character" w:customStyle="1" w:styleId="Zkladntextodsazen2Char">
    <w:name w:val="Základní text odsazený 2 Char"/>
    <w:basedOn w:val="Standardnpsmoodstavce"/>
    <w:link w:val="Zkladntextodsazen2"/>
    <w:rsid w:val="00CF4ED9"/>
    <w:rPr>
      <w:rFonts w:ascii="Arial" w:hAnsi="Arial"/>
      <w:snapToGrid w:val="0"/>
      <w:color w:val="000000"/>
      <w:sz w:val="14"/>
      <w:lang w:val="cs-CZ" w:eastAsia="cs-CZ"/>
    </w:rPr>
  </w:style>
  <w:style w:type="paragraph" w:styleId="Zkladntext2">
    <w:name w:val="Body Text 2"/>
    <w:basedOn w:val="Normln"/>
    <w:link w:val="Zkladntext2Char"/>
    <w:rsid w:val="00CF4ED9"/>
    <w:pPr>
      <w:spacing w:line="240" w:lineRule="auto"/>
      <w:jc w:val="both"/>
    </w:pPr>
    <w:rPr>
      <w:rFonts w:ascii="Arial" w:hAnsi="Arial"/>
      <w:snapToGrid w:val="0"/>
      <w:color w:val="000000"/>
      <w:sz w:val="14"/>
      <w:szCs w:val="20"/>
      <w:lang w:val="cs-CZ" w:eastAsia="cs-CZ"/>
    </w:rPr>
  </w:style>
  <w:style w:type="character" w:customStyle="1" w:styleId="Zkladntext2Char">
    <w:name w:val="Základní text 2 Char"/>
    <w:basedOn w:val="Standardnpsmoodstavce"/>
    <w:link w:val="Zkladntext2"/>
    <w:rsid w:val="00CF4ED9"/>
    <w:rPr>
      <w:rFonts w:ascii="Arial" w:hAnsi="Arial"/>
      <w:snapToGrid w:val="0"/>
      <w:color w:val="000000"/>
      <w:sz w:val="14"/>
      <w:lang w:val="cs-CZ" w:eastAsia="cs-CZ"/>
    </w:rPr>
  </w:style>
  <w:style w:type="paragraph" w:styleId="Zkladntextodsazen3">
    <w:name w:val="Body Text Indent 3"/>
    <w:basedOn w:val="Normln"/>
    <w:link w:val="Zkladntextodsazen3Char"/>
    <w:rsid w:val="00CF4ED9"/>
    <w:pPr>
      <w:spacing w:line="240" w:lineRule="auto"/>
      <w:ind w:left="284"/>
      <w:jc w:val="both"/>
    </w:pPr>
    <w:rPr>
      <w:rFonts w:ascii="Arial" w:hAnsi="Arial"/>
      <w:snapToGrid w:val="0"/>
      <w:color w:val="000000"/>
      <w:sz w:val="14"/>
      <w:szCs w:val="20"/>
      <w:lang w:val="cs-CZ" w:eastAsia="cs-CZ"/>
    </w:rPr>
  </w:style>
  <w:style w:type="character" w:customStyle="1" w:styleId="Zkladntextodsazen3Char">
    <w:name w:val="Základní text odsazený 3 Char"/>
    <w:basedOn w:val="Standardnpsmoodstavce"/>
    <w:link w:val="Zkladntextodsazen3"/>
    <w:rsid w:val="00CF4ED9"/>
    <w:rPr>
      <w:rFonts w:ascii="Arial" w:hAnsi="Arial"/>
      <w:snapToGrid w:val="0"/>
      <w:color w:val="000000"/>
      <w:sz w:val="14"/>
      <w:lang w:val="cs-CZ" w:eastAsia="cs-CZ"/>
    </w:rPr>
  </w:style>
  <w:style w:type="paragraph" w:styleId="Zkladntext3">
    <w:name w:val="Body Text 3"/>
    <w:basedOn w:val="Normln"/>
    <w:link w:val="Zkladntext3Char"/>
    <w:rsid w:val="00CF4ED9"/>
    <w:pPr>
      <w:spacing w:line="240" w:lineRule="auto"/>
      <w:jc w:val="both"/>
    </w:pPr>
    <w:rPr>
      <w:rFonts w:ascii="Arial" w:hAnsi="Arial"/>
      <w:snapToGrid w:val="0"/>
      <w:color w:val="FF0000"/>
      <w:sz w:val="14"/>
      <w:szCs w:val="20"/>
      <w:lang w:val="cs-CZ" w:eastAsia="cs-CZ"/>
    </w:rPr>
  </w:style>
  <w:style w:type="character" w:customStyle="1" w:styleId="Zkladntext3Char">
    <w:name w:val="Základní text 3 Char"/>
    <w:basedOn w:val="Standardnpsmoodstavce"/>
    <w:link w:val="Zkladntext3"/>
    <w:rsid w:val="00CF4ED9"/>
    <w:rPr>
      <w:rFonts w:ascii="Arial" w:hAnsi="Arial"/>
      <w:snapToGrid w:val="0"/>
      <w:color w:val="FF0000"/>
      <w:sz w:val="1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96BBF"/>
    <w:pPr>
      <w:spacing w:line="280" w:lineRule="atLeast"/>
    </w:pPr>
    <w:rPr>
      <w:rFonts w:asciiTheme="minorHAnsi" w:hAnsiTheme="minorHAnsi"/>
      <w:szCs w:val="24"/>
      <w:lang w:val="en-US"/>
    </w:rPr>
  </w:style>
  <w:style w:type="paragraph" w:styleId="Nadpis1">
    <w:name w:val="heading 1"/>
    <w:basedOn w:val="Nzev"/>
    <w:next w:val="Normln"/>
    <w:qFormat/>
    <w:rsid w:val="00653904"/>
    <w:pPr>
      <w:outlineLvl w:val="0"/>
    </w:pPr>
  </w:style>
  <w:style w:type="paragraph" w:styleId="Nadpis4">
    <w:name w:val="heading 4"/>
    <w:basedOn w:val="Normln"/>
    <w:next w:val="Normln"/>
    <w:link w:val="Nadpis4Char"/>
    <w:semiHidden/>
    <w:unhideWhenUsed/>
    <w:qFormat/>
    <w:rsid w:val="00CF4ED9"/>
    <w:pPr>
      <w:keepNext/>
      <w:keepLines/>
      <w:spacing w:before="40"/>
      <w:outlineLvl w:val="3"/>
    </w:pPr>
    <w:rPr>
      <w:rFonts w:asciiTheme="majorHAnsi" w:eastAsiaTheme="majorEastAsia" w:hAnsiTheme="majorHAnsi" w:cstheme="majorBidi"/>
      <w:i/>
      <w:iCs/>
      <w:color w:val="003F6C" w:themeColor="accent1" w:themeShade="BF"/>
    </w:rPr>
  </w:style>
  <w:style w:type="paragraph" w:styleId="Nadpis6">
    <w:name w:val="heading 6"/>
    <w:basedOn w:val="Normln"/>
    <w:next w:val="Normln"/>
    <w:link w:val="Nadpis6Char"/>
    <w:semiHidden/>
    <w:unhideWhenUsed/>
    <w:qFormat/>
    <w:rsid w:val="00CF4ED9"/>
    <w:pPr>
      <w:keepNext/>
      <w:keepLines/>
      <w:spacing w:before="40"/>
      <w:outlineLvl w:val="5"/>
    </w:pPr>
    <w:rPr>
      <w:rFonts w:asciiTheme="majorHAnsi" w:eastAsiaTheme="majorEastAsia" w:hAnsiTheme="majorHAnsi" w:cstheme="majorBidi"/>
      <w:color w:val="002A48" w:themeColor="accent1" w:themeShade="7F"/>
    </w:rPr>
  </w:style>
  <w:style w:type="paragraph" w:styleId="Nadpis9">
    <w:name w:val="heading 9"/>
    <w:basedOn w:val="Normln"/>
    <w:next w:val="Normln"/>
    <w:link w:val="Nadpis9Char"/>
    <w:semiHidden/>
    <w:unhideWhenUsed/>
    <w:qFormat/>
    <w:rsid w:val="00CF4E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Betreff"/>
    <w:next w:val="Normln"/>
    <w:link w:val="NzevChar"/>
    <w:rsid w:val="00653904"/>
  </w:style>
  <w:style w:type="paragraph" w:styleId="Zhlav">
    <w:name w:val="header"/>
    <w:rsid w:val="008560BC"/>
    <w:rPr>
      <w:rFonts w:ascii="LindeDaxOffice" w:hAnsi="LindeDaxOffice"/>
      <w:color w:val="00305C"/>
      <w:sz w:val="23"/>
      <w:szCs w:val="24"/>
      <w:lang w:val="en-GB"/>
    </w:rPr>
  </w:style>
  <w:style w:type="paragraph" w:styleId="Zpat">
    <w:name w:val="footer"/>
    <w:link w:val="ZpatChar"/>
    <w:rsid w:val="003827D8"/>
    <w:pPr>
      <w:spacing w:line="190" w:lineRule="exact"/>
    </w:pPr>
    <w:rPr>
      <w:rFonts w:ascii="LindeDaxOffice" w:hAnsi="LindeDaxOffice"/>
      <w:color w:val="000000" w:themeColor="text1"/>
      <w:spacing w:val="2"/>
      <w:sz w:val="14"/>
      <w:szCs w:val="15"/>
      <w:lang w:val="en-GB"/>
    </w:rPr>
  </w:style>
  <w:style w:type="paragraph" w:customStyle="1" w:styleId="Betreff">
    <w:name w:val="Betreff"/>
    <w:basedOn w:val="Normln"/>
    <w:next w:val="Normln"/>
    <w:rsid w:val="00C340FD"/>
    <w:pPr>
      <w:spacing w:after="320" w:line="240" w:lineRule="auto"/>
    </w:pPr>
    <w:rPr>
      <w:sz w:val="28"/>
    </w:rPr>
  </w:style>
  <w:style w:type="paragraph" w:styleId="Textbubliny">
    <w:name w:val="Balloon Text"/>
    <w:basedOn w:val="Normln"/>
    <w:semiHidden/>
    <w:rsid w:val="00BE3DC7"/>
    <w:rPr>
      <w:rFonts w:ascii="Tahoma" w:hAnsi="Tahoma" w:cs="Tahoma"/>
      <w:sz w:val="16"/>
      <w:szCs w:val="16"/>
    </w:rPr>
  </w:style>
  <w:style w:type="table" w:styleId="Mkatabulky">
    <w:name w:val="Table Grid"/>
    <w:basedOn w:val="Normlntabulka"/>
    <w:rsid w:val="004542C0"/>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
    <w:rsid w:val="006F3E10"/>
    <w:pPr>
      <w:spacing w:line="200" w:lineRule="atLeast"/>
    </w:pPr>
    <w:rPr>
      <w:sz w:val="16"/>
    </w:rPr>
  </w:style>
  <w:style w:type="paragraph" w:customStyle="1" w:styleId="ListBullet">
    <w:name w:val="List_Bullet"/>
    <w:basedOn w:val="Normln"/>
    <w:qFormat/>
    <w:rsid w:val="002B355B"/>
    <w:pPr>
      <w:numPr>
        <w:numId w:val="1"/>
      </w:numPr>
    </w:pPr>
  </w:style>
  <w:style w:type="character" w:customStyle="1" w:styleId="NzevChar">
    <w:name w:val="Název Char"/>
    <w:basedOn w:val="Standardnpsmoodstavce"/>
    <w:link w:val="Nzev"/>
    <w:rsid w:val="00653904"/>
    <w:rPr>
      <w:rFonts w:ascii="LindeDaxOffice" w:hAnsi="LindeDaxOffice"/>
      <w:sz w:val="28"/>
      <w:szCs w:val="24"/>
      <w:lang w:val="en-GB"/>
    </w:rPr>
  </w:style>
  <w:style w:type="character" w:customStyle="1" w:styleId="ZpatChar">
    <w:name w:val="Zápatí Char"/>
    <w:basedOn w:val="Standardnpsmoodstavce"/>
    <w:link w:val="Zpat"/>
    <w:uiPriority w:val="99"/>
    <w:rsid w:val="003827D8"/>
    <w:rPr>
      <w:rFonts w:ascii="LindeDaxOffice" w:hAnsi="LindeDaxOffice"/>
      <w:color w:val="000000" w:themeColor="text1"/>
      <w:spacing w:val="2"/>
      <w:sz w:val="14"/>
      <w:szCs w:val="15"/>
      <w:lang w:val="en-GB"/>
    </w:rPr>
  </w:style>
  <w:style w:type="paragraph" w:customStyle="1" w:styleId="Sender">
    <w:name w:val="Sender"/>
    <w:basedOn w:val="Normln"/>
    <w:qFormat/>
    <w:rsid w:val="00E46161"/>
    <w:pPr>
      <w:spacing w:line="240" w:lineRule="auto"/>
    </w:pPr>
    <w:rPr>
      <w:sz w:val="16"/>
      <w:szCs w:val="16"/>
    </w:rPr>
  </w:style>
  <w:style w:type="character" w:styleId="Hypertextovodkaz">
    <w:name w:val="Hyperlink"/>
    <w:basedOn w:val="Standardnpsmoodstavce"/>
    <w:uiPriority w:val="99"/>
    <w:unhideWhenUsed/>
    <w:rsid w:val="00634697"/>
    <w:rPr>
      <w:color w:val="0563C1"/>
      <w:u w:val="single"/>
    </w:rPr>
  </w:style>
  <w:style w:type="character" w:customStyle="1" w:styleId="UnresolvedMention">
    <w:name w:val="Unresolved Mention"/>
    <w:basedOn w:val="Standardnpsmoodstavce"/>
    <w:uiPriority w:val="99"/>
    <w:semiHidden/>
    <w:unhideWhenUsed/>
    <w:rsid w:val="00DF0256"/>
    <w:rPr>
      <w:color w:val="605E5C"/>
      <w:shd w:val="clear" w:color="auto" w:fill="E1DFDD"/>
    </w:rPr>
  </w:style>
  <w:style w:type="character" w:customStyle="1" w:styleId="Nadpis4Char">
    <w:name w:val="Nadpis 4 Char"/>
    <w:basedOn w:val="Standardnpsmoodstavce"/>
    <w:link w:val="Nadpis4"/>
    <w:semiHidden/>
    <w:rsid w:val="00CF4ED9"/>
    <w:rPr>
      <w:rFonts w:asciiTheme="majorHAnsi" w:eastAsiaTheme="majorEastAsia" w:hAnsiTheme="majorHAnsi" w:cstheme="majorBidi"/>
      <w:i/>
      <w:iCs/>
      <w:color w:val="003F6C" w:themeColor="accent1" w:themeShade="BF"/>
      <w:szCs w:val="24"/>
      <w:lang w:val="en-US"/>
    </w:rPr>
  </w:style>
  <w:style w:type="character" w:customStyle="1" w:styleId="Nadpis6Char">
    <w:name w:val="Nadpis 6 Char"/>
    <w:basedOn w:val="Standardnpsmoodstavce"/>
    <w:link w:val="Nadpis6"/>
    <w:semiHidden/>
    <w:rsid w:val="00CF4ED9"/>
    <w:rPr>
      <w:rFonts w:asciiTheme="majorHAnsi" w:eastAsiaTheme="majorEastAsia" w:hAnsiTheme="majorHAnsi" w:cstheme="majorBidi"/>
      <w:color w:val="002A48" w:themeColor="accent1" w:themeShade="7F"/>
      <w:szCs w:val="24"/>
      <w:lang w:val="en-US"/>
    </w:rPr>
  </w:style>
  <w:style w:type="character" w:customStyle="1" w:styleId="Nadpis9Char">
    <w:name w:val="Nadpis 9 Char"/>
    <w:basedOn w:val="Standardnpsmoodstavce"/>
    <w:link w:val="Nadpis9"/>
    <w:semiHidden/>
    <w:rsid w:val="00CF4ED9"/>
    <w:rPr>
      <w:rFonts w:asciiTheme="majorHAnsi" w:eastAsiaTheme="majorEastAsia" w:hAnsiTheme="majorHAnsi" w:cstheme="majorBidi"/>
      <w:i/>
      <w:iCs/>
      <w:color w:val="272727" w:themeColor="text1" w:themeTint="D8"/>
      <w:sz w:val="21"/>
      <w:szCs w:val="21"/>
      <w:lang w:val="en-US"/>
    </w:rPr>
  </w:style>
  <w:style w:type="character" w:styleId="slostrnky">
    <w:name w:val="page number"/>
    <w:basedOn w:val="Standardnpsmoodstavce"/>
    <w:rsid w:val="00CF4ED9"/>
  </w:style>
  <w:style w:type="paragraph" w:styleId="Zkladntext">
    <w:name w:val="Body Text"/>
    <w:basedOn w:val="Normln"/>
    <w:link w:val="ZkladntextChar"/>
    <w:rsid w:val="00CF4ED9"/>
    <w:pPr>
      <w:spacing w:line="240" w:lineRule="auto"/>
      <w:jc w:val="both"/>
    </w:pPr>
    <w:rPr>
      <w:rFonts w:ascii="Arial" w:hAnsi="Arial"/>
      <w:szCs w:val="20"/>
      <w:lang w:val="cs-CZ" w:eastAsia="cs-CZ"/>
    </w:rPr>
  </w:style>
  <w:style w:type="character" w:customStyle="1" w:styleId="ZkladntextChar">
    <w:name w:val="Základní text Char"/>
    <w:basedOn w:val="Standardnpsmoodstavce"/>
    <w:link w:val="Zkladntext"/>
    <w:rsid w:val="00CF4ED9"/>
    <w:rPr>
      <w:rFonts w:ascii="Arial" w:hAnsi="Arial"/>
      <w:lang w:val="cs-CZ" w:eastAsia="cs-CZ"/>
    </w:rPr>
  </w:style>
  <w:style w:type="paragraph" w:styleId="Zkladntextodsazen2">
    <w:name w:val="Body Text Indent 2"/>
    <w:basedOn w:val="Normln"/>
    <w:link w:val="Zkladntextodsazen2Char"/>
    <w:rsid w:val="00CF4ED9"/>
    <w:pPr>
      <w:spacing w:line="240" w:lineRule="auto"/>
      <w:ind w:left="284" w:firstLine="567"/>
      <w:jc w:val="both"/>
    </w:pPr>
    <w:rPr>
      <w:rFonts w:ascii="Arial" w:hAnsi="Arial"/>
      <w:snapToGrid w:val="0"/>
      <w:color w:val="000000"/>
      <w:sz w:val="14"/>
      <w:szCs w:val="20"/>
      <w:lang w:val="cs-CZ" w:eastAsia="cs-CZ"/>
    </w:rPr>
  </w:style>
  <w:style w:type="character" w:customStyle="1" w:styleId="Zkladntextodsazen2Char">
    <w:name w:val="Základní text odsazený 2 Char"/>
    <w:basedOn w:val="Standardnpsmoodstavce"/>
    <w:link w:val="Zkladntextodsazen2"/>
    <w:rsid w:val="00CF4ED9"/>
    <w:rPr>
      <w:rFonts w:ascii="Arial" w:hAnsi="Arial"/>
      <w:snapToGrid w:val="0"/>
      <w:color w:val="000000"/>
      <w:sz w:val="14"/>
      <w:lang w:val="cs-CZ" w:eastAsia="cs-CZ"/>
    </w:rPr>
  </w:style>
  <w:style w:type="paragraph" w:styleId="Zkladntext2">
    <w:name w:val="Body Text 2"/>
    <w:basedOn w:val="Normln"/>
    <w:link w:val="Zkladntext2Char"/>
    <w:rsid w:val="00CF4ED9"/>
    <w:pPr>
      <w:spacing w:line="240" w:lineRule="auto"/>
      <w:jc w:val="both"/>
    </w:pPr>
    <w:rPr>
      <w:rFonts w:ascii="Arial" w:hAnsi="Arial"/>
      <w:snapToGrid w:val="0"/>
      <w:color w:val="000000"/>
      <w:sz w:val="14"/>
      <w:szCs w:val="20"/>
      <w:lang w:val="cs-CZ" w:eastAsia="cs-CZ"/>
    </w:rPr>
  </w:style>
  <w:style w:type="character" w:customStyle="1" w:styleId="Zkladntext2Char">
    <w:name w:val="Základní text 2 Char"/>
    <w:basedOn w:val="Standardnpsmoodstavce"/>
    <w:link w:val="Zkladntext2"/>
    <w:rsid w:val="00CF4ED9"/>
    <w:rPr>
      <w:rFonts w:ascii="Arial" w:hAnsi="Arial"/>
      <w:snapToGrid w:val="0"/>
      <w:color w:val="000000"/>
      <w:sz w:val="14"/>
      <w:lang w:val="cs-CZ" w:eastAsia="cs-CZ"/>
    </w:rPr>
  </w:style>
  <w:style w:type="paragraph" w:styleId="Zkladntextodsazen3">
    <w:name w:val="Body Text Indent 3"/>
    <w:basedOn w:val="Normln"/>
    <w:link w:val="Zkladntextodsazen3Char"/>
    <w:rsid w:val="00CF4ED9"/>
    <w:pPr>
      <w:spacing w:line="240" w:lineRule="auto"/>
      <w:ind w:left="284"/>
      <w:jc w:val="both"/>
    </w:pPr>
    <w:rPr>
      <w:rFonts w:ascii="Arial" w:hAnsi="Arial"/>
      <w:snapToGrid w:val="0"/>
      <w:color w:val="000000"/>
      <w:sz w:val="14"/>
      <w:szCs w:val="20"/>
      <w:lang w:val="cs-CZ" w:eastAsia="cs-CZ"/>
    </w:rPr>
  </w:style>
  <w:style w:type="character" w:customStyle="1" w:styleId="Zkladntextodsazen3Char">
    <w:name w:val="Základní text odsazený 3 Char"/>
    <w:basedOn w:val="Standardnpsmoodstavce"/>
    <w:link w:val="Zkladntextodsazen3"/>
    <w:rsid w:val="00CF4ED9"/>
    <w:rPr>
      <w:rFonts w:ascii="Arial" w:hAnsi="Arial"/>
      <w:snapToGrid w:val="0"/>
      <w:color w:val="000000"/>
      <w:sz w:val="14"/>
      <w:lang w:val="cs-CZ" w:eastAsia="cs-CZ"/>
    </w:rPr>
  </w:style>
  <w:style w:type="paragraph" w:styleId="Zkladntext3">
    <w:name w:val="Body Text 3"/>
    <w:basedOn w:val="Normln"/>
    <w:link w:val="Zkladntext3Char"/>
    <w:rsid w:val="00CF4ED9"/>
    <w:pPr>
      <w:spacing w:line="240" w:lineRule="auto"/>
      <w:jc w:val="both"/>
    </w:pPr>
    <w:rPr>
      <w:rFonts w:ascii="Arial" w:hAnsi="Arial"/>
      <w:snapToGrid w:val="0"/>
      <w:color w:val="FF0000"/>
      <w:sz w:val="14"/>
      <w:szCs w:val="20"/>
      <w:lang w:val="cs-CZ" w:eastAsia="cs-CZ"/>
    </w:rPr>
  </w:style>
  <w:style w:type="character" w:customStyle="1" w:styleId="Zkladntext3Char">
    <w:name w:val="Základní text 3 Char"/>
    <w:basedOn w:val="Standardnpsmoodstavce"/>
    <w:link w:val="Zkladntext3"/>
    <w:rsid w:val="00CF4ED9"/>
    <w:rPr>
      <w:rFonts w:ascii="Arial" w:hAnsi="Arial"/>
      <w:snapToGrid w:val="0"/>
      <w:color w:val="FF0000"/>
      <w:sz w:val="1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2805">
      <w:bodyDiv w:val="1"/>
      <w:marLeft w:val="0"/>
      <w:marRight w:val="0"/>
      <w:marTop w:val="0"/>
      <w:marBottom w:val="0"/>
      <w:divBdr>
        <w:top w:val="none" w:sz="0" w:space="0" w:color="auto"/>
        <w:left w:val="none" w:sz="0" w:space="0" w:color="auto"/>
        <w:bottom w:val="none" w:sz="0" w:space="0" w:color="auto"/>
        <w:right w:val="none" w:sz="0" w:space="0" w:color="auto"/>
      </w:divBdr>
    </w:div>
    <w:div w:id="396246712">
      <w:bodyDiv w:val="1"/>
      <w:marLeft w:val="0"/>
      <w:marRight w:val="0"/>
      <w:marTop w:val="0"/>
      <w:marBottom w:val="0"/>
      <w:divBdr>
        <w:top w:val="none" w:sz="0" w:space="0" w:color="auto"/>
        <w:left w:val="none" w:sz="0" w:space="0" w:color="auto"/>
        <w:bottom w:val="none" w:sz="0" w:space="0" w:color="auto"/>
        <w:right w:val="none" w:sz="0" w:space="0" w:color="auto"/>
      </w:divBdr>
    </w:div>
    <w:div w:id="648290470">
      <w:bodyDiv w:val="1"/>
      <w:marLeft w:val="0"/>
      <w:marRight w:val="0"/>
      <w:marTop w:val="0"/>
      <w:marBottom w:val="0"/>
      <w:divBdr>
        <w:top w:val="none" w:sz="0" w:space="0" w:color="auto"/>
        <w:left w:val="none" w:sz="0" w:space="0" w:color="auto"/>
        <w:bottom w:val="none" w:sz="0" w:space="0" w:color="auto"/>
        <w:right w:val="none" w:sz="0" w:space="0" w:color="auto"/>
      </w:divBdr>
    </w:div>
    <w:div w:id="716659593">
      <w:bodyDiv w:val="1"/>
      <w:marLeft w:val="0"/>
      <w:marRight w:val="0"/>
      <w:marTop w:val="0"/>
      <w:marBottom w:val="0"/>
      <w:divBdr>
        <w:top w:val="none" w:sz="0" w:space="0" w:color="auto"/>
        <w:left w:val="none" w:sz="0" w:space="0" w:color="auto"/>
        <w:bottom w:val="none" w:sz="0" w:space="0" w:color="auto"/>
        <w:right w:val="none" w:sz="0" w:space="0" w:color="auto"/>
      </w:divBdr>
    </w:div>
    <w:div w:id="1323584655">
      <w:bodyDiv w:val="1"/>
      <w:marLeft w:val="0"/>
      <w:marRight w:val="0"/>
      <w:marTop w:val="0"/>
      <w:marBottom w:val="0"/>
      <w:divBdr>
        <w:top w:val="none" w:sz="0" w:space="0" w:color="auto"/>
        <w:left w:val="none" w:sz="0" w:space="0" w:color="auto"/>
        <w:bottom w:val="none" w:sz="0" w:space="0" w:color="auto"/>
        <w:right w:val="none" w:sz="0" w:space="0" w:color="auto"/>
      </w:divBdr>
    </w:div>
    <w:div w:id="1386682039">
      <w:bodyDiv w:val="1"/>
      <w:marLeft w:val="0"/>
      <w:marRight w:val="0"/>
      <w:marTop w:val="0"/>
      <w:marBottom w:val="0"/>
      <w:divBdr>
        <w:top w:val="none" w:sz="0" w:space="0" w:color="auto"/>
        <w:left w:val="none" w:sz="0" w:space="0" w:color="auto"/>
        <w:bottom w:val="none" w:sz="0" w:space="0" w:color="auto"/>
        <w:right w:val="none" w:sz="0" w:space="0" w:color="auto"/>
      </w:divBdr>
    </w:div>
    <w:div w:id="1697459320">
      <w:bodyDiv w:val="1"/>
      <w:marLeft w:val="0"/>
      <w:marRight w:val="0"/>
      <w:marTop w:val="0"/>
      <w:marBottom w:val="0"/>
      <w:divBdr>
        <w:top w:val="none" w:sz="0" w:space="0" w:color="auto"/>
        <w:left w:val="none" w:sz="0" w:space="0" w:color="auto"/>
        <w:bottom w:val="none" w:sz="0" w:space="0" w:color="auto"/>
        <w:right w:val="none" w:sz="0" w:space="0" w:color="auto"/>
      </w:divBdr>
    </w:div>
    <w:div w:id="1759667711">
      <w:bodyDiv w:val="1"/>
      <w:marLeft w:val="0"/>
      <w:marRight w:val="0"/>
      <w:marTop w:val="0"/>
      <w:marBottom w:val="0"/>
      <w:divBdr>
        <w:top w:val="none" w:sz="0" w:space="0" w:color="auto"/>
        <w:left w:val="none" w:sz="0" w:space="0" w:color="auto"/>
        <w:bottom w:val="none" w:sz="0" w:space="0" w:color="auto"/>
        <w:right w:val="none" w:sz="0" w:space="0" w:color="auto"/>
      </w:divBdr>
    </w:div>
    <w:div w:id="20659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Local\Microsoft\Windows\Temporary%20Internet%20Files\Content.Outlook\LXRD5317\Linde_plc_letter_2018_DIN_A4_RGB%20(2).dotx" TargetMode="External"/></Relationships>
</file>

<file path=word/theme/theme1.xml><?xml version="1.0" encoding="utf-8"?>
<a:theme xmlns:a="http://schemas.openxmlformats.org/drawingml/2006/main" name="Larissa">
  <a:themeElements>
    <a:clrScheme name="_Linde">
      <a:dk1>
        <a:srgbClr val="000000"/>
      </a:dk1>
      <a:lt1>
        <a:srgbClr val="FFFFFF"/>
      </a:lt1>
      <a:dk2>
        <a:srgbClr val="00A0E1"/>
      </a:dk2>
      <a:lt2>
        <a:srgbClr val="E8E9EB"/>
      </a:lt2>
      <a:accent1>
        <a:srgbClr val="005591"/>
      </a:accent1>
      <a:accent2>
        <a:srgbClr val="4D88B2"/>
      </a:accent2>
      <a:accent3>
        <a:srgbClr val="80AAC8"/>
      </a:accent3>
      <a:accent4>
        <a:srgbClr val="B3CCDE"/>
      </a:accent4>
      <a:accent5>
        <a:srgbClr val="00A0E1"/>
      </a:accent5>
      <a:accent6>
        <a:srgbClr val="6E7878"/>
      </a:accent6>
      <a:hlink>
        <a:srgbClr val="000000"/>
      </a:hlink>
      <a:folHlink>
        <a:srgbClr val="000000"/>
      </a:folHlink>
    </a:clrScheme>
    <a:fontScheme name="Linde Word">
      <a:majorFont>
        <a:latin typeface="LindeDaxOffice"/>
        <a:ea typeface=""/>
        <a:cs typeface=""/>
      </a:majorFont>
      <a:minorFont>
        <a:latin typeface="LindeDax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C4238146B374F914717C48A65A4CB" ma:contentTypeVersion="2" ma:contentTypeDescription="Create a new document." ma:contentTypeScope="" ma:versionID="ea379a9811b31fe5cbae4088dcd614ee">
  <xsd:schema xmlns:xsd="http://www.w3.org/2001/XMLSchema" xmlns:xs="http://www.w3.org/2001/XMLSchema" xmlns:p="http://schemas.microsoft.com/office/2006/metadata/properties" xmlns:ns2="486d34a4-62a6-4d79-bf23-65ba8215cf62" targetNamespace="http://schemas.microsoft.com/office/2006/metadata/properties" ma:root="true" ma:fieldsID="0997d1104086840ca303f96fe6b882de" ns2:_="">
    <xsd:import namespace="486d34a4-62a6-4d79-bf23-65ba8215cf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d34a4-62a6-4d79-bf23-65ba8215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B82C6-1E3A-4809-B55B-6662FD8B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d34a4-62a6-4d79-bf23-65ba8215c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1077C-1D04-4139-A68F-0132CED61F74}">
  <ds:schemaRefs>
    <ds:schemaRef ds:uri="http://schemas.microsoft.com/sharepoint/v3/contenttype/forms"/>
  </ds:schemaRefs>
</ds:datastoreItem>
</file>

<file path=customXml/itemProps3.xml><?xml version="1.0" encoding="utf-8"?>
<ds:datastoreItem xmlns:ds="http://schemas.openxmlformats.org/officeDocument/2006/customXml" ds:itemID="{049E7A62-3E10-4E5B-94EF-5855BE2360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5DB0B-487E-4738-934E-0C8D4F05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Linde_plc_letter_2018_DIN_A4_RGB (2)</Template>
  <TotalTime>1</TotalTime>
  <Pages>2</Pages>
  <Words>2184</Words>
  <Characters>12886</Characters>
  <Application>Microsoft Office Word</Application>
  <DocSecurity>4</DocSecurity>
  <Lines>107</Lines>
  <Paragraphs>30</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Legal Entity</Company>
  <LinksUpToDate>false</LinksUpToDate>
  <CharactersWithSpaces>15040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Mrkvová Renáta</cp:lastModifiedBy>
  <cp:revision>2</cp:revision>
  <cp:lastPrinted>2020-04-28T08:14:00Z</cp:lastPrinted>
  <dcterms:created xsi:type="dcterms:W3CDTF">2020-05-04T11:50:00Z</dcterms:created>
  <dcterms:modified xsi:type="dcterms:W3CDTF">2020-05-04T11:50:00Z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0x0101002B8C4238146B374F914717C48A65A4CB</vt:lpwstr>
  </property>
</Properties>
</file>