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FE10" w14:textId="19F05094"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567092" w:rsidRPr="00D96AC3">
        <w:rPr>
          <w:rFonts w:ascii="Arial" w:hAnsi="Arial" w:cs="Arial"/>
          <w:b/>
          <w:sz w:val="28"/>
          <w:szCs w:val="28"/>
        </w:rPr>
        <w:t>20</w:t>
      </w:r>
      <w:r w:rsidR="009C7C02">
        <w:rPr>
          <w:rFonts w:ascii="Arial" w:hAnsi="Arial" w:cs="Arial"/>
          <w:b/>
          <w:sz w:val="28"/>
          <w:szCs w:val="28"/>
        </w:rPr>
        <w:t>20</w:t>
      </w:r>
      <w:r w:rsidR="00CD12FA">
        <w:rPr>
          <w:rFonts w:ascii="Arial" w:hAnsi="Arial" w:cs="Arial"/>
          <w:b/>
          <w:sz w:val="28"/>
          <w:szCs w:val="28"/>
        </w:rPr>
        <w:t>-P0013</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0D863392" w14:textId="77777777" w:rsidR="000C4C27" w:rsidRDefault="0027394B" w:rsidP="00D96AC3">
      <w:pPr>
        <w:pStyle w:val="Normlnweb"/>
        <w:spacing w:after="0" w:afterAutospacing="0"/>
        <w:rPr>
          <w:rFonts w:ascii="Arial" w:hAnsi="Arial" w:cs="Arial"/>
          <w:sz w:val="20"/>
          <w:szCs w:val="20"/>
        </w:rPr>
      </w:pPr>
      <w:r w:rsidRPr="00D96AC3">
        <w:rPr>
          <w:rStyle w:val="Siln"/>
          <w:rFonts w:ascii="Arial" w:hAnsi="Arial" w:cs="Arial"/>
          <w:sz w:val="20"/>
          <w:szCs w:val="20"/>
        </w:rPr>
        <w:t xml:space="preserve">Zentiva, k.s. </w:t>
      </w:r>
      <w:r w:rsidRPr="00D96AC3">
        <w:rPr>
          <w:rFonts w:ascii="Arial" w:hAnsi="Arial" w:cs="Arial"/>
          <w:sz w:val="20"/>
          <w:szCs w:val="20"/>
        </w:rPr>
        <w:br/>
        <w:t>Sídlo: Praha 10 – Dolní Měcholupy, U kabelovny 130, PSČ 102 37</w:t>
      </w:r>
      <w:r w:rsidRPr="00D96AC3">
        <w:rPr>
          <w:rFonts w:ascii="Arial" w:hAnsi="Arial" w:cs="Arial"/>
          <w:sz w:val="20"/>
          <w:szCs w:val="20"/>
        </w:rPr>
        <w:br/>
        <w:t>IČO: 492 40 030</w:t>
      </w:r>
      <w:r w:rsidRPr="00D96AC3">
        <w:rPr>
          <w:rFonts w:ascii="Arial" w:hAnsi="Arial" w:cs="Arial"/>
          <w:sz w:val="20"/>
          <w:szCs w:val="20"/>
        </w:rPr>
        <w:br/>
        <w:t>DIČ: CZ492 40</w:t>
      </w:r>
      <w:r w:rsidR="000C4C27">
        <w:rPr>
          <w:rFonts w:ascii="Arial" w:hAnsi="Arial" w:cs="Arial"/>
          <w:sz w:val="20"/>
          <w:szCs w:val="20"/>
        </w:rPr>
        <w:t> </w:t>
      </w:r>
      <w:r w:rsidRPr="00D96AC3">
        <w:rPr>
          <w:rFonts w:ascii="Arial" w:hAnsi="Arial" w:cs="Arial"/>
          <w:sz w:val="20"/>
          <w:szCs w:val="20"/>
        </w:rPr>
        <w:t xml:space="preserve">030 </w:t>
      </w:r>
    </w:p>
    <w:p w14:paraId="525457F4" w14:textId="358EF9D0" w:rsidR="003D5EFD" w:rsidRDefault="000C4C27" w:rsidP="00D96AC3">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D5EFD">
        <w:rPr>
          <w:rFonts w:ascii="Arial" w:hAnsi="Arial" w:cs="Arial"/>
          <w:sz w:val="20"/>
          <w:szCs w:val="20"/>
        </w:rPr>
        <w:t>CitiBank</w:t>
      </w:r>
      <w:proofErr w:type="spellEnd"/>
      <w:r w:rsidR="003D5EFD">
        <w:rPr>
          <w:rFonts w:ascii="Arial" w:hAnsi="Arial" w:cs="Arial"/>
          <w:sz w:val="20"/>
          <w:szCs w:val="20"/>
        </w:rPr>
        <w:t xml:space="preserve"> </w:t>
      </w:r>
      <w:proofErr w:type="spellStart"/>
      <w:r w:rsidR="003D5EFD">
        <w:rPr>
          <w:rFonts w:ascii="Arial" w:hAnsi="Arial" w:cs="Arial"/>
          <w:sz w:val="20"/>
          <w:szCs w:val="20"/>
        </w:rPr>
        <w:t>Europe</w:t>
      </w:r>
      <w:proofErr w:type="spellEnd"/>
      <w:r w:rsidR="003D5EFD">
        <w:rPr>
          <w:rFonts w:ascii="Arial" w:hAnsi="Arial" w:cs="Arial"/>
          <w:sz w:val="20"/>
          <w:szCs w:val="20"/>
        </w:rPr>
        <w:t xml:space="preserve"> </w:t>
      </w:r>
      <w:proofErr w:type="spellStart"/>
      <w:r w:rsidR="003D5EFD">
        <w:rPr>
          <w:rFonts w:ascii="Arial" w:hAnsi="Arial" w:cs="Arial"/>
          <w:sz w:val="20"/>
          <w:szCs w:val="20"/>
        </w:rPr>
        <w:t>plc</w:t>
      </w:r>
      <w:proofErr w:type="spellEnd"/>
      <w:r w:rsidR="003D5EFD">
        <w:rPr>
          <w:rFonts w:ascii="Arial" w:hAnsi="Arial" w:cs="Arial"/>
          <w:sz w:val="20"/>
          <w:szCs w:val="20"/>
        </w:rPr>
        <w:t xml:space="preserve">., </w:t>
      </w:r>
      <w:proofErr w:type="spellStart"/>
      <w:r w:rsidR="003D5EFD">
        <w:rPr>
          <w:rFonts w:ascii="Arial" w:hAnsi="Arial" w:cs="Arial"/>
          <w:sz w:val="20"/>
          <w:szCs w:val="20"/>
        </w:rPr>
        <w:t>č.ú</w:t>
      </w:r>
      <w:proofErr w:type="spellEnd"/>
      <w:r w:rsidR="003D5EFD">
        <w:rPr>
          <w:rFonts w:ascii="Arial" w:hAnsi="Arial" w:cs="Arial"/>
          <w:sz w:val="20"/>
          <w:szCs w:val="20"/>
        </w:rPr>
        <w:t>. 2008150109/2600</w:t>
      </w:r>
    </w:p>
    <w:p w14:paraId="3FF192F0" w14:textId="39603E6D" w:rsidR="0027394B" w:rsidRPr="00D96AC3" w:rsidRDefault="0027394B" w:rsidP="00D96AC3">
      <w:pPr>
        <w:pStyle w:val="Normlnweb"/>
        <w:spacing w:before="0" w:beforeAutospacing="0" w:after="0" w:afterAutospacing="0"/>
        <w:rPr>
          <w:rFonts w:ascii="Arial" w:hAnsi="Arial" w:cs="Arial"/>
          <w:sz w:val="20"/>
          <w:szCs w:val="20"/>
        </w:rPr>
      </w:pPr>
      <w:r w:rsidRPr="00D96AC3">
        <w:rPr>
          <w:rFonts w:ascii="Arial" w:hAnsi="Arial" w:cs="Arial"/>
          <w:sz w:val="20"/>
          <w:szCs w:val="20"/>
        </w:rPr>
        <w:t>Zapsaná v obchodním rejstříku pod spis. zn. A 64046, vedenou u Městského soudu v Praze,</w:t>
      </w:r>
      <w:r w:rsidRPr="00D96AC3">
        <w:rPr>
          <w:rFonts w:ascii="Arial" w:hAnsi="Arial" w:cs="Arial"/>
          <w:sz w:val="20"/>
          <w:szCs w:val="20"/>
        </w:rPr>
        <w:br/>
        <w:t>Zastoupená: [OU OU], na základě plné moci</w:t>
      </w:r>
    </w:p>
    <w:p w14:paraId="570987A5" w14:textId="17FC01EA" w:rsidR="000722A6" w:rsidRDefault="000722A6" w:rsidP="000722A6">
      <w:pPr>
        <w:jc w:val="both"/>
        <w:rPr>
          <w:rFonts w:ascii="Arial" w:hAnsi="Arial" w:cs="Arial"/>
        </w:rPr>
      </w:pP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5BAE8D42" w14:textId="77777777" w:rsidR="00A71709" w:rsidRPr="00D96AC3" w:rsidRDefault="00A71709" w:rsidP="00C664CD">
      <w:pPr>
        <w:jc w:val="both"/>
        <w:rPr>
          <w:rFonts w:ascii="Arial" w:hAnsi="Arial" w:cs="Arial"/>
          <w:b/>
        </w:rPr>
      </w:pPr>
      <w:r w:rsidRPr="00D96AC3">
        <w:rPr>
          <w:rFonts w:ascii="Arial" w:hAnsi="Arial" w:cs="Arial"/>
          <w:b/>
        </w:rPr>
        <w:t>Poliklinika Prosek a.s.</w:t>
      </w:r>
      <w:r w:rsidRPr="00D96AC3" w:rsidDel="00A71709">
        <w:rPr>
          <w:rFonts w:ascii="Arial" w:hAnsi="Arial" w:cs="Arial"/>
          <w:b/>
        </w:rPr>
        <w:t xml:space="preserve"> </w:t>
      </w:r>
    </w:p>
    <w:p w14:paraId="63BA3AB4" w14:textId="77777777" w:rsidR="00A71709" w:rsidRDefault="00C664CD" w:rsidP="00C664CD">
      <w:pPr>
        <w:jc w:val="both"/>
        <w:rPr>
          <w:rFonts w:ascii="Arial" w:hAnsi="Arial" w:cs="Arial"/>
        </w:rPr>
      </w:pPr>
      <w:r w:rsidRPr="00D239FA">
        <w:rPr>
          <w:rFonts w:ascii="Arial" w:hAnsi="Arial" w:cs="Arial"/>
        </w:rPr>
        <w:t xml:space="preserve">Se sídlem: </w:t>
      </w:r>
      <w:r w:rsidR="00A71709" w:rsidRPr="00A71709">
        <w:rPr>
          <w:rFonts w:ascii="Arial" w:hAnsi="Arial" w:cs="Arial"/>
        </w:rPr>
        <w:t xml:space="preserve">Lovosická 40/440, 190 00, Praha 9 </w:t>
      </w:r>
    </w:p>
    <w:p w14:paraId="04B9A89D" w14:textId="2630D060" w:rsidR="00C664CD" w:rsidRPr="00D239FA" w:rsidRDefault="00C664CD" w:rsidP="00C664C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sidR="00A71709" w:rsidRPr="00A71709">
        <w:rPr>
          <w:rFonts w:ascii="Arial" w:hAnsi="Arial" w:cs="Arial"/>
        </w:rPr>
        <w:t>28495306</w:t>
      </w:r>
    </w:p>
    <w:p w14:paraId="61864AE7" w14:textId="24BC9CA8" w:rsidR="00C664CD" w:rsidRDefault="00C664CD" w:rsidP="00C664CD">
      <w:pPr>
        <w:jc w:val="both"/>
        <w:rPr>
          <w:rFonts w:ascii="Arial" w:hAnsi="Arial" w:cs="Arial"/>
        </w:rPr>
      </w:pPr>
      <w:r w:rsidRPr="00D239FA">
        <w:rPr>
          <w:rFonts w:ascii="Arial" w:hAnsi="Arial" w:cs="Arial"/>
        </w:rPr>
        <w:t xml:space="preserve">DIČ: </w:t>
      </w:r>
      <w:r w:rsidR="003D2C7B" w:rsidRPr="003D2C7B">
        <w:rPr>
          <w:rFonts w:ascii="Arial" w:hAnsi="Arial" w:cs="Arial"/>
        </w:rPr>
        <w:t>CZ28495306</w:t>
      </w:r>
    </w:p>
    <w:p w14:paraId="044AB7C5" w14:textId="5D15F99B" w:rsidR="000C4C27" w:rsidRDefault="000C4C27" w:rsidP="00C664CD">
      <w:pPr>
        <w:jc w:val="both"/>
        <w:rPr>
          <w:rFonts w:ascii="Arial" w:hAnsi="Arial" w:cs="Arial"/>
        </w:rPr>
      </w:pPr>
      <w:r w:rsidRPr="004B6885">
        <w:rPr>
          <w:rFonts w:ascii="Arial" w:hAnsi="Arial" w:cs="Arial"/>
        </w:rPr>
        <w:t xml:space="preserve">Bankovní spojení: </w:t>
      </w:r>
      <w:r w:rsidR="003D2C7B" w:rsidRPr="003D2C7B">
        <w:rPr>
          <w:rFonts w:ascii="Arial" w:hAnsi="Arial" w:cs="Arial"/>
          <w:bCs/>
        </w:rPr>
        <w:t>115482329/0800</w:t>
      </w:r>
    </w:p>
    <w:p w14:paraId="74E4D07B" w14:textId="4EEDBC77" w:rsidR="00C664CD" w:rsidRDefault="00C664CD" w:rsidP="00C664CD">
      <w:pPr>
        <w:jc w:val="both"/>
        <w:rPr>
          <w:rFonts w:ascii="Arial" w:hAnsi="Arial" w:cs="Arial"/>
        </w:rPr>
      </w:pPr>
      <w:r w:rsidRPr="00D239FA">
        <w:rPr>
          <w:rFonts w:ascii="Arial" w:hAnsi="Arial" w:cs="Arial"/>
        </w:rPr>
        <w:t>Zapsaná v obchodním rejstříku vedeném</w:t>
      </w:r>
      <w:r w:rsidR="003D2C7B">
        <w:rPr>
          <w:rFonts w:ascii="Arial" w:hAnsi="Arial" w:cs="Arial"/>
        </w:rPr>
        <w:t xml:space="preserve"> </w:t>
      </w:r>
      <w:r w:rsidR="003D2C7B" w:rsidRPr="003D2C7B">
        <w:rPr>
          <w:rFonts w:ascii="Arial" w:hAnsi="Arial" w:cs="Arial"/>
        </w:rPr>
        <w:t>Městským soudem v Praze, oddíl B, vložka 14866</w:t>
      </w:r>
    </w:p>
    <w:p w14:paraId="6F02EA80" w14:textId="1786F114" w:rsidR="003D2C7B" w:rsidRDefault="00C664CD" w:rsidP="003D2C7B">
      <w:pPr>
        <w:rPr>
          <w:rFonts w:ascii="Arial" w:hAnsi="Arial" w:cs="Arial"/>
        </w:rPr>
      </w:pPr>
      <w:r>
        <w:rPr>
          <w:rFonts w:ascii="Arial" w:hAnsi="Arial" w:cs="Arial"/>
        </w:rPr>
        <w:t>Zastoupená: [OU OU]</w:t>
      </w:r>
      <w:r w:rsidR="00740DD1">
        <w:rPr>
          <w:rFonts w:ascii="Arial" w:hAnsi="Arial" w:cs="Arial"/>
        </w:rPr>
        <w:t xml:space="preserve">, </w:t>
      </w:r>
      <w:r w:rsidR="003D2C7B" w:rsidRPr="003D2C7B">
        <w:rPr>
          <w:rFonts w:ascii="Arial" w:hAnsi="Arial" w:cs="Arial"/>
        </w:rPr>
        <w:t>ředitel společnosti</w:t>
      </w:r>
      <w:r w:rsidR="003D2C7B" w:rsidRPr="003D2C7B" w:rsidDel="003D2C7B">
        <w:rPr>
          <w:rFonts w:ascii="Arial" w:hAnsi="Arial" w:cs="Arial"/>
        </w:rPr>
        <w:t xml:space="preserve"> </w:t>
      </w:r>
    </w:p>
    <w:p w14:paraId="490FFFB4" w14:textId="77777777" w:rsidR="000722A6" w:rsidRPr="00E359FE" w:rsidRDefault="000722A6" w:rsidP="003D2C7B">
      <w:pPr>
        <w:rPr>
          <w:rFonts w:ascii="Arial" w:hAnsi="Arial" w:cs="Arial"/>
        </w:rPr>
      </w:pPr>
    </w:p>
    <w:p w14:paraId="05D172F0" w14:textId="56EA0600"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3D2C7B">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6AF518F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59FBC38A" w14:textId="77777777" w:rsidR="000722A6" w:rsidRDefault="000722A6" w:rsidP="000722A6">
      <w:pPr>
        <w:pStyle w:val="Zkladntext2"/>
        <w:jc w:val="center"/>
        <w:rPr>
          <w:rFonts w:ascii="Arial" w:hAnsi="Arial" w:cs="Arial"/>
          <w:b/>
          <w:sz w:val="20"/>
        </w:rPr>
      </w:pPr>
    </w:p>
    <w:p w14:paraId="33B2A192" w14:textId="77777777" w:rsidR="00A842DE" w:rsidRPr="00E359FE" w:rsidRDefault="00A842DE" w:rsidP="000722A6">
      <w:pPr>
        <w:pStyle w:val="Zkladntext2"/>
        <w:jc w:val="center"/>
        <w:rPr>
          <w:rFonts w:ascii="Arial" w:hAnsi="Arial" w:cs="Arial"/>
          <w:b/>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474CC73B" w14:textId="5891F91A" w:rsidR="00CA5FD3" w:rsidRPr="000327AE" w:rsidRDefault="000722A6" w:rsidP="00D96AC3">
      <w:pPr>
        <w:pStyle w:val="Zkladntext2"/>
        <w:numPr>
          <w:ilvl w:val="0"/>
          <w:numId w:val="1"/>
        </w:numPr>
        <w:rPr>
          <w:rFonts w:ascii="Arial" w:hAnsi="Arial" w:cs="Arial"/>
          <w:sz w:val="20"/>
        </w:rPr>
      </w:pPr>
      <w:r w:rsidRPr="00D96AC3">
        <w:rPr>
          <w:rFonts w:ascii="Arial" w:hAnsi="Arial" w:cs="Arial"/>
          <w:sz w:val="20"/>
        </w:rPr>
        <w:t>Společnost v souladu s požadavkem Zdravotnického zařízení poskytne Zdravotnickému zařízení za odběr Výrobků</w:t>
      </w:r>
      <w:r w:rsidR="00B54F07" w:rsidRPr="00D96AC3">
        <w:rPr>
          <w:rFonts w:ascii="Arial" w:hAnsi="Arial" w:cs="Arial"/>
          <w:sz w:val="20"/>
        </w:rPr>
        <w:t xml:space="preserve"> prostřednictvím Odběrových míst</w:t>
      </w:r>
      <w:r w:rsidRPr="00D96AC3">
        <w:rPr>
          <w:rFonts w:ascii="Arial" w:hAnsi="Arial" w:cs="Arial"/>
          <w:sz w:val="20"/>
        </w:rPr>
        <w:t xml:space="preserve"> při splnění podmínek uvedených v příslušné Příloze obratový bonus (dále jen „</w:t>
      </w:r>
      <w:r w:rsidRPr="00D96AC3">
        <w:rPr>
          <w:rFonts w:ascii="Arial" w:hAnsi="Arial" w:cs="Arial"/>
          <w:b/>
          <w:sz w:val="20"/>
        </w:rPr>
        <w:t>Bonus</w:t>
      </w:r>
      <w:r w:rsidRPr="00D96AC3">
        <w:rPr>
          <w:rFonts w:ascii="Arial" w:hAnsi="Arial" w:cs="Arial"/>
          <w:sz w:val="20"/>
        </w:rPr>
        <w:t xml:space="preserve">“) ve výši uvedené v příslušné Příloze za předpokladu, že odběr Výrobků v referenčním období </w:t>
      </w:r>
      <w:r w:rsidR="00107E46" w:rsidRPr="00D96AC3">
        <w:rPr>
          <w:rFonts w:ascii="Arial" w:hAnsi="Arial" w:cs="Arial"/>
          <w:sz w:val="20"/>
        </w:rPr>
        <w:t xml:space="preserve">definovaném v příslušné Příloze </w:t>
      </w:r>
      <w:r w:rsidRPr="00D96AC3">
        <w:rPr>
          <w:rFonts w:ascii="Arial" w:hAnsi="Arial" w:cs="Arial"/>
          <w:sz w:val="20"/>
        </w:rPr>
        <w:t>dosáhne minimálně obratu uvedeného v příslušné Příloze. Výběr Výrobků uvedených v</w:t>
      </w:r>
      <w:r w:rsidR="00C664CD" w:rsidRPr="00D96AC3">
        <w:rPr>
          <w:rFonts w:ascii="Arial" w:hAnsi="Arial" w:cs="Arial"/>
          <w:sz w:val="20"/>
        </w:rPr>
        <w:t> </w:t>
      </w:r>
      <w:r w:rsidRPr="00D96AC3">
        <w:rPr>
          <w:rFonts w:ascii="Arial" w:hAnsi="Arial" w:cs="Arial"/>
          <w:sz w:val="20"/>
        </w:rPr>
        <w:t>Příloze</w:t>
      </w:r>
      <w:r w:rsidR="00C664CD" w:rsidRPr="00D96AC3">
        <w:rPr>
          <w:rFonts w:ascii="Arial" w:hAnsi="Arial" w:cs="Arial"/>
          <w:sz w:val="20"/>
        </w:rPr>
        <w:t xml:space="preserve"> </w:t>
      </w:r>
      <w:r w:rsidRPr="00D96AC3">
        <w:rPr>
          <w:rFonts w:ascii="Arial" w:hAnsi="Arial" w:cs="Arial"/>
          <w:sz w:val="20"/>
        </w:rPr>
        <w:t xml:space="preserve">této smlouvy vychází z potřeb Zdravotnického zařízení. </w:t>
      </w:r>
    </w:p>
    <w:p w14:paraId="1FF79B04" w14:textId="53881B39"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 v sazbě platné pro příslušn</w:t>
      </w:r>
      <w:r w:rsidR="00522313">
        <w:rPr>
          <w:rFonts w:ascii="Arial" w:hAnsi="Arial" w:cs="Arial"/>
          <w:sz w:val="20"/>
        </w:rPr>
        <w:t>é</w:t>
      </w:r>
      <w:r w:rsidR="00CA5FD3" w:rsidRPr="00CA5FD3">
        <w:rPr>
          <w:rFonts w:ascii="Arial" w:hAnsi="Arial" w:cs="Arial"/>
          <w:sz w:val="20"/>
        </w:rPr>
        <w:t xml:space="preserve"> výrob</w:t>
      </w:r>
      <w:r w:rsidR="00522313">
        <w:rPr>
          <w:rFonts w:ascii="Arial" w:hAnsi="Arial" w:cs="Arial"/>
          <w:sz w:val="20"/>
        </w:rPr>
        <w:t>ky</w:t>
      </w:r>
      <w:r w:rsidR="00CA5FD3" w:rsidRPr="00CA5FD3">
        <w:rPr>
          <w:rFonts w:ascii="Arial" w:hAnsi="Arial" w:cs="Arial"/>
          <w:sz w:val="20"/>
        </w:rPr>
        <w:t xml:space="preserve"> a Zdravotnickému zařízení bude vyplacena celková částka Bonusu včetně DPH.</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D96AC3">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D96AC3">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D96AC3">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D96AC3">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D96AC3">
      <w:pPr>
        <w:pStyle w:val="Zkladntext2"/>
        <w:ind w:left="1068"/>
        <w:rPr>
          <w:rFonts w:ascii="Arial" w:hAnsi="Arial" w:cs="Arial"/>
          <w:sz w:val="20"/>
        </w:rPr>
      </w:pPr>
    </w:p>
    <w:p w14:paraId="59115168" w14:textId="1FF25ABD" w:rsidR="000722A6" w:rsidRPr="00457583" w:rsidRDefault="00B34D6A" w:rsidP="000722A6">
      <w:pPr>
        <w:pStyle w:val="Zkladntext2"/>
        <w:numPr>
          <w:ilvl w:val="0"/>
          <w:numId w:val="8"/>
        </w:numPr>
        <w:rPr>
          <w:rFonts w:ascii="Arial" w:hAnsi="Arial" w:cs="Arial"/>
          <w:sz w:val="20"/>
        </w:rPr>
      </w:pPr>
      <w:r>
        <w:rPr>
          <w:rFonts w:ascii="Arial" w:hAnsi="Arial" w:cs="Arial"/>
          <w:sz w:val="20"/>
        </w:rPr>
        <w:lastRenderedPageBreak/>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0327AE">
        <w:rPr>
          <w:rFonts w:ascii="Arial" w:hAnsi="Arial" w:cs="Arial"/>
          <w:sz w:val="20"/>
        </w:rPr>
        <w:t>30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3824C20D"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sidR="0027394B">
        <w:rPr>
          <w:rFonts w:ascii="Arial" w:hAnsi="Arial" w:cs="Arial"/>
          <w:sz w:val="20"/>
        </w:rPr>
        <w:t xml:space="preserve">é </w:t>
      </w:r>
      <w:r w:rsidRPr="00E359FE">
        <w:rPr>
          <w:rFonts w:ascii="Arial" w:hAnsi="Arial" w:cs="Arial"/>
          <w:sz w:val="20"/>
        </w:rPr>
        <w:t>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5353BFE"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12767B89" w:rsidR="000722A6" w:rsidRDefault="000722A6" w:rsidP="000722A6">
      <w:pPr>
        <w:pStyle w:val="Zkladntext2"/>
        <w:rPr>
          <w:rFonts w:ascii="Arial" w:hAnsi="Arial" w:cs="Arial"/>
          <w:b/>
          <w:sz w:val="20"/>
        </w:rPr>
      </w:pPr>
    </w:p>
    <w:p w14:paraId="666DFFAC" w14:textId="77777777" w:rsidR="009C7C02" w:rsidRDefault="009C7C02"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lastRenderedPageBreak/>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D96AC3">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D96AC3">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193A93D9"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CD12FA">
        <w:rPr>
          <w:rFonts w:ascii="Arial" w:hAnsi="Arial" w:cs="Arial"/>
          <w:sz w:val="20"/>
        </w:rPr>
        <w:t>20</w:t>
      </w:r>
      <w:r w:rsidR="00C664CD" w:rsidRPr="007E13B0">
        <w:rPr>
          <w:rFonts w:ascii="Arial" w:hAnsi="Arial" w:cs="Arial"/>
          <w:sz w:val="20"/>
        </w:rPr>
        <w:t xml:space="preserve"> do 31. 12. 20</w:t>
      </w:r>
      <w:r w:rsidR="00CD12FA">
        <w:rPr>
          <w:rFonts w:ascii="Arial" w:hAnsi="Arial" w:cs="Arial"/>
          <w:sz w:val="20"/>
        </w:rPr>
        <w:t>20</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5702CFB1"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w:t>
      </w:r>
      <w:r w:rsidR="00BF16B1">
        <w:rPr>
          <w:rFonts w:ascii="Arial" w:hAnsi="Arial" w:cs="Arial"/>
          <w:sz w:val="20"/>
        </w:rPr>
        <w:lastRenderedPageBreak/>
        <w:t xml:space="preserve">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D96AC3">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4A4E258D"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41CFAB1F" w14:textId="77777777" w:rsidR="002D3E22" w:rsidRPr="00E359FE" w:rsidRDefault="002D3E22" w:rsidP="000722A6">
      <w:pPr>
        <w:pStyle w:val="Zkladntext2"/>
        <w:rPr>
          <w:rFonts w:ascii="Arial" w:hAnsi="Arial" w:cs="Arial"/>
          <w:sz w:val="20"/>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7FADF7AD"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23088654"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5D90A3F" w14:textId="77777777" w:rsidR="002D3E22" w:rsidRDefault="002D3E22" w:rsidP="007F39AF">
      <w:pPr>
        <w:pStyle w:val="Zkladntextodsazen"/>
        <w:ind w:left="0"/>
        <w:jc w:val="both"/>
        <w:rPr>
          <w:rFonts w:ascii="Arial" w:hAnsi="Arial" w:cs="Arial"/>
          <w:highlight w:val="yellow"/>
        </w:rPr>
      </w:pPr>
    </w:p>
    <w:p w14:paraId="3340E452" w14:textId="198D8CAF" w:rsidR="000722A6" w:rsidRPr="00E359FE" w:rsidRDefault="000722A6" w:rsidP="000722A6">
      <w:pPr>
        <w:pStyle w:val="Zkladntext2"/>
        <w:rPr>
          <w:rFonts w:ascii="Arial" w:hAnsi="Arial" w:cs="Arial"/>
          <w:b/>
          <w:sz w:val="20"/>
        </w:rPr>
      </w:pPr>
    </w:p>
    <w:p w14:paraId="5B83FE7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V Praze dne </w:t>
      </w:r>
      <w:r w:rsidRPr="00CD12FA">
        <w:rPr>
          <w:rFonts w:ascii="Arial" w:hAnsi="Arial" w:cs="Arial"/>
          <w:b/>
          <w:sz w:val="20"/>
        </w:rPr>
        <w:t>………................</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 dne ………...............</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0C7B22C4"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Zentiva, k.s.</w:t>
      </w:r>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16C446F2" w14:textId="7A634513" w:rsidR="002D3E22" w:rsidRDefault="002D3E22" w:rsidP="00D96AC3">
      <w:pPr>
        <w:pStyle w:val="Zkladntext2"/>
        <w:tabs>
          <w:tab w:val="left" w:pos="4820"/>
        </w:tabs>
        <w:spacing w:line="360" w:lineRule="auto"/>
        <w:ind w:right="-567"/>
      </w:pPr>
      <w:r w:rsidRPr="00D96AC3">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 xml:space="preserve">OU </w:t>
      </w:r>
      <w:proofErr w:type="spellStart"/>
      <w:r w:rsidRPr="00D96AC3">
        <w:rPr>
          <w:rFonts w:ascii="Arial" w:hAnsi="Arial" w:cs="Arial"/>
          <w:sz w:val="20"/>
        </w:rPr>
        <w:t>OU</w:t>
      </w:r>
      <w:proofErr w:type="spellEnd"/>
      <w:r w:rsidRPr="00D96AC3">
        <w:rPr>
          <w:rFonts w:ascii="Arial" w:hAnsi="Arial" w:cs="Arial"/>
          <w:sz w:val="20"/>
        </w:rPr>
        <w:t xml:space="preserve"> </w:t>
      </w:r>
      <w:r w:rsidRPr="00784EAF">
        <w:rPr>
          <w:rFonts w:ascii="Arial" w:hAnsi="Arial" w:cs="Arial"/>
          <w:sz w:val="20"/>
        </w:rPr>
        <w:t>]</w:t>
      </w:r>
      <w:r>
        <w:rPr>
          <w:rFonts w:ascii="Arial" w:hAnsi="Arial" w:cs="Arial"/>
          <w:i/>
          <w:sz w:val="20"/>
        </w:rPr>
        <w:t>,</w:t>
      </w:r>
      <w:r w:rsidR="000327AE" w:rsidRPr="000327AE">
        <w:rPr>
          <w:rFonts w:ascii="Arial" w:hAnsi="Arial" w:cs="Arial"/>
          <w:sz w:val="20"/>
        </w:rPr>
        <w:t xml:space="preserve"> ředitel společnosti</w:t>
      </w:r>
    </w:p>
    <w:p w14:paraId="74E8D631" w14:textId="262A4826" w:rsidR="002D3E22" w:rsidRPr="00D96AC3" w:rsidRDefault="002D3E22" w:rsidP="00D96AC3">
      <w:pPr>
        <w:pStyle w:val="Zkladntext2"/>
        <w:tabs>
          <w:tab w:val="left" w:pos="4820"/>
        </w:tabs>
        <w:spacing w:line="360" w:lineRule="auto"/>
        <w:ind w:right="-567"/>
        <w:rPr>
          <w:rFonts w:ascii="Arial" w:hAnsi="Arial" w:cs="Arial"/>
          <w:sz w:val="20"/>
        </w:rPr>
      </w:pPr>
      <w:bookmarkStart w:id="0" w:name="_GoBack"/>
      <w:bookmarkEnd w:id="0"/>
    </w:p>
    <w:p w14:paraId="6B681293" w14:textId="1F131E80"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44283412" w:rsidR="00740DD1" w:rsidRDefault="00740DD1" w:rsidP="00D96AC3">
      <w:pPr>
        <w:pStyle w:val="Zkladntext2"/>
      </w:pPr>
    </w:p>
    <w:sectPr w:rsidR="00740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A6"/>
    <w:rsid w:val="000327AE"/>
    <w:rsid w:val="000722A6"/>
    <w:rsid w:val="000C4C27"/>
    <w:rsid w:val="001028EE"/>
    <w:rsid w:val="00107E46"/>
    <w:rsid w:val="001725AB"/>
    <w:rsid w:val="001747A9"/>
    <w:rsid w:val="00197238"/>
    <w:rsid w:val="001E6585"/>
    <w:rsid w:val="0025554E"/>
    <w:rsid w:val="0027394B"/>
    <w:rsid w:val="002A753E"/>
    <w:rsid w:val="002D3E22"/>
    <w:rsid w:val="002E5B25"/>
    <w:rsid w:val="00371615"/>
    <w:rsid w:val="003956FD"/>
    <w:rsid w:val="003D2C7B"/>
    <w:rsid w:val="003D5EFD"/>
    <w:rsid w:val="003E0CB5"/>
    <w:rsid w:val="004263CE"/>
    <w:rsid w:val="00454A8E"/>
    <w:rsid w:val="004B3F8A"/>
    <w:rsid w:val="004C39A6"/>
    <w:rsid w:val="00522313"/>
    <w:rsid w:val="00557AFD"/>
    <w:rsid w:val="00567092"/>
    <w:rsid w:val="00593ED6"/>
    <w:rsid w:val="005A3277"/>
    <w:rsid w:val="005C4292"/>
    <w:rsid w:val="005D332F"/>
    <w:rsid w:val="00600134"/>
    <w:rsid w:val="00621ED7"/>
    <w:rsid w:val="006318DC"/>
    <w:rsid w:val="00631FCF"/>
    <w:rsid w:val="006E0426"/>
    <w:rsid w:val="007314F0"/>
    <w:rsid w:val="007322F7"/>
    <w:rsid w:val="00740DD1"/>
    <w:rsid w:val="00743917"/>
    <w:rsid w:val="007B7AA5"/>
    <w:rsid w:val="007C3FDC"/>
    <w:rsid w:val="007D1D1E"/>
    <w:rsid w:val="007D714D"/>
    <w:rsid w:val="007E13B0"/>
    <w:rsid w:val="007F0A7E"/>
    <w:rsid w:val="007F39AF"/>
    <w:rsid w:val="008402B5"/>
    <w:rsid w:val="0084721F"/>
    <w:rsid w:val="008625EB"/>
    <w:rsid w:val="008F1224"/>
    <w:rsid w:val="00924026"/>
    <w:rsid w:val="00940724"/>
    <w:rsid w:val="009C4763"/>
    <w:rsid w:val="009C7C02"/>
    <w:rsid w:val="00A228BD"/>
    <w:rsid w:val="00A32F23"/>
    <w:rsid w:val="00A71709"/>
    <w:rsid w:val="00A842DE"/>
    <w:rsid w:val="00A9102A"/>
    <w:rsid w:val="00AD7A0F"/>
    <w:rsid w:val="00AE66BD"/>
    <w:rsid w:val="00B34D6A"/>
    <w:rsid w:val="00B54F07"/>
    <w:rsid w:val="00B96310"/>
    <w:rsid w:val="00BD7244"/>
    <w:rsid w:val="00BF16B1"/>
    <w:rsid w:val="00C240D5"/>
    <w:rsid w:val="00C664CD"/>
    <w:rsid w:val="00CA5FD3"/>
    <w:rsid w:val="00CD12FA"/>
    <w:rsid w:val="00D379F2"/>
    <w:rsid w:val="00D628C2"/>
    <w:rsid w:val="00D96AC3"/>
    <w:rsid w:val="00DD72C0"/>
    <w:rsid w:val="00E8640C"/>
    <w:rsid w:val="00EB50C1"/>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D506A20D-F402-488B-A6AB-CD72DCBB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5482-5FF6-4EA4-A5C2-EF159C62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13834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Dlouhy, Jakub /CZ</cp:lastModifiedBy>
  <cp:revision>2</cp:revision>
  <dcterms:created xsi:type="dcterms:W3CDTF">2020-04-24T06:54:00Z</dcterms:created>
  <dcterms:modified xsi:type="dcterms:W3CDTF">2020-04-24T06:54:00Z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