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2A" w:rsidRPr="00A7674F" w:rsidRDefault="00BE752A" w:rsidP="00A7674F">
      <w:pPr>
        <w:pStyle w:val="Heading110"/>
        <w:keepNext/>
        <w:keepLines/>
        <w:framePr w:w="2441" w:h="673" w:wrap="none" w:hAnchor="page" w:x="1249" w:y="1"/>
        <w:shd w:val="clear" w:color="auto" w:fill="auto"/>
        <w:jc w:val="left"/>
      </w:pPr>
    </w:p>
    <w:p w:rsidR="00BE752A" w:rsidRDefault="001719BD">
      <w:pPr>
        <w:pStyle w:val="Bodytext40"/>
        <w:framePr w:w="2286" w:h="227" w:wrap="none" w:hAnchor="page" w:x="8326" w:y="696"/>
        <w:shd w:val="clear" w:color="auto" w:fill="auto"/>
      </w:pPr>
      <w:r>
        <w:t>M</w:t>
      </w:r>
      <w:r>
        <w:t>ONNALT60 CE_EN ind. 11</w:t>
      </w:r>
    </w:p>
    <w:p w:rsidR="00BE752A" w:rsidRDefault="00BE752A">
      <w:pPr>
        <w:spacing w:line="360" w:lineRule="exact"/>
      </w:pPr>
    </w:p>
    <w:p w:rsidR="00BE752A" w:rsidRDefault="00BE752A">
      <w:pPr>
        <w:spacing w:after="561" w:line="1" w:lineRule="exact"/>
      </w:pPr>
    </w:p>
    <w:p w:rsidR="00BE752A" w:rsidRDefault="00BE752A">
      <w:pPr>
        <w:spacing w:line="1" w:lineRule="exact"/>
        <w:sectPr w:rsidR="00BE752A">
          <w:footerReference w:type="default" r:id="rId7"/>
          <w:pgSz w:w="11900" w:h="16840"/>
          <w:pgMar w:top="922" w:right="1238" w:bottom="479" w:left="272" w:header="494" w:footer="3" w:gutter="0"/>
          <w:pgNumType w:start="1"/>
          <w:cols w:space="720"/>
          <w:noEndnote/>
          <w:docGrid w:linePitch="360"/>
        </w:sectPr>
      </w:pPr>
    </w:p>
    <w:p w:rsidR="00BE752A" w:rsidRDefault="001719BD">
      <w:pPr>
        <w:pStyle w:val="Heading410"/>
        <w:keepNext/>
        <w:keepLines/>
        <w:shd w:val="clear" w:color="auto" w:fill="auto"/>
      </w:pPr>
      <w:bookmarkStart w:id="0" w:name="bookmark2"/>
      <w:bookmarkStart w:id="1" w:name="bookmark3"/>
      <w:r>
        <w:rPr>
          <w:sz w:val="38"/>
          <w:szCs w:val="38"/>
        </w:rPr>
        <w:t xml:space="preserve">EC </w:t>
      </w:r>
      <w:r>
        <w:t>DECLARATION OF CONFORMITY</w:t>
      </w:r>
      <w:bookmarkEnd w:id="0"/>
      <w:bookmarkEnd w:id="1"/>
    </w:p>
    <w:p w:rsidR="00BE752A" w:rsidRDefault="001719BD">
      <w:pPr>
        <w:pStyle w:val="Heading510"/>
        <w:keepNext/>
        <w:keepLines/>
        <w:shd w:val="clear" w:color="auto" w:fill="auto"/>
        <w:spacing w:line="269" w:lineRule="auto"/>
        <w:ind w:left="0"/>
      </w:pPr>
      <w:bookmarkStart w:id="2" w:name="bookmark4"/>
      <w:bookmarkStart w:id="3" w:name="bookmark5"/>
      <w:r>
        <w:rPr>
          <w:b w:val="0"/>
          <w:bCs w:val="0"/>
        </w:rPr>
        <w:t xml:space="preserve">We, </w:t>
      </w:r>
      <w:r>
        <w:t>Air Liquide Medical Systems S.A.</w:t>
      </w:r>
      <w:bookmarkEnd w:id="2"/>
      <w:bookmarkEnd w:id="3"/>
    </w:p>
    <w:p w:rsidR="00BE752A" w:rsidRDefault="001719BD">
      <w:pPr>
        <w:pStyle w:val="Bodytext20"/>
        <w:shd w:val="clear" w:color="auto" w:fill="auto"/>
        <w:spacing w:after="0"/>
        <w:ind w:firstLine="740"/>
        <w:jc w:val="both"/>
      </w:pPr>
      <w:r>
        <w:t xml:space="preserve">Parc de haute </w:t>
      </w:r>
      <w:r>
        <w:rPr>
          <w:lang w:val="cs-CZ" w:eastAsia="cs-CZ" w:bidi="cs-CZ"/>
        </w:rPr>
        <w:t>technologie</w:t>
      </w:r>
    </w:p>
    <w:p w:rsidR="00BE752A" w:rsidRDefault="001719BD">
      <w:pPr>
        <w:pStyle w:val="Bodytext20"/>
        <w:shd w:val="clear" w:color="auto" w:fill="auto"/>
        <w:spacing w:after="0"/>
        <w:ind w:firstLine="740"/>
        <w:jc w:val="both"/>
      </w:pPr>
      <w:r>
        <w:t xml:space="preserve">6, rue Georges </w:t>
      </w:r>
      <w:proofErr w:type="spellStart"/>
      <w:r>
        <w:t>Besse</w:t>
      </w:r>
      <w:proofErr w:type="spellEnd"/>
    </w:p>
    <w:p w:rsidR="00BE752A" w:rsidRDefault="001719BD">
      <w:pPr>
        <w:pStyle w:val="Bodytext20"/>
        <w:shd w:val="clear" w:color="auto" w:fill="auto"/>
        <w:spacing w:after="0"/>
        <w:ind w:firstLine="740"/>
        <w:jc w:val="both"/>
      </w:pPr>
      <w:r>
        <w:t>92182 ANTONY Cedex</w:t>
      </w:r>
    </w:p>
    <w:p w:rsidR="00BE752A" w:rsidRDefault="001719BD">
      <w:pPr>
        <w:pStyle w:val="Bodytext20"/>
        <w:shd w:val="clear" w:color="auto" w:fill="auto"/>
        <w:ind w:firstLine="740"/>
      </w:pPr>
      <w:r>
        <w:t>FRANCE</w:t>
      </w:r>
    </w:p>
    <w:p w:rsidR="00BE752A" w:rsidRDefault="001719BD">
      <w:pPr>
        <w:pStyle w:val="Bodytext20"/>
        <w:shd w:val="clear" w:color="auto" w:fill="auto"/>
        <w:spacing w:after="120"/>
        <w:jc w:val="both"/>
      </w:pPr>
      <w:r>
        <w:t>declare under our sole responsibility that the standalone air turbine respirator with its accessories and options:</w:t>
      </w:r>
    </w:p>
    <w:p w:rsidR="00BE752A" w:rsidRDefault="001719BD">
      <w:pPr>
        <w:pStyle w:val="Heading310"/>
        <w:keepNext/>
        <w:keepLines/>
        <w:shd w:val="clear" w:color="auto" w:fill="auto"/>
      </w:pPr>
      <w:bookmarkStart w:id="4" w:name="bookmark6"/>
      <w:bookmarkStart w:id="5" w:name="bookmark7"/>
      <w:r>
        <w:t>MONNAL T60,</w:t>
      </w:r>
      <w:bookmarkEnd w:id="4"/>
      <w:bookmarkEnd w:id="5"/>
    </w:p>
    <w:p w:rsidR="00BE752A" w:rsidRDefault="001719BD">
      <w:pPr>
        <w:pStyle w:val="Bodytext20"/>
        <w:shd w:val="clear" w:color="auto" w:fill="auto"/>
      </w:pPr>
      <w:r>
        <w:t>for hospital and transport use, complies with the essential requirements of the European Directive 93/42/EEC of 14 June 1993 concerning medical devices.</w:t>
      </w:r>
    </w:p>
    <w:p w:rsidR="00BE752A" w:rsidRDefault="001719BD">
      <w:pPr>
        <w:pStyle w:val="Bodytext20"/>
        <w:shd w:val="clear" w:color="auto" w:fill="auto"/>
        <w:spacing w:after="0"/>
      </w:pPr>
      <w:r>
        <w:t xml:space="preserve">Notified Body: LNE/G-MED </w:t>
      </w:r>
      <w:r>
        <w:rPr>
          <w:b/>
          <w:bCs/>
        </w:rPr>
        <w:t>(0459)</w:t>
      </w:r>
    </w:p>
    <w:p w:rsidR="00BE752A" w:rsidRDefault="001719BD">
      <w:pPr>
        <w:pStyle w:val="Bodytext20"/>
        <w:shd w:val="clear" w:color="auto" w:fill="auto"/>
        <w:ind w:left="1440"/>
      </w:pPr>
      <w:r>
        <w:t xml:space="preserve">1, rue Gaston </w:t>
      </w:r>
      <w:proofErr w:type="spellStart"/>
      <w:r>
        <w:t>Boissier</w:t>
      </w:r>
      <w:proofErr w:type="spellEnd"/>
      <w:r>
        <w:t xml:space="preserve"> - 75724 PARIS Cedex 15 - France</w:t>
      </w:r>
    </w:p>
    <w:p w:rsidR="00BE752A" w:rsidRDefault="001719BD">
      <w:pPr>
        <w:pStyle w:val="Bodytext20"/>
        <w:shd w:val="clear" w:color="auto" w:fill="auto"/>
        <w:spacing w:after="0"/>
        <w:jc w:val="both"/>
      </w:pPr>
      <w:r>
        <w:t>Anne</w:t>
      </w:r>
      <w:r>
        <w:t>x II conformity certificate, reference n° LNE-7405</w:t>
      </w:r>
    </w:p>
    <w:p w:rsidR="00BE752A" w:rsidRDefault="001719BD">
      <w:pPr>
        <w:pStyle w:val="Bodytext20"/>
        <w:shd w:val="clear" w:color="auto" w:fill="auto"/>
      </w:pPr>
      <w:r>
        <w:t xml:space="preserve">Classification: </w:t>
      </w:r>
      <w:r>
        <w:rPr>
          <w:b/>
          <w:bCs/>
        </w:rPr>
        <w:t xml:space="preserve">class lib, </w:t>
      </w:r>
      <w:r>
        <w:t>according to rule 9 as specified in annex IX of the Directive 93/42/EEC. Reference of technical file: DT_2011_MONNAL_T60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6"/>
        <w:gridCol w:w="2120"/>
        <w:gridCol w:w="2045"/>
      </w:tblGrid>
      <w:tr w:rsidR="00BE752A">
        <w:tblPrEx>
          <w:tblCellMar>
            <w:top w:w="0" w:type="dxa"/>
            <w:bottom w:w="0" w:type="dxa"/>
          </w:tblCellMar>
        </w:tblPrEx>
        <w:trPr>
          <w:trHeight w:hRule="exact" w:val="623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DBDEE7"/>
            <w:vAlign w:val="center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 w:eastAsia="en-US" w:bidi="en-US"/>
              </w:rPr>
              <w:t>Designation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DBDEE7"/>
            <w:vAlign w:val="center"/>
          </w:tcPr>
          <w:p w:rsidR="00BE752A" w:rsidRDefault="001719BD">
            <w:pPr>
              <w:pStyle w:val="Other1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 w:eastAsia="en-US" w:bidi="en-US"/>
              </w:rPr>
              <w:t>Reference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EE7"/>
            <w:vAlign w:val="center"/>
          </w:tcPr>
          <w:p w:rsidR="00BE752A" w:rsidRDefault="001719BD">
            <w:pPr>
              <w:pStyle w:val="Other10"/>
              <w:shd w:val="clear" w:color="auto" w:fill="auto"/>
              <w:spacing w:line="264" w:lineRule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 w:eastAsia="en-US" w:bidi="en-US"/>
              </w:rPr>
              <w:t>Date of first issue</w:t>
            </w: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MONNAL T60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KA010000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28/06/2011</w:t>
            </w: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5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  <w:t>Related Option: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</w:tcBorders>
            <w:shd w:val="clear" w:color="auto" w:fill="DBDEE7"/>
            <w:vAlign w:val="bottom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 w:eastAsia="en-US" w:bidi="en-US"/>
              </w:rPr>
              <w:t>Designation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DBDEE7"/>
            <w:vAlign w:val="bottom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 w:eastAsia="en-US" w:bidi="en-US"/>
              </w:rPr>
              <w:t>Reference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CPV Option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KA015700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</w:tr>
    </w:tbl>
    <w:p w:rsidR="00BE752A" w:rsidRDefault="00BE752A">
      <w:pPr>
        <w:spacing w:after="219" w:line="1" w:lineRule="exact"/>
      </w:pPr>
    </w:p>
    <w:p w:rsidR="00BE752A" w:rsidRDefault="001719BD">
      <w:pPr>
        <w:pStyle w:val="Bodytext20"/>
        <w:shd w:val="clear" w:color="auto" w:fill="auto"/>
        <w:spacing w:line="266" w:lineRule="auto"/>
        <w:jc w:val="both"/>
      </w:pPr>
      <w:r>
        <w:t xml:space="preserve">This EC Declaration of Conformity is valid for the placing on the market or the putting into service in the countries within the European Community and the European </w:t>
      </w:r>
      <w:r>
        <w:t>Economic Area where the following languages are authorized by the national competent authority: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6"/>
        <w:gridCol w:w="2066"/>
        <w:gridCol w:w="637"/>
        <w:gridCol w:w="1318"/>
        <w:gridCol w:w="1865"/>
      </w:tblGrid>
      <w:tr w:rsidR="00BE752A">
        <w:tblPrEx>
          <w:tblCellMar>
            <w:top w:w="0" w:type="dxa"/>
            <w:bottom w:w="0" w:type="dxa"/>
          </w:tblCellMar>
        </w:tblPrEx>
        <w:trPr>
          <w:trHeight w:hRule="exact" w:val="875"/>
        </w:trPr>
        <w:tc>
          <w:tcPr>
            <w:tcW w:w="2426" w:type="dxa"/>
            <w:shd w:val="clear" w:color="auto" w:fill="FFFFFF"/>
          </w:tcPr>
          <w:p w:rsidR="00BE752A" w:rsidRDefault="001719BD">
            <w:pPr>
              <w:pStyle w:val="Other10"/>
              <w:shd w:val="clear" w:color="auto" w:fill="auto"/>
              <w:spacing w:line="264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CS </w:t>
            </w:r>
            <w:r>
              <w:rPr>
                <w:rFonts w:ascii="Arial" w:eastAsia="Arial" w:hAnsi="Arial" w:cs="Arial"/>
                <w:sz w:val="19"/>
                <w:szCs w:val="19"/>
              </w:rPr>
              <w:t>čeština</w:t>
            </w:r>
          </w:p>
          <w:p w:rsidR="00BE752A" w:rsidRDefault="001719BD">
            <w:pPr>
              <w:pStyle w:val="Other10"/>
              <w:shd w:val="clear" w:color="auto" w:fill="auto"/>
              <w:spacing w:line="264" w:lineRule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FR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frangais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NLnederlandse</w:t>
            </w:r>
            <w:proofErr w:type="spellEnd"/>
          </w:p>
        </w:tc>
        <w:tc>
          <w:tcPr>
            <w:tcW w:w="2066" w:type="dxa"/>
            <w:shd w:val="clear" w:color="auto" w:fill="FFFFFF"/>
          </w:tcPr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deutsch</w:t>
            </w:r>
            <w:proofErr w:type="spellEnd"/>
          </w:p>
          <w:p w:rsidR="00BE752A" w:rsidRDefault="001719BD">
            <w:pPr>
              <w:pStyle w:val="Other10"/>
              <w:shd w:val="clear" w:color="auto" w:fill="auto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IT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italiano</w:t>
            </w:r>
            <w:proofErr w:type="spellEnd"/>
          </w:p>
        </w:tc>
        <w:tc>
          <w:tcPr>
            <w:tcW w:w="637" w:type="dxa"/>
            <w:shd w:val="clear" w:color="auto" w:fill="FFFFFF"/>
          </w:tcPr>
          <w:p w:rsidR="00BE752A" w:rsidRDefault="001719BD">
            <w:pPr>
              <w:pStyle w:val="Other1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EN</w:t>
            </w:r>
          </w:p>
          <w:p w:rsidR="00BE752A" w:rsidRDefault="001719BD">
            <w:pPr>
              <w:pStyle w:val="Other10"/>
              <w:shd w:val="clear" w:color="auto" w:fill="auto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PL</w:t>
            </w:r>
          </w:p>
        </w:tc>
        <w:tc>
          <w:tcPr>
            <w:tcW w:w="1318" w:type="dxa"/>
            <w:shd w:val="clear" w:color="auto" w:fill="FFFFFF"/>
          </w:tcPr>
          <w:p w:rsidR="00BE752A" w:rsidRDefault="001719BD">
            <w:pPr>
              <w:pStyle w:val="Other10"/>
              <w:shd w:val="clear" w:color="auto" w:fill="auto"/>
              <w:spacing w:line="262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english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polski</w:t>
            </w:r>
            <w:proofErr w:type="spellEnd"/>
          </w:p>
        </w:tc>
        <w:tc>
          <w:tcPr>
            <w:tcW w:w="1865" w:type="dxa"/>
            <w:shd w:val="clear" w:color="auto" w:fill="FFFFFF"/>
          </w:tcPr>
          <w:p w:rsidR="00BE752A" w:rsidRDefault="001719BD">
            <w:pPr>
              <w:pStyle w:val="Other10"/>
              <w:shd w:val="clear" w:color="auto" w:fill="auto"/>
              <w:spacing w:line="264" w:lineRule="auto"/>
              <w:ind w:right="140"/>
              <w:jc w:val="righ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espanol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 xml:space="preserve"> PT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portugués</w:t>
            </w:r>
            <w:proofErr w:type="spellEnd"/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2426" w:type="dxa"/>
            <w:shd w:val="clear" w:color="auto" w:fill="FFFFFF"/>
            <w:vAlign w:val="bottom"/>
          </w:tcPr>
          <w:p w:rsidR="00BE752A" w:rsidRDefault="001719BD">
            <w:pPr>
              <w:pStyle w:val="Other10"/>
              <w:shd w:val="clear" w:color="auto" w:fill="auto"/>
              <w:ind w:left="10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Antony, 2019,</w:t>
            </w:r>
            <w:r w:rsidR="00A7674F">
              <w:rPr>
                <w:rFonts w:ascii="Arial" w:eastAsia="Arial" w:hAnsi="Arial" w:cs="Arial"/>
                <w:sz w:val="19"/>
                <w:szCs w:val="19"/>
                <w:lang w:val="en-US" w:eastAsia="en-US" w:bidi="en-US"/>
              </w:rPr>
              <w:t>22. 8. 2019</w:t>
            </w:r>
          </w:p>
        </w:tc>
        <w:tc>
          <w:tcPr>
            <w:tcW w:w="2066" w:type="dxa"/>
            <w:shd w:val="clear" w:color="auto" w:fill="FFFFFF"/>
            <w:vAlign w:val="bottom"/>
          </w:tcPr>
          <w:p w:rsidR="00BE752A" w:rsidRDefault="00BE752A">
            <w:pPr>
              <w:pStyle w:val="Other10"/>
              <w:shd w:val="clear" w:color="auto" w:fill="auto"/>
              <w:rPr>
                <w:sz w:val="38"/>
                <w:szCs w:val="38"/>
              </w:rPr>
            </w:pPr>
          </w:p>
        </w:tc>
        <w:tc>
          <w:tcPr>
            <w:tcW w:w="637" w:type="dxa"/>
            <w:shd w:val="clear" w:color="auto" w:fill="FFFFFF"/>
            <w:vAlign w:val="bottom"/>
          </w:tcPr>
          <w:p w:rsidR="00BE752A" w:rsidRDefault="00BE752A">
            <w:pPr>
              <w:pStyle w:val="Other10"/>
              <w:shd w:val="clear" w:color="auto" w:fill="auto"/>
              <w:ind w:left="-20"/>
              <w:jc w:val="center"/>
              <w:rPr>
                <w:sz w:val="58"/>
                <w:szCs w:val="58"/>
              </w:rPr>
            </w:pPr>
          </w:p>
        </w:tc>
        <w:tc>
          <w:tcPr>
            <w:tcW w:w="1318" w:type="dxa"/>
            <w:shd w:val="clear" w:color="auto" w:fill="FFFFFF"/>
            <w:vAlign w:val="bottom"/>
          </w:tcPr>
          <w:p w:rsidR="00BE752A" w:rsidRDefault="00BE752A">
            <w:pPr>
              <w:pStyle w:val="Other10"/>
              <w:shd w:val="clear" w:color="auto" w:fill="auto"/>
              <w:rPr>
                <w:sz w:val="58"/>
                <w:szCs w:val="58"/>
              </w:rPr>
            </w:pPr>
          </w:p>
        </w:tc>
        <w:tc>
          <w:tcPr>
            <w:tcW w:w="1865" w:type="dxa"/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2426" w:type="dxa"/>
            <w:shd w:val="clear" w:color="auto" w:fill="FFFFFF"/>
            <w:vAlign w:val="bottom"/>
          </w:tcPr>
          <w:p w:rsidR="00BE752A" w:rsidRDefault="00A7674F">
            <w:pPr>
              <w:pStyle w:val="Other10"/>
              <w:shd w:val="clear" w:color="auto" w:fill="auto"/>
              <w:ind w:left="1060"/>
              <w:rPr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 w:eastAsia="en-US" w:bidi="en-US"/>
              </w:rPr>
              <w:t>xxxxxxxxxxxxxxxxxxxxx</w:t>
            </w:r>
            <w:proofErr w:type="spellEnd"/>
          </w:p>
        </w:tc>
        <w:tc>
          <w:tcPr>
            <w:tcW w:w="2066" w:type="dxa"/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  <w:tc>
          <w:tcPr>
            <w:tcW w:w="637" w:type="dxa"/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  <w:tc>
          <w:tcPr>
            <w:tcW w:w="1318" w:type="dxa"/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  <w:tc>
          <w:tcPr>
            <w:tcW w:w="1865" w:type="dxa"/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6447" w:type="dxa"/>
            <w:gridSpan w:val="4"/>
            <w:shd w:val="clear" w:color="auto" w:fill="FFFFFF"/>
          </w:tcPr>
          <w:p w:rsidR="00BE752A" w:rsidRDefault="001719BD">
            <w:pPr>
              <w:pStyle w:val="Other10"/>
              <w:shd w:val="clear" w:color="auto" w:fill="auto"/>
              <w:ind w:left="1060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sz w:val="19"/>
                <w:szCs w:val="19"/>
                <w:lang w:val="en-US" w:eastAsia="en-US" w:bidi="en-US"/>
              </w:rPr>
              <w:t>Quality &amp; Environment Management System Manager</w:t>
            </w:r>
          </w:p>
        </w:tc>
        <w:tc>
          <w:tcPr>
            <w:tcW w:w="1865" w:type="dxa"/>
            <w:shd w:val="clear" w:color="auto" w:fill="FFFFFF"/>
          </w:tcPr>
          <w:p w:rsidR="00BE752A" w:rsidRDefault="00BE752A">
            <w:pPr>
              <w:rPr>
                <w:sz w:val="10"/>
                <w:szCs w:val="10"/>
              </w:rPr>
            </w:pPr>
          </w:p>
        </w:tc>
      </w:tr>
    </w:tbl>
    <w:p w:rsidR="00BE752A" w:rsidRDefault="00BE752A">
      <w:pPr>
        <w:spacing w:after="779" w:line="1" w:lineRule="exact"/>
      </w:pPr>
    </w:p>
    <w:p w:rsidR="00BE752A" w:rsidRDefault="00A7674F">
      <w:pPr>
        <w:pStyle w:val="Heading510"/>
        <w:keepNext/>
        <w:keepLines/>
        <w:shd w:val="clear" w:color="auto" w:fill="auto"/>
        <w:spacing w:line="240" w:lineRule="auto"/>
        <w:ind w:left="1080"/>
      </w:pPr>
      <w:proofErr w:type="spellStart"/>
      <w:r>
        <w:t>xxxxxxxxxxxxxxxxxxxxxxxx</w:t>
      </w:r>
      <w:proofErr w:type="spellEnd"/>
    </w:p>
    <w:p w:rsidR="00BE752A" w:rsidRDefault="001719BD">
      <w:pPr>
        <w:pStyle w:val="Bodytext20"/>
        <w:shd w:val="clear" w:color="auto" w:fill="auto"/>
        <w:spacing w:after="0" w:line="240" w:lineRule="auto"/>
        <w:ind w:left="1080"/>
        <w:sectPr w:rsidR="00BE752A">
          <w:type w:val="continuous"/>
          <w:pgSz w:w="11900" w:h="16840"/>
          <w:pgMar w:top="922" w:right="1239" w:bottom="447" w:left="978" w:header="0" w:footer="3" w:gutter="0"/>
          <w:cols w:space="720"/>
          <w:noEndnote/>
          <w:docGrid w:linePitch="360"/>
        </w:sectPr>
      </w:pPr>
      <w:r>
        <w:rPr>
          <w:i/>
          <w:iCs/>
        </w:rPr>
        <w:t>Quality &amp; Regulatory Affairs Director</w:t>
      </w:r>
    </w:p>
    <w:p w:rsidR="00BE752A" w:rsidRDefault="001719BD">
      <w:pPr>
        <w:pStyle w:val="Bodytext50"/>
        <w:framePr w:w="155" w:h="2012" w:hRule="exact" w:wrap="none" w:vAnchor="text" w:hAnchor="page" w:x="273" w:y="21"/>
        <w:shd w:val="clear" w:color="auto" w:fill="auto"/>
        <w:textDirection w:val="btLr"/>
      </w:pPr>
      <w:r>
        <w:t xml:space="preserve">AFR-FO-004 </w:t>
      </w:r>
      <w:proofErr w:type="spellStart"/>
      <w:r>
        <w:t>ind</w:t>
      </w:r>
      <w:proofErr w:type="spellEnd"/>
      <w:r>
        <w:t xml:space="preserve"> 1 - 19/09/2017</w:t>
      </w:r>
    </w:p>
    <w:p w:rsidR="00BE752A" w:rsidRDefault="001719BD">
      <w:pPr>
        <w:pStyle w:val="Bodytext40"/>
        <w:framePr w:w="587" w:h="205" w:wrap="none" w:vAnchor="text" w:hAnchor="page" w:x="9989" w:y="1657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Page 1/1</w:t>
      </w:r>
    </w:p>
    <w:p w:rsidR="00BE752A" w:rsidRDefault="00BE752A">
      <w:pPr>
        <w:spacing w:line="360" w:lineRule="exact"/>
      </w:pPr>
    </w:p>
    <w:p w:rsidR="00BE752A" w:rsidRDefault="00BE752A">
      <w:pPr>
        <w:spacing w:line="360" w:lineRule="exact"/>
      </w:pPr>
    </w:p>
    <w:p w:rsidR="00BE752A" w:rsidRDefault="00BE752A">
      <w:pPr>
        <w:spacing w:line="360" w:lineRule="exact"/>
      </w:pPr>
    </w:p>
    <w:p w:rsidR="00BE752A" w:rsidRDefault="00BE752A">
      <w:pPr>
        <w:spacing w:line="360" w:lineRule="exact"/>
      </w:pPr>
    </w:p>
    <w:p w:rsidR="00BE752A" w:rsidRDefault="00BE752A">
      <w:pPr>
        <w:spacing w:after="571" w:line="1" w:lineRule="exact"/>
      </w:pPr>
    </w:p>
    <w:p w:rsidR="00BE752A" w:rsidRDefault="00BE752A">
      <w:pPr>
        <w:spacing w:line="1" w:lineRule="exact"/>
        <w:sectPr w:rsidR="00BE752A">
          <w:type w:val="continuous"/>
          <w:pgSz w:w="11900" w:h="16840"/>
          <w:pgMar w:top="922" w:right="1238" w:bottom="479" w:left="272" w:header="0" w:footer="3" w:gutter="0"/>
          <w:cols w:space="720"/>
          <w:noEndnote/>
          <w:docGrid w:linePitch="360"/>
        </w:sectPr>
      </w:pPr>
    </w:p>
    <w:p w:rsidR="00BE752A" w:rsidRDefault="001719BD">
      <w:pPr>
        <w:pStyle w:val="Heading210"/>
        <w:keepNext/>
        <w:keepLines/>
        <w:pBdr>
          <w:bottom w:val="single" w:sz="4" w:space="0" w:color="auto"/>
        </w:pBdr>
        <w:shd w:val="clear" w:color="auto" w:fill="auto"/>
        <w:sectPr w:rsidR="00BE752A">
          <w:footerReference w:type="default" r:id="rId8"/>
          <w:pgSz w:w="11900" w:h="16840"/>
          <w:pgMar w:top="1311" w:right="2554" w:bottom="410" w:left="677" w:header="883" w:footer="3" w:gutter="0"/>
          <w:cols w:space="720"/>
          <w:noEndnote/>
          <w:docGrid w:linePitch="360"/>
        </w:sectPr>
      </w:pPr>
      <w:bookmarkStart w:id="6" w:name="bookmark10"/>
      <w:bookmarkStart w:id="7" w:name="bookmark11"/>
      <w:r>
        <w:lastRenderedPageBreak/>
        <w:t>Cenová nabídka č.: MN-20-101</w:t>
      </w:r>
      <w:bookmarkEnd w:id="6"/>
      <w:bookmarkEnd w:id="7"/>
    </w:p>
    <w:p w:rsidR="00BE752A" w:rsidRDefault="00BE752A">
      <w:pPr>
        <w:spacing w:before="69" w:after="69" w:line="240" w:lineRule="exact"/>
        <w:rPr>
          <w:sz w:val="19"/>
          <w:szCs w:val="19"/>
        </w:rPr>
      </w:pPr>
    </w:p>
    <w:p w:rsidR="00BE752A" w:rsidRDefault="00BE752A">
      <w:pPr>
        <w:spacing w:line="1" w:lineRule="exact"/>
        <w:sectPr w:rsidR="00BE752A">
          <w:type w:val="continuous"/>
          <w:pgSz w:w="11900" w:h="16840"/>
          <w:pgMar w:top="1311" w:right="0" w:bottom="410" w:left="0" w:header="0" w:footer="3" w:gutter="0"/>
          <w:cols w:space="720"/>
          <w:noEndnote/>
          <w:docGrid w:linePitch="360"/>
        </w:sectPr>
      </w:pPr>
    </w:p>
    <w:p w:rsidR="00BE752A" w:rsidRDefault="001719BD">
      <w:pPr>
        <w:pStyle w:val="Bodytext10"/>
        <w:framePr w:w="2424" w:h="283" w:wrap="none" w:vAnchor="text" w:hAnchor="page" w:x="693" w:y="21"/>
        <w:shd w:val="clear" w:color="auto" w:fill="auto"/>
        <w:tabs>
          <w:tab w:val="left" w:pos="1411"/>
        </w:tabs>
      </w:pPr>
      <w:r>
        <w:rPr>
          <w:b/>
          <w:bCs/>
        </w:rPr>
        <w:t>Platnost od:</w:t>
      </w:r>
      <w:r>
        <w:rPr>
          <w:b/>
          <w:bCs/>
        </w:rPr>
        <w:tab/>
      </w:r>
      <w:r>
        <w:t>23.03.2020</w:t>
      </w:r>
    </w:p>
    <w:p w:rsidR="00BE752A" w:rsidRDefault="001719BD">
      <w:pPr>
        <w:pStyle w:val="Bodytext10"/>
        <w:framePr w:w="1301" w:h="283" w:wrap="none" w:vAnchor="text" w:hAnchor="page" w:x="4240" w:y="21"/>
        <w:shd w:val="clear" w:color="auto" w:fill="auto"/>
      </w:pPr>
      <w:r>
        <w:rPr>
          <w:b/>
          <w:bCs/>
        </w:rPr>
        <w:t xml:space="preserve">Referent </w:t>
      </w:r>
      <w:proofErr w:type="spellStart"/>
      <w:r>
        <w:rPr>
          <w:b/>
          <w:bCs/>
        </w:rPr>
        <w:t>dod</w:t>
      </w:r>
      <w:proofErr w:type="spellEnd"/>
      <w:r>
        <w:rPr>
          <w:b/>
          <w:bCs/>
        </w:rPr>
        <w:t>.:</w:t>
      </w:r>
    </w:p>
    <w:p w:rsidR="00BE752A" w:rsidRDefault="00A7674F">
      <w:pPr>
        <w:pStyle w:val="Bodytext10"/>
        <w:framePr w:w="2189" w:h="283" w:wrap="none" w:vAnchor="text" w:hAnchor="page" w:x="5661" w:y="21"/>
        <w:shd w:val="clear" w:color="auto" w:fill="auto"/>
      </w:pPr>
      <w:r>
        <w:t>xxxxxxxxxxxxxxxxxx</w:t>
      </w:r>
      <w:bookmarkStart w:id="8" w:name="_GoBack"/>
      <w:bookmarkEnd w:id="8"/>
    </w:p>
    <w:p w:rsidR="00BE752A" w:rsidRDefault="00BE752A">
      <w:pPr>
        <w:spacing w:after="287" w:line="1" w:lineRule="exact"/>
      </w:pPr>
    </w:p>
    <w:p w:rsidR="00BE752A" w:rsidRDefault="00BE752A">
      <w:pPr>
        <w:spacing w:line="1" w:lineRule="exact"/>
        <w:sectPr w:rsidR="00BE752A">
          <w:type w:val="continuous"/>
          <w:pgSz w:w="11900" w:h="16840"/>
          <w:pgMar w:top="1311" w:right="644" w:bottom="410" w:left="634" w:header="0" w:footer="3" w:gutter="0"/>
          <w:cols w:space="720"/>
          <w:noEndnote/>
          <w:docGrid w:linePitch="360"/>
        </w:sectPr>
      </w:pPr>
    </w:p>
    <w:p w:rsidR="00BE752A" w:rsidRDefault="001719BD">
      <w:pPr>
        <w:pStyle w:val="Heading510"/>
        <w:keepNext/>
        <w:keepLines/>
        <w:shd w:val="clear" w:color="auto" w:fill="auto"/>
        <w:spacing w:line="240" w:lineRule="auto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3807460</wp:posOffset>
                </wp:positionH>
                <wp:positionV relativeFrom="paragraph">
                  <wp:posOffset>152400</wp:posOffset>
                </wp:positionV>
                <wp:extent cx="1258570" cy="5060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752A" w:rsidRDefault="001719BD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Odběratel</w:t>
                            </w:r>
                          </w:p>
                          <w:p w:rsidR="00BE752A" w:rsidRDefault="001719BD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Baťova nemocnice Zlín</w:t>
                            </w:r>
                          </w:p>
                          <w:p w:rsidR="00BE752A" w:rsidRDefault="001719BD">
                            <w:pPr>
                              <w:pStyle w:val="Bodytext10"/>
                              <w:shd w:val="clear" w:color="auto" w:fill="auto"/>
                            </w:pPr>
                            <w:r>
                              <w:t>Zlín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9.80000000000001pt;margin-top:12.pt;width:99.099999999999994pt;height:39.8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Baťova nemocnice Zlín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9" w:name="bookmark12"/>
      <w:bookmarkStart w:id="10" w:name="bookmark13"/>
      <w:r>
        <w:rPr>
          <w:rFonts w:ascii="Calibri Light" w:eastAsia="Calibri Light" w:hAnsi="Calibri Light" w:cs="Calibri Light"/>
          <w:sz w:val="20"/>
          <w:szCs w:val="20"/>
          <w:lang w:val="cs-CZ" w:eastAsia="cs-CZ" w:bidi="cs-CZ"/>
        </w:rPr>
        <w:t>Dodavatel</w:t>
      </w:r>
      <w:bookmarkEnd w:id="9"/>
      <w:bookmarkEnd w:id="10"/>
    </w:p>
    <w:p w:rsidR="00BE752A" w:rsidRDefault="001719BD">
      <w:pPr>
        <w:pStyle w:val="Bodytext10"/>
        <w:shd w:val="clear" w:color="auto" w:fill="auto"/>
      </w:pPr>
      <w:r>
        <w:t>S&amp;T Plus s.r.o. Novodvorská 994</w:t>
      </w:r>
    </w:p>
    <w:p w:rsidR="00BE752A" w:rsidRDefault="001719BD">
      <w:pPr>
        <w:pStyle w:val="Bodytext10"/>
        <w:shd w:val="clear" w:color="auto" w:fill="auto"/>
        <w:tabs>
          <w:tab w:val="left" w:pos="701"/>
        </w:tabs>
      </w:pPr>
      <w:r>
        <w:t xml:space="preserve">142 21 Praha 4 </w:t>
      </w:r>
      <w:r>
        <w:rPr>
          <w:b/>
          <w:bCs/>
        </w:rPr>
        <w:t>IČO:</w:t>
      </w:r>
      <w:r>
        <w:rPr>
          <w:b/>
          <w:bCs/>
        </w:rPr>
        <w:tab/>
      </w:r>
      <w:r>
        <w:t>25701576</w:t>
      </w:r>
    </w:p>
    <w:p w:rsidR="00BE752A" w:rsidRDefault="001719BD">
      <w:pPr>
        <w:pStyle w:val="Bodytext10"/>
        <w:shd w:val="clear" w:color="auto" w:fill="auto"/>
        <w:tabs>
          <w:tab w:val="left" w:pos="701"/>
        </w:tabs>
        <w:spacing w:after="240"/>
      </w:pPr>
      <w:r>
        <w:rPr>
          <w:b/>
          <w:bCs/>
        </w:rPr>
        <w:t>DIČ:</w:t>
      </w:r>
      <w:r>
        <w:rPr>
          <w:b/>
          <w:bCs/>
        </w:rPr>
        <w:tab/>
      </w:r>
      <w:r>
        <w:t>CZ25701576</w:t>
      </w:r>
    </w:p>
    <w:p w:rsidR="00BE752A" w:rsidRDefault="001719BD">
      <w:pPr>
        <w:pStyle w:val="Bodytext10"/>
        <w:shd w:val="clear" w:color="auto" w:fill="auto"/>
      </w:pPr>
      <w:r>
        <w:rPr>
          <w:b/>
          <w:bCs/>
        </w:rPr>
        <w:t xml:space="preserve">Plicní ventilátor s možností využití jak u </w:t>
      </w:r>
      <w:proofErr w:type="gramStart"/>
      <w:r>
        <w:rPr>
          <w:b/>
          <w:bCs/>
        </w:rPr>
        <w:t>lůžka</w:t>
      </w:r>
      <w:proofErr w:type="gramEnd"/>
      <w:r>
        <w:rPr>
          <w:b/>
          <w:bCs/>
        </w:rPr>
        <w:t xml:space="preserve"> tak pro transport - MONNAL T60 </w:t>
      </w:r>
      <w:r>
        <w:t xml:space="preserve">Moderní plicní ventilátor vhodný pro pacienty všech věkových kategorií (kojenec, dítě, dospělí) při </w:t>
      </w:r>
      <w:proofErr w:type="spellStart"/>
      <w:r>
        <w:t>při</w:t>
      </w:r>
      <w:proofErr w:type="spellEnd"/>
      <w:r>
        <w:t xml:space="preserve"> nepřetržité stacionární ventilaci. Plně nezávislý na přívodu stlačeného </w:t>
      </w:r>
      <w:r>
        <w:t>vzduchu a elektrické energie</w:t>
      </w:r>
    </w:p>
    <w:p w:rsidR="00BE752A" w:rsidRDefault="001719BD">
      <w:pPr>
        <w:pStyle w:val="Bodytext10"/>
        <w:shd w:val="clear" w:color="auto" w:fill="auto"/>
      </w:pPr>
      <w:r>
        <w:t>Široká nabídka řízených, podpůrných a odvykacích ventilačních režimů:</w:t>
      </w:r>
    </w:p>
    <w:p w:rsidR="00BE752A" w:rsidRDefault="001719BD">
      <w:pPr>
        <w:pStyle w:val="Bodytext10"/>
        <w:shd w:val="clear" w:color="auto" w:fill="auto"/>
      </w:pPr>
      <w:r>
        <w:rPr>
          <w:noProof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5111750</wp:posOffset>
            </wp:positionH>
            <wp:positionV relativeFrom="paragraph">
              <wp:posOffset>63500</wp:posOffset>
            </wp:positionV>
            <wp:extent cx="1127760" cy="1359535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2776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VCV, PCV, SIMV, PSV, CPAP, </w:t>
      </w:r>
      <w:r>
        <w:rPr>
          <w:lang w:val="en-US" w:eastAsia="en-US" w:bidi="en-US"/>
        </w:rPr>
        <w:t xml:space="preserve">DUOLEVEL, </w:t>
      </w:r>
      <w:r>
        <w:t>P-SIMV, PRVC, PS-Pro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přehledný barevný dotykový ovládací displej umožňuje snadné ovládání a nastavení parametrů dech, c</w:t>
      </w:r>
      <w:r>
        <w:t>yklu a aktivaci režimů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uživatelský software v českém jazyce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nezávislost na přívodu stlačeného medicinálního vzduchu (integrovaná turbína)</w:t>
      </w:r>
    </w:p>
    <w:p w:rsidR="00BE752A" w:rsidRDefault="001719BD">
      <w:pPr>
        <w:pStyle w:val="Bodytext10"/>
        <w:shd w:val="clear" w:color="auto" w:fill="auto"/>
      </w:pPr>
      <w:r>
        <w:t>a elektrické energie (bateriový provoz, min 2,5 hod)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při urgentním zahájení ventilace lze využít okamžité spuštění ven</w:t>
      </w:r>
      <w:r>
        <w:t>tilace dle nastavení predikované váhy pacienta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proofErr w:type="spellStart"/>
      <w:r>
        <w:rPr>
          <w:lang w:val="en-US" w:eastAsia="en-US" w:bidi="en-US"/>
        </w:rPr>
        <w:t>monitorace</w:t>
      </w:r>
      <w:proofErr w:type="spellEnd"/>
      <w:r>
        <w:rPr>
          <w:lang w:val="en-US" w:eastAsia="en-US" w:bidi="en-US"/>
        </w:rPr>
        <w:t xml:space="preserve"> (PI, </w:t>
      </w:r>
      <w:proofErr w:type="spellStart"/>
      <w:r>
        <w:t>VTi</w:t>
      </w:r>
      <w:proofErr w:type="spellEnd"/>
      <w:r>
        <w:t xml:space="preserve">, </w:t>
      </w:r>
      <w:proofErr w:type="spellStart"/>
      <w:proofErr w:type="gramStart"/>
      <w:r>
        <w:t>Vte</w:t>
      </w:r>
      <w:proofErr w:type="spellEnd"/>
      <w:r>
        <w:t xml:space="preserve"> ,</w:t>
      </w:r>
      <w:proofErr w:type="spellStart"/>
      <w:r>
        <w:t>MVi</w:t>
      </w:r>
      <w:proofErr w:type="spellEnd"/>
      <w:proofErr w:type="gramEnd"/>
      <w:r>
        <w:t xml:space="preserve">, </w:t>
      </w:r>
      <w:proofErr w:type="spellStart"/>
      <w:r>
        <w:t>MVe</w:t>
      </w:r>
      <w:proofErr w:type="spellEnd"/>
      <w:r>
        <w:t xml:space="preserve">, </w:t>
      </w:r>
      <w:r>
        <w:rPr>
          <w:lang w:val="en-US" w:eastAsia="en-US" w:bidi="en-US"/>
        </w:rPr>
        <w:t xml:space="preserve">PEEP, </w:t>
      </w:r>
      <w:proofErr w:type="spellStart"/>
      <w:r>
        <w:t>Ppeak</w:t>
      </w:r>
      <w:proofErr w:type="spellEnd"/>
      <w:r>
        <w:t>, Ti/</w:t>
      </w:r>
      <w:proofErr w:type="spellStart"/>
      <w:r>
        <w:t>Tot</w:t>
      </w:r>
      <w:proofErr w:type="spellEnd"/>
      <w:r>
        <w:t>, FiO2, RR)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 xml:space="preserve">zobrazení křivek (tlak, průtok, objem), možnost zastavení a měření na křivkách, možnost zobrazení smyček, barevné odlišení řízených a </w:t>
      </w:r>
      <w:r>
        <w:t>spontánních dechů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 xml:space="preserve">možnost monitorace plicní </w:t>
      </w:r>
      <w:proofErr w:type="gramStart"/>
      <w:r>
        <w:t>mechaniky - inspirační</w:t>
      </w:r>
      <w:proofErr w:type="gramEnd"/>
      <w:r>
        <w:t xml:space="preserve"> a exspirační pauza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měření celkového času ventilace pacienta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trendové hodnoty ventilačních parametrů v paměti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nastavení Fi02 21-</w:t>
      </w:r>
      <w:proofErr w:type="gramStart"/>
      <w:r>
        <w:t>100%</w:t>
      </w:r>
      <w:proofErr w:type="gramEnd"/>
      <w:r>
        <w:t>, možnost nastavení automatické FiO2 100% po dobu 2 minut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možnost otočení ovládacího displeje o 180°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 xml:space="preserve">schválení pro provoz ZZS a letecké ZZS </w:t>
      </w:r>
      <w:proofErr w:type="gramStart"/>
      <w:r>
        <w:t>( EN</w:t>
      </w:r>
      <w:proofErr w:type="gramEnd"/>
      <w:r>
        <w:t xml:space="preserve">13718 standard </w:t>
      </w:r>
      <w:r>
        <w:rPr>
          <w:lang w:val="en-US" w:eastAsia="en-US" w:bidi="en-US"/>
        </w:rPr>
        <w:t xml:space="preserve">and </w:t>
      </w:r>
      <w:r>
        <w:t>RTCA DO-160F)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nízká váha přístroje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alarmové funkce jsou rozděleny do skupin (pacientské, technické) s prioritním rozlišením pro zajištění bezpečného pr</w:t>
      </w:r>
      <w:r>
        <w:t>ůběhu ventilace, výrazný optický alarm s barevným rozlišením dle priority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použití dvoucestného okruhu standardních rozměrů s jeho automatickou kompenzací, pacientský okruh bez přídavných sensorů,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>jednoduché uživatelské testy přístroje (okruhu), snadná a in</w:t>
      </w:r>
      <w:r>
        <w:t>tuitivní obsluha přístroje a údržba příslušenství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 xml:space="preserve">velmi jednoduchá obsluha a </w:t>
      </w:r>
      <w:proofErr w:type="gramStart"/>
      <w:r>
        <w:t>nastavení - instruktážní</w:t>
      </w:r>
      <w:proofErr w:type="gramEnd"/>
      <w:r>
        <w:t xml:space="preserve"> tabulky s významem parametrů a nastavení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</w:pPr>
      <w:r>
        <w:t xml:space="preserve">standardní pacientský </w:t>
      </w:r>
      <w:proofErr w:type="gramStart"/>
      <w:r>
        <w:t>okruh - nízké</w:t>
      </w:r>
      <w:proofErr w:type="gramEnd"/>
      <w:r>
        <w:t xml:space="preserve"> provozní náklady</w:t>
      </w:r>
    </w:p>
    <w:p w:rsidR="00BE752A" w:rsidRDefault="001719BD">
      <w:pPr>
        <w:pStyle w:val="Bodytext10"/>
        <w:numPr>
          <w:ilvl w:val="0"/>
          <w:numId w:val="1"/>
        </w:numPr>
        <w:shd w:val="clear" w:color="auto" w:fill="auto"/>
        <w:tabs>
          <w:tab w:val="left" w:pos="701"/>
        </w:tabs>
        <w:spacing w:after="240"/>
      </w:pPr>
      <w:r>
        <w:t xml:space="preserve">možnost využití stojanu a ramene pro lůžkovou ventilaci, </w:t>
      </w:r>
      <w:r>
        <w:rPr>
          <w:lang w:val="en-US" w:eastAsia="en-US" w:bidi="en-US"/>
        </w:rPr>
        <w:t xml:space="preserve">event, </w:t>
      </w:r>
      <w:r>
        <w:t>integrovaného držáku pro transport</w:t>
      </w:r>
    </w:p>
    <w:p w:rsidR="00BE752A" w:rsidRDefault="001719BD">
      <w:pPr>
        <w:pStyle w:val="Bodytext10"/>
        <w:shd w:val="clear" w:color="auto" w:fill="auto"/>
        <w:spacing w:after="1920"/>
      </w:pPr>
      <w:r>
        <w:rPr>
          <w:b/>
          <w:bCs/>
        </w:rPr>
        <w:t xml:space="preserve">Záruka:24 </w:t>
      </w:r>
      <w:r>
        <w:t>měsíců na základní přístroj</w:t>
      </w:r>
    </w:p>
    <w:p w:rsidR="00BE752A" w:rsidRDefault="001719BD">
      <w:pPr>
        <w:pStyle w:val="Bodytext30"/>
        <w:shd w:val="clear" w:color="auto" w:fill="auto"/>
      </w:pPr>
      <w:r>
        <w:rPr>
          <w:color w:val="385578"/>
        </w:rPr>
        <w:t>S&amp;T Plus s.r.o.</w:t>
      </w:r>
    </w:p>
    <w:p w:rsidR="00BE752A" w:rsidRDefault="001719BD">
      <w:pPr>
        <w:pStyle w:val="Bodytext30"/>
        <w:shd w:val="clear" w:color="auto" w:fill="auto"/>
      </w:pPr>
      <w:r>
        <w:t xml:space="preserve">Československá obchodní banka, a.s., Praha, Číslo účtu </w:t>
      </w:r>
      <w:r>
        <w:rPr>
          <w:color w:val="000000"/>
        </w:rPr>
        <w:t>1</w:t>
      </w:r>
      <w:r>
        <w:t>17460713 (CZK),</w:t>
      </w:r>
    </w:p>
    <w:p w:rsidR="00BE752A" w:rsidRDefault="001719BD">
      <w:pPr>
        <w:pStyle w:val="Bodytext30"/>
        <w:shd w:val="clear" w:color="auto" w:fill="auto"/>
      </w:pPr>
      <w:r>
        <w:rPr>
          <w:lang w:val="en-US" w:eastAsia="en-US" w:bidi="en-US"/>
        </w:rPr>
        <w:t xml:space="preserve">IBAN </w:t>
      </w:r>
      <w:r>
        <w:t>CZ47 0300 0000 0001 1746 0713 (CZK),</w:t>
      </w:r>
    </w:p>
    <w:p w:rsidR="00BE752A" w:rsidRDefault="001719BD">
      <w:pPr>
        <w:pStyle w:val="Bodytext30"/>
        <w:shd w:val="clear" w:color="auto" w:fill="auto"/>
      </w:pPr>
      <w:r>
        <w:t xml:space="preserve">Kód banky 0300, </w:t>
      </w:r>
      <w:r>
        <w:rPr>
          <w:lang w:val="en-US" w:eastAsia="en-US" w:bidi="en-US"/>
        </w:rPr>
        <w:t xml:space="preserve">Swift </w:t>
      </w:r>
      <w:r>
        <w:t>kód CEKOCZPP,</w:t>
      </w:r>
    </w:p>
    <w:p w:rsidR="00BE752A" w:rsidRDefault="001719BD">
      <w:pPr>
        <w:pStyle w:val="Bodytext30"/>
        <w:shd w:val="clear" w:color="auto" w:fill="auto"/>
      </w:pPr>
      <w:r>
        <w:t xml:space="preserve">IČ </w:t>
      </w:r>
      <w:r>
        <w:t xml:space="preserve">25701576, DIČ CZ25701576, Městský soud v Praze, oddíl C, vložka 62478, </w:t>
      </w:r>
      <w:proofErr w:type="spellStart"/>
      <w:r>
        <w:t>reg</w:t>
      </w:r>
      <w:proofErr w:type="spellEnd"/>
      <w:r>
        <w:t>. 14.10.1998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2938"/>
        <w:gridCol w:w="965"/>
        <w:gridCol w:w="1330"/>
        <w:gridCol w:w="1363"/>
        <w:gridCol w:w="1267"/>
        <w:gridCol w:w="1286"/>
        <w:gridCol w:w="442"/>
      </w:tblGrid>
      <w:tr w:rsidR="00BE752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062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rPr>
                <w:b/>
                <w:bCs/>
                <w:color w:val="F60202"/>
              </w:rPr>
              <w:lastRenderedPageBreak/>
              <w:t>Transportně stacionární plicní ventilátor MONNAL T60 včetně pojízdného stojanu, ramene</w:t>
            </w: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623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rPr>
                <w:b/>
                <w:bCs/>
              </w:rPr>
              <w:t>dodání do 7-10 týdnů po podpisu KS/závazné objednávky</w:t>
            </w: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rPr>
                <w:b/>
                <w:bCs/>
              </w:rPr>
              <w:t>KA001000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 xml:space="preserve">Ventilátor </w:t>
            </w:r>
            <w:r>
              <w:t>MONNALT60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80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both"/>
            </w:pPr>
            <w:r>
              <w:t>270 000,00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300"/>
              <w:jc w:val="both"/>
            </w:pPr>
            <w:r>
              <w:t>270 000,00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>540 000,00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right"/>
            </w:pPr>
            <w:r>
              <w:t>113 400,00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>CZK</w:t>
            </w: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>Držák na lůžko pro transport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80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>Tlaková hadice kyslík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80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>Transportní brašna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80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KA0</w:t>
            </w:r>
            <w:r>
              <w:rPr>
                <w:b/>
                <w:bCs/>
              </w:rPr>
              <w:t>10100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>Pojízdný stojan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80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200"/>
              <w:jc w:val="both"/>
            </w:pPr>
            <w:r>
              <w:t>30 000,00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00"/>
              <w:jc w:val="both"/>
            </w:pPr>
            <w:r>
              <w:t>60 000,00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140"/>
              <w:jc w:val="both"/>
            </w:pPr>
            <w:r>
              <w:t>12 600,00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right"/>
            </w:pPr>
            <w:r>
              <w:t>72 600,00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right"/>
            </w:pPr>
            <w:r>
              <w:t>CZK</w:t>
            </w: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rPr>
                <w:b/>
                <w:bCs/>
              </w:rPr>
              <w:t>KB024200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t xml:space="preserve">Rameno/držák </w:t>
            </w:r>
            <w:r>
              <w:t>pacientského okruhu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80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200"/>
              <w:jc w:val="both"/>
            </w:pPr>
            <w:r>
              <w:t>20 000,00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400"/>
              <w:jc w:val="both"/>
            </w:pPr>
            <w:r>
              <w:t>40 000,00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220"/>
            </w:pPr>
            <w:r>
              <w:t>8 400,00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right"/>
            </w:pPr>
            <w:r>
              <w:t>48 400,00</w:t>
            </w:r>
          </w:p>
        </w:tc>
        <w:tc>
          <w:tcPr>
            <w:tcW w:w="4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right"/>
            </w:pPr>
            <w:r>
              <w:t>CZK</w:t>
            </w:r>
          </w:p>
        </w:tc>
      </w:tr>
      <w:tr w:rsidR="00BE752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rPr>
                <w:b/>
                <w:bCs/>
              </w:rPr>
              <w:t>CELKEM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752A" w:rsidRDefault="00BE752A">
            <w:pPr>
              <w:framePr w:w="10622" w:h="2736" w:vSpace="509" w:wrap="notBeside" w:vAnchor="text" w:hAnchor="text" w:y="510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640 000,00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both"/>
            </w:pPr>
            <w:r>
              <w:rPr>
                <w:b/>
                <w:bCs/>
              </w:rPr>
              <w:t>134 400,00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  <w:jc w:val="right"/>
            </w:pPr>
            <w:r>
              <w:rPr>
                <w:b/>
                <w:bCs/>
              </w:rPr>
              <w:t>774 400,00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752A" w:rsidRDefault="001719BD">
            <w:pPr>
              <w:pStyle w:val="Other10"/>
              <w:framePr w:w="10622" w:h="2736" w:vSpace="509" w:wrap="notBeside" w:vAnchor="text" w:hAnchor="text" w:y="510"/>
              <w:shd w:val="clear" w:color="auto" w:fill="auto"/>
            </w:pPr>
            <w:r>
              <w:rPr>
                <w:b/>
                <w:bCs/>
              </w:rPr>
              <w:t>CZK</w:t>
            </w:r>
          </w:p>
        </w:tc>
      </w:tr>
    </w:tbl>
    <w:p w:rsidR="00BE752A" w:rsidRDefault="001719BD">
      <w:pPr>
        <w:pStyle w:val="Tablecaption10"/>
        <w:framePr w:w="682" w:h="283" w:hSpace="9940" w:wrap="notBeside" w:vAnchor="text" w:hAnchor="text" w:x="63" w:y="6"/>
        <w:shd w:val="clear" w:color="auto" w:fill="auto"/>
      </w:pPr>
      <w:r>
        <w:t>Položka</w:t>
      </w:r>
    </w:p>
    <w:p w:rsidR="00BE752A" w:rsidRDefault="001719BD">
      <w:pPr>
        <w:pStyle w:val="Tablecaption10"/>
        <w:framePr w:w="499" w:h="283" w:hSpace="10123" w:wrap="notBeside" w:vAnchor="text" w:hAnchor="text" w:x="2391" w:y="6"/>
        <w:shd w:val="clear" w:color="auto" w:fill="auto"/>
      </w:pPr>
      <w:r>
        <w:t>Popis</w:t>
      </w:r>
    </w:p>
    <w:p w:rsidR="00BE752A" w:rsidRDefault="001719BD">
      <w:pPr>
        <w:pStyle w:val="Tablecaption10"/>
        <w:framePr w:w="1574" w:h="283" w:hSpace="9048" w:wrap="notBeside" w:vAnchor="text" w:hAnchor="text" w:x="4244" w:y="1"/>
        <w:shd w:val="clear" w:color="auto" w:fill="auto"/>
      </w:pPr>
      <w:r>
        <w:t xml:space="preserve">Množ. </w:t>
      </w:r>
      <w:proofErr w:type="spellStart"/>
      <w:r>
        <w:t>Jednotk</w:t>
      </w:r>
      <w:proofErr w:type="spellEnd"/>
      <w:r>
        <w:t>.</w:t>
      </w:r>
    </w:p>
    <w:p w:rsidR="00BE752A" w:rsidRDefault="001719BD">
      <w:pPr>
        <w:pStyle w:val="Tablecaption10"/>
        <w:framePr w:w="2280" w:h="283" w:hSpace="8342" w:wrap="notBeside" w:vAnchor="text" w:hAnchor="text" w:x="6313" w:y="6"/>
        <w:shd w:val="clear" w:color="auto" w:fill="auto"/>
      </w:pPr>
      <w:r>
        <w:t xml:space="preserve">Cena bez DPH </w:t>
      </w:r>
      <w:proofErr w:type="spellStart"/>
      <w:r>
        <w:t>DPH</w:t>
      </w:r>
      <w:proofErr w:type="spellEnd"/>
      <w:r>
        <w:t xml:space="preserve"> (</w:t>
      </w:r>
      <w:proofErr w:type="gramStart"/>
      <w:r>
        <w:t>21%</w:t>
      </w:r>
      <w:proofErr w:type="gramEnd"/>
      <w:r>
        <w:t>)</w:t>
      </w:r>
    </w:p>
    <w:p w:rsidR="00BE752A" w:rsidRDefault="001719BD">
      <w:pPr>
        <w:pStyle w:val="Tablecaption10"/>
        <w:framePr w:w="979" w:h="283" w:hSpace="9643" w:wrap="notBeside" w:vAnchor="text" w:hAnchor="text" w:x="9591" w:y="11"/>
        <w:shd w:val="clear" w:color="auto" w:fill="auto"/>
      </w:pPr>
      <w:r>
        <w:t>Cena s DPH</w:t>
      </w:r>
    </w:p>
    <w:p w:rsidR="00BE752A" w:rsidRDefault="001719BD">
      <w:pPr>
        <w:pStyle w:val="Tablecaption10"/>
        <w:framePr w:w="432" w:h="206" w:hSpace="10190" w:wrap="notBeside" w:vAnchor="text" w:hAnchor="text" w:x="5228" w:y="299"/>
        <w:shd w:val="clear" w:color="auto" w:fill="auto"/>
      </w:pPr>
      <w:r>
        <w:t>cena</w:t>
      </w:r>
    </w:p>
    <w:p w:rsidR="00BE752A" w:rsidRDefault="00BE752A">
      <w:pPr>
        <w:spacing w:line="1" w:lineRule="exact"/>
      </w:pPr>
    </w:p>
    <w:p w:rsidR="00BE752A" w:rsidRDefault="001719BD">
      <w:pPr>
        <w:pStyle w:val="Bodytext30"/>
        <w:shd w:val="clear" w:color="auto" w:fill="auto"/>
      </w:pPr>
      <w:r>
        <w:rPr>
          <w:color w:val="385578"/>
        </w:rPr>
        <w:t xml:space="preserve">S &amp; </w:t>
      </w:r>
      <w:r>
        <w:rPr>
          <w:color w:val="2C5CA1"/>
        </w:rPr>
        <w:t xml:space="preserve">T </w:t>
      </w:r>
      <w:r>
        <w:rPr>
          <w:color w:val="385578"/>
        </w:rPr>
        <w:t>Plus s.r.o.</w:t>
      </w:r>
    </w:p>
    <w:p w:rsidR="00BE752A" w:rsidRDefault="001719BD">
      <w:pPr>
        <w:pStyle w:val="Bodytext30"/>
        <w:shd w:val="clear" w:color="auto" w:fill="auto"/>
      </w:pPr>
      <w:r>
        <w:t xml:space="preserve">Československá obchodní banka, a.s., Praha, Číslo účtu </w:t>
      </w:r>
      <w:r>
        <w:t>117460713 (CZK),</w:t>
      </w:r>
    </w:p>
    <w:p w:rsidR="00BE752A" w:rsidRDefault="001719BD">
      <w:pPr>
        <w:pStyle w:val="Bodytext30"/>
        <w:shd w:val="clear" w:color="auto" w:fill="auto"/>
      </w:pPr>
      <w:r>
        <w:rPr>
          <w:lang w:val="en-US" w:eastAsia="en-US" w:bidi="en-US"/>
        </w:rPr>
        <w:t xml:space="preserve">IBAN </w:t>
      </w:r>
      <w:r>
        <w:t>CZ47 0300 0000 0001 1746 0713 (CZK),</w:t>
      </w:r>
    </w:p>
    <w:p w:rsidR="00BE752A" w:rsidRDefault="001719BD">
      <w:pPr>
        <w:pStyle w:val="Bodytext30"/>
        <w:shd w:val="clear" w:color="auto" w:fill="auto"/>
      </w:pPr>
      <w:r>
        <w:t xml:space="preserve">Kód banky 0300, </w:t>
      </w:r>
      <w:r>
        <w:rPr>
          <w:lang w:val="en-US" w:eastAsia="en-US" w:bidi="en-US"/>
        </w:rPr>
        <w:t xml:space="preserve">Swift </w:t>
      </w:r>
      <w:r>
        <w:t>kód CEKOCZPP,</w:t>
      </w:r>
    </w:p>
    <w:p w:rsidR="00BE752A" w:rsidRDefault="001719BD">
      <w:pPr>
        <w:pStyle w:val="Bodytext30"/>
        <w:shd w:val="clear" w:color="auto" w:fill="auto"/>
      </w:pPr>
      <w:r>
        <w:t xml:space="preserve">IČ 25701576, DIČ CZ25701576, Městský soud v Praze, oddíl C, vložka 62478, </w:t>
      </w:r>
      <w:proofErr w:type="spellStart"/>
      <w:r>
        <w:t>reg</w:t>
      </w:r>
      <w:proofErr w:type="spellEnd"/>
      <w:r>
        <w:t>. 14.10.1998</w:t>
      </w:r>
    </w:p>
    <w:sectPr w:rsidR="00BE752A">
      <w:type w:val="continuous"/>
      <w:pgSz w:w="11900" w:h="16840"/>
      <w:pgMar w:top="1312" w:right="645" w:bottom="410" w:left="633" w:header="88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BD" w:rsidRDefault="001719BD">
      <w:r>
        <w:separator/>
      </w:r>
    </w:p>
  </w:endnote>
  <w:endnote w:type="continuationSeparator" w:id="0">
    <w:p w:rsidR="001719BD" w:rsidRDefault="0017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2A" w:rsidRDefault="001719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1757045</wp:posOffset>
              </wp:positionH>
              <wp:positionV relativeFrom="page">
                <wp:posOffset>10325735</wp:posOffset>
              </wp:positionV>
              <wp:extent cx="384746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46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752A" w:rsidRDefault="001719BD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Air Liquide Medical Systems is a subsidiary of Air Liquide Healthcare dedicated to Medical Devices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8.34999999999999pt;margin-top:813.04999999999995pt;width:302.94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</w:rPr>
                      <w:t>Air Liquide Medical Systems is a subsidiary of Air Liquide Healthcare dedicated to Medical Devices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52A" w:rsidRDefault="00BE752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BD" w:rsidRDefault="001719BD"/>
  </w:footnote>
  <w:footnote w:type="continuationSeparator" w:id="0">
    <w:p w:rsidR="001719BD" w:rsidRDefault="00171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B2EA4"/>
    <w:multiLevelType w:val="multilevel"/>
    <w:tmpl w:val="2100521C"/>
    <w:lvl w:ilvl="0">
      <w:start w:val="1"/>
      <w:numFmt w:val="bullet"/>
      <w:lvlText w:val="•"/>
      <w:lvlJc w:val="left"/>
      <w:rPr>
        <w:rFonts w:ascii="Calibri Light" w:eastAsia="Calibri Light" w:hAnsi="Calibri Light" w:cs="Calibri Ligh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2A"/>
    <w:rsid w:val="001719BD"/>
    <w:rsid w:val="00A7674F"/>
    <w:rsid w:val="00B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1085"/>
  <w15:docId w15:val="{45A21239-E836-4F16-8F67-54441F0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D41B26"/>
      <w:sz w:val="36"/>
      <w:szCs w:val="36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rFonts w:ascii="Calibri Light" w:eastAsia="Calibri Light" w:hAnsi="Calibri Light" w:cs="Calibri Ligh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Calibri Light" w:eastAsia="Calibri Light" w:hAnsi="Calibri Light" w:cs="Calibri Light"/>
      <w:b w:val="0"/>
      <w:bCs w:val="0"/>
      <w:i w:val="0"/>
      <w:iCs w:val="0"/>
      <w:smallCaps w:val="0"/>
      <w:strike w:val="0"/>
      <w:color w:val="2C5CA1"/>
      <w:sz w:val="36"/>
      <w:szCs w:val="36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alibri Light" w:eastAsia="Calibri Light" w:hAnsi="Calibri Light" w:cs="Calibri Light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2C2C2C"/>
      <w:sz w:val="14"/>
      <w:szCs w:val="14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Calibri Light" w:eastAsia="Calibri Light" w:hAnsi="Calibri Light" w:cs="Calibri Light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jc w:val="right"/>
      <w:outlineLvl w:val="0"/>
    </w:pPr>
    <w:rPr>
      <w:rFonts w:ascii="Arial" w:eastAsia="Arial" w:hAnsi="Arial" w:cs="Arial"/>
      <w:b/>
      <w:bCs/>
      <w:color w:val="D41B26"/>
      <w:sz w:val="36"/>
      <w:szCs w:val="36"/>
      <w:lang w:val="en-US" w:eastAsia="en-US" w:bidi="en-US"/>
    </w:rPr>
  </w:style>
  <w:style w:type="paragraph" w:customStyle="1" w:styleId="Bodytext40">
    <w:name w:val="Body text|4"/>
    <w:basedOn w:val="Normln"/>
    <w:link w:val="Bodytext4"/>
    <w:pPr>
      <w:shd w:val="clear" w:color="auto" w:fill="FFFFFF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410">
    <w:name w:val="Heading #4|1"/>
    <w:basedOn w:val="Normln"/>
    <w:link w:val="Heading41"/>
    <w:pPr>
      <w:shd w:val="clear" w:color="auto" w:fill="FFFFFF"/>
      <w:spacing w:after="300"/>
      <w:jc w:val="center"/>
      <w:outlineLvl w:val="3"/>
    </w:pPr>
    <w:rPr>
      <w:rFonts w:ascii="Arial" w:eastAsia="Arial" w:hAnsi="Arial" w:cs="Arial"/>
      <w:b/>
      <w:bCs/>
      <w:lang w:val="en-US" w:eastAsia="en-US" w:bidi="en-US"/>
    </w:rPr>
  </w:style>
  <w:style w:type="paragraph" w:customStyle="1" w:styleId="Heading510">
    <w:name w:val="Heading #5|1"/>
    <w:basedOn w:val="Normln"/>
    <w:link w:val="Heading51"/>
    <w:pPr>
      <w:shd w:val="clear" w:color="auto" w:fill="FFFFFF"/>
      <w:spacing w:line="254" w:lineRule="auto"/>
      <w:ind w:left="540"/>
      <w:outlineLvl w:val="4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after="220" w:line="269" w:lineRule="auto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Heading310">
    <w:name w:val="Heading #3|1"/>
    <w:basedOn w:val="Normln"/>
    <w:link w:val="Heading31"/>
    <w:pPr>
      <w:shd w:val="clear" w:color="auto" w:fill="FFFFFF"/>
      <w:spacing w:after="120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  <w:lang w:val="en-US" w:eastAsia="en-US" w:bidi="en-US"/>
    </w:rPr>
  </w:style>
  <w:style w:type="paragraph" w:customStyle="1" w:styleId="Other10">
    <w:name w:val="Other|1"/>
    <w:basedOn w:val="Normln"/>
    <w:link w:val="Other1"/>
    <w:pPr>
      <w:shd w:val="clear" w:color="auto" w:fill="FFFFFF"/>
    </w:pPr>
    <w:rPr>
      <w:rFonts w:ascii="Calibri Light" w:eastAsia="Calibri Light" w:hAnsi="Calibri Light" w:cs="Calibri Light"/>
      <w:sz w:val="20"/>
      <w:szCs w:val="20"/>
    </w:rPr>
  </w:style>
  <w:style w:type="paragraph" w:customStyle="1" w:styleId="Bodytext50">
    <w:name w:val="Body text|5"/>
    <w:basedOn w:val="Normln"/>
    <w:link w:val="Bodytext5"/>
    <w:pPr>
      <w:shd w:val="clear" w:color="auto" w:fill="FFFFFF"/>
    </w:pPr>
    <w:rPr>
      <w:rFonts w:ascii="Arial" w:eastAsia="Arial" w:hAnsi="Arial" w:cs="Arial"/>
      <w:sz w:val="12"/>
      <w:szCs w:val="12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outlineLvl w:val="1"/>
    </w:pPr>
    <w:rPr>
      <w:rFonts w:ascii="Calibri Light" w:eastAsia="Calibri Light" w:hAnsi="Calibri Light" w:cs="Calibri Light"/>
      <w:color w:val="2C5CA1"/>
      <w:sz w:val="36"/>
      <w:szCs w:val="36"/>
    </w:rPr>
  </w:style>
  <w:style w:type="paragraph" w:customStyle="1" w:styleId="Bodytext10">
    <w:name w:val="Body text|1"/>
    <w:basedOn w:val="Normln"/>
    <w:link w:val="Bodytext1"/>
    <w:pPr>
      <w:shd w:val="clear" w:color="auto" w:fill="FFFFFF"/>
    </w:pPr>
    <w:rPr>
      <w:rFonts w:ascii="Calibri Light" w:eastAsia="Calibri Light" w:hAnsi="Calibri Light" w:cs="Calibri Light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ind w:firstLine="340"/>
    </w:pPr>
    <w:rPr>
      <w:rFonts w:ascii="Arial" w:eastAsia="Arial" w:hAnsi="Arial" w:cs="Arial"/>
      <w:color w:val="2C2C2C"/>
      <w:sz w:val="14"/>
      <w:szCs w:val="14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</w:pPr>
    <w:rPr>
      <w:rFonts w:ascii="Calibri Light" w:eastAsia="Calibri Light" w:hAnsi="Calibri Light" w:cs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2020-04-30T12:14:00Z</dcterms:created>
  <dcterms:modified xsi:type="dcterms:W3CDTF">2020-04-30T12:14:00Z</dcterms:modified>
</cp:coreProperties>
</file>