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4" w:rsidRDefault="0016375A" w:rsidP="0018443A">
      <w:pPr>
        <w:spacing w:before="120" w:line="240" w:lineRule="atLeast"/>
        <w:jc w:val="center"/>
        <w:rPr>
          <w:b/>
          <w:sz w:val="22"/>
          <w:szCs w:val="22"/>
        </w:rPr>
      </w:pPr>
      <w:r w:rsidRPr="00C22314">
        <w:rPr>
          <w:b/>
          <w:sz w:val="22"/>
          <w:szCs w:val="22"/>
        </w:rPr>
        <w:t>Smlouva o dílo</w:t>
      </w:r>
      <w:r w:rsidR="00C83359">
        <w:rPr>
          <w:b/>
          <w:sz w:val="22"/>
          <w:szCs w:val="22"/>
        </w:rPr>
        <w:t xml:space="preserve"> </w:t>
      </w:r>
    </w:p>
    <w:p w:rsidR="0016375A" w:rsidRPr="00C22314" w:rsidRDefault="00B720B4" w:rsidP="0018443A">
      <w:pPr>
        <w:spacing w:before="12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Číslo zhotovitele…</w:t>
      </w:r>
      <w:proofErr w:type="gramStart"/>
      <w:r>
        <w:rPr>
          <w:b/>
          <w:sz w:val="22"/>
          <w:szCs w:val="22"/>
        </w:rPr>
        <w:t>….</w:t>
      </w:r>
      <w:r w:rsidR="00C83359">
        <w:rPr>
          <w:b/>
          <w:sz w:val="22"/>
          <w:szCs w:val="22"/>
        </w:rPr>
        <w:t>20009</w:t>
      </w:r>
      <w:proofErr w:type="gramEnd"/>
    </w:p>
    <w:p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</w:p>
    <w:p w:rsidR="008C0E97" w:rsidRPr="00C22314" w:rsidRDefault="008C0E9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strany:</w:t>
      </w:r>
    </w:p>
    <w:p w:rsidR="00F11996" w:rsidRDefault="00F11996" w:rsidP="00006335">
      <w:pPr>
        <w:spacing w:before="120" w:line="240" w:lineRule="atLeast"/>
        <w:ind w:firstLine="142"/>
        <w:jc w:val="both"/>
        <w:rPr>
          <w:b/>
          <w:sz w:val="22"/>
          <w:szCs w:val="22"/>
        </w:rPr>
      </w:pPr>
    </w:p>
    <w:p w:rsidR="00006335" w:rsidRPr="00C22314" w:rsidRDefault="008C0E97" w:rsidP="00006335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b/>
          <w:sz w:val="22"/>
          <w:szCs w:val="22"/>
        </w:rPr>
        <w:t>1.</w:t>
      </w:r>
      <w:r w:rsidRPr="00C22314">
        <w:rPr>
          <w:sz w:val="22"/>
          <w:szCs w:val="22"/>
        </w:rPr>
        <w:t xml:space="preserve"> </w:t>
      </w:r>
      <w:r w:rsidRPr="00C22314">
        <w:rPr>
          <w:b/>
          <w:sz w:val="22"/>
          <w:szCs w:val="22"/>
        </w:rPr>
        <w:t>Objednatel:</w:t>
      </w:r>
      <w:r w:rsidRPr="00C22314">
        <w:rPr>
          <w:b/>
          <w:sz w:val="22"/>
          <w:szCs w:val="22"/>
        </w:rPr>
        <w:tab/>
      </w:r>
      <w:r w:rsidR="00C22314">
        <w:rPr>
          <w:sz w:val="22"/>
          <w:szCs w:val="22"/>
        </w:rPr>
        <w:t>Střední zahradnická škola Rajhrad, příspěvková organizace</w:t>
      </w:r>
    </w:p>
    <w:p w:rsidR="008712B8" w:rsidRPr="00C22314" w:rsidRDefault="00C22314" w:rsidP="008712B8">
      <w:pPr>
        <w:spacing w:before="120" w:line="240" w:lineRule="atLeast"/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87101A" w:rsidRDefault="008712B8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Zastoupená: </w:t>
      </w:r>
      <w:r w:rsidR="005217FB" w:rsidRPr="00C22314">
        <w:rPr>
          <w:sz w:val="22"/>
          <w:szCs w:val="22"/>
        </w:rPr>
        <w:t xml:space="preserve"> </w:t>
      </w:r>
    </w:p>
    <w:p w:rsidR="008712B8" w:rsidRPr="00C22314" w:rsidRDefault="005217FB" w:rsidP="008712B8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I</w:t>
      </w:r>
      <w:r w:rsidR="008712B8" w:rsidRPr="00C22314">
        <w:rPr>
          <w:sz w:val="22"/>
          <w:szCs w:val="22"/>
        </w:rPr>
        <w:t xml:space="preserve">Č: </w:t>
      </w:r>
      <w:r w:rsidR="00C22314">
        <w:rPr>
          <w:sz w:val="22"/>
          <w:szCs w:val="22"/>
        </w:rPr>
        <w:t>000 55 468</w:t>
      </w:r>
    </w:p>
    <w:p w:rsidR="008C0E97" w:rsidRPr="00C22314" w:rsidRDefault="008C0E97" w:rsidP="008C0E97">
      <w:pPr>
        <w:spacing w:before="120" w:line="240" w:lineRule="atLeast"/>
        <w:ind w:firstLine="142"/>
        <w:jc w:val="both"/>
        <w:rPr>
          <w:rStyle w:val="platne1"/>
          <w:sz w:val="22"/>
          <w:szCs w:val="22"/>
        </w:rPr>
      </w:pP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  <w:r w:rsidRPr="00C22314">
        <w:rPr>
          <w:b/>
          <w:sz w:val="22"/>
          <w:szCs w:val="22"/>
        </w:rPr>
        <w:t xml:space="preserve">  2. Zhotovitel</w:t>
      </w:r>
      <w:r w:rsidRPr="00C22314">
        <w:rPr>
          <w:sz w:val="22"/>
          <w:szCs w:val="22"/>
        </w:rPr>
        <w:t xml:space="preserve">:   </w:t>
      </w:r>
      <w:r w:rsidRPr="00C22314">
        <w:rPr>
          <w:sz w:val="22"/>
          <w:szCs w:val="22"/>
        </w:rPr>
        <w:tab/>
        <w:t>S-A-S  STAVBY spol. s r.o.</w:t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  <w:r w:rsidRPr="00C22314">
        <w:rPr>
          <w:sz w:val="22"/>
          <w:szCs w:val="22"/>
        </w:rPr>
        <w:tab/>
        <w:t xml:space="preserve">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  <w:t>Gagarinova 2770/54 , Znojmo 669 02</w:t>
      </w:r>
    </w:p>
    <w:p w:rsidR="008C0E97" w:rsidRPr="00C22314" w:rsidRDefault="008C0E97" w:rsidP="008C0E97">
      <w:pPr>
        <w:spacing w:before="120" w:line="240" w:lineRule="atLeast"/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Firma je zapsaná u Krajského soudu v Brně, oddíl C, vložka 8057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  <w:t xml:space="preserve">zastoupená: </w:t>
      </w:r>
      <w:r w:rsidRPr="00C22314">
        <w:rPr>
          <w:sz w:val="22"/>
          <w:szCs w:val="22"/>
        </w:rPr>
        <w:tab/>
      </w:r>
    </w:p>
    <w:p w:rsidR="0087101A" w:rsidRDefault="008C0E97" w:rsidP="0016375A">
      <w:pPr>
        <w:spacing w:before="120" w:line="240" w:lineRule="atLeast"/>
        <w:ind w:firstLine="142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                          </w:t>
      </w:r>
      <w:r w:rsidR="0016375A" w:rsidRPr="00C22314">
        <w:rPr>
          <w:sz w:val="22"/>
          <w:szCs w:val="22"/>
        </w:rPr>
        <w:t xml:space="preserve">          </w:t>
      </w:r>
      <w:r w:rsidRPr="00C22314">
        <w:rPr>
          <w:sz w:val="22"/>
          <w:szCs w:val="22"/>
        </w:rPr>
        <w:t>IČ: 46980318</w:t>
      </w:r>
    </w:p>
    <w:p w:rsidR="008C0E97" w:rsidRPr="00C22314" w:rsidRDefault="0087101A" w:rsidP="0016375A">
      <w:pPr>
        <w:spacing w:before="120" w:line="240" w:lineRule="atLeast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8C0E97" w:rsidRPr="00C22314">
        <w:rPr>
          <w:sz w:val="22"/>
          <w:szCs w:val="22"/>
        </w:rPr>
        <w:t xml:space="preserve"> DIČ: CZ46980318</w:t>
      </w:r>
    </w:p>
    <w:p w:rsidR="008C0E97" w:rsidRPr="00C22314" w:rsidRDefault="008C0E97" w:rsidP="0087101A">
      <w:pPr>
        <w:spacing w:before="120" w:line="240" w:lineRule="atLeast"/>
        <w:ind w:firstLine="142"/>
        <w:jc w:val="both"/>
        <w:rPr>
          <w:b/>
          <w:sz w:val="22"/>
          <w:szCs w:val="22"/>
          <w:u w:val="single"/>
        </w:rPr>
      </w:pPr>
      <w:r w:rsidRPr="00C22314">
        <w:rPr>
          <w:sz w:val="22"/>
          <w:szCs w:val="22"/>
        </w:rPr>
        <w:t xml:space="preserve">       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</w:r>
    </w:p>
    <w:p w:rsidR="008C0E97" w:rsidRPr="00C22314" w:rsidRDefault="008C0E97" w:rsidP="0016375A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 xml:space="preserve">Předmět smlouvy:  </w:t>
      </w:r>
      <w:r w:rsidRPr="00C22314">
        <w:rPr>
          <w:b/>
          <w:sz w:val="22"/>
          <w:szCs w:val="22"/>
        </w:rPr>
        <w:t>„</w:t>
      </w:r>
      <w:r w:rsidR="00C22314">
        <w:rPr>
          <w:b/>
          <w:sz w:val="22"/>
          <w:szCs w:val="22"/>
        </w:rPr>
        <w:t>Výstavba komunikace v rozáriu</w:t>
      </w:r>
      <w:r w:rsidRPr="00C22314">
        <w:rPr>
          <w:sz w:val="22"/>
          <w:szCs w:val="22"/>
        </w:rPr>
        <w:t>“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Dílo je blíže definováno v přiloženém položkovém rozpočtu, který je nedílnou součástí této smlouvy o dílo. Účelem této smlouvy je provést stavební a montážní práce spočívající zejména v</w:t>
      </w:r>
      <w:r w:rsidR="00C22314">
        <w:rPr>
          <w:rFonts w:ascii="Times New Roman" w:hAnsi="Times New Roman"/>
          <w:sz w:val="22"/>
          <w:szCs w:val="22"/>
        </w:rPr>
        <w:t> realizaci zpevněných ploch v rozáriu objektu Střední zahradnické školy Rajhrad.</w:t>
      </w:r>
    </w:p>
    <w:p w:rsidR="00C22314" w:rsidRPr="00C22314" w:rsidRDefault="00C22314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Cena za dílo:</w:t>
      </w:r>
    </w:p>
    <w:p w:rsidR="008C0E97" w:rsidRPr="00C22314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Cena bez DPH:                    </w:t>
      </w:r>
      <w:r w:rsidR="00C22314">
        <w:rPr>
          <w:sz w:val="22"/>
          <w:szCs w:val="22"/>
        </w:rPr>
        <w:t xml:space="preserve">  </w:t>
      </w:r>
      <w:r w:rsidRPr="00C22314">
        <w:rPr>
          <w:sz w:val="22"/>
          <w:szCs w:val="22"/>
        </w:rPr>
        <w:t xml:space="preserve"> </w:t>
      </w:r>
      <w:r w:rsidR="00C22314">
        <w:rPr>
          <w:sz w:val="22"/>
          <w:szCs w:val="22"/>
        </w:rPr>
        <w:t>12</w:t>
      </w:r>
      <w:r w:rsidR="00B720B4">
        <w:rPr>
          <w:sz w:val="22"/>
          <w:szCs w:val="22"/>
        </w:rPr>
        <w:t>1</w:t>
      </w:r>
      <w:r w:rsidR="00C22314">
        <w:rPr>
          <w:sz w:val="22"/>
          <w:szCs w:val="22"/>
        </w:rPr>
        <w:t>.</w:t>
      </w:r>
      <w:r w:rsidR="00B720B4">
        <w:rPr>
          <w:sz w:val="22"/>
          <w:szCs w:val="22"/>
        </w:rPr>
        <w:t>944</w:t>
      </w:r>
      <w:r w:rsidR="00C22314">
        <w:rPr>
          <w:sz w:val="22"/>
          <w:szCs w:val="22"/>
        </w:rPr>
        <w:t>,</w:t>
      </w:r>
      <w:r w:rsidR="00B720B4">
        <w:rPr>
          <w:sz w:val="22"/>
          <w:szCs w:val="22"/>
        </w:rPr>
        <w:t>52</w:t>
      </w:r>
      <w:r w:rsidR="0016375A" w:rsidRPr="00C22314">
        <w:rPr>
          <w:sz w:val="22"/>
          <w:szCs w:val="22"/>
        </w:rPr>
        <w:t xml:space="preserve"> </w:t>
      </w:r>
      <w:r w:rsidRPr="00C22314">
        <w:rPr>
          <w:sz w:val="22"/>
          <w:szCs w:val="22"/>
        </w:rPr>
        <w:t>Kč</w:t>
      </w:r>
    </w:p>
    <w:p w:rsidR="008C0E97" w:rsidRPr="00C22314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DPH 15%: </w:t>
      </w:r>
      <w:r w:rsidRPr="00C22314">
        <w:rPr>
          <w:sz w:val="22"/>
          <w:szCs w:val="22"/>
        </w:rPr>
        <w:tab/>
        <w:t xml:space="preserve">                            </w:t>
      </w:r>
      <w:r w:rsidR="008712B8" w:rsidRPr="00C22314">
        <w:rPr>
          <w:sz w:val="22"/>
          <w:szCs w:val="22"/>
        </w:rPr>
        <w:t xml:space="preserve"> </w:t>
      </w:r>
      <w:r w:rsidR="00C22314">
        <w:rPr>
          <w:sz w:val="22"/>
          <w:szCs w:val="22"/>
        </w:rPr>
        <w:t>2</w:t>
      </w:r>
      <w:r w:rsidR="00B720B4">
        <w:rPr>
          <w:sz w:val="22"/>
          <w:szCs w:val="22"/>
        </w:rPr>
        <w:t>5</w:t>
      </w:r>
      <w:r w:rsidR="00C22314">
        <w:rPr>
          <w:sz w:val="22"/>
          <w:szCs w:val="22"/>
        </w:rPr>
        <w:t>.</w:t>
      </w:r>
      <w:r w:rsidR="00B720B4">
        <w:rPr>
          <w:sz w:val="22"/>
          <w:szCs w:val="22"/>
        </w:rPr>
        <w:t>6</w:t>
      </w:r>
      <w:r w:rsidR="00C22314">
        <w:rPr>
          <w:sz w:val="22"/>
          <w:szCs w:val="22"/>
        </w:rPr>
        <w:t>0</w:t>
      </w:r>
      <w:r w:rsidR="00B720B4">
        <w:rPr>
          <w:sz w:val="22"/>
          <w:szCs w:val="22"/>
        </w:rPr>
        <w:t>8</w:t>
      </w:r>
      <w:r w:rsidR="00C22314">
        <w:rPr>
          <w:sz w:val="22"/>
          <w:szCs w:val="22"/>
        </w:rPr>
        <w:t>,</w:t>
      </w:r>
      <w:r w:rsidR="00B720B4">
        <w:rPr>
          <w:sz w:val="22"/>
          <w:szCs w:val="22"/>
        </w:rPr>
        <w:t>35</w:t>
      </w:r>
      <w:r w:rsidR="0016375A" w:rsidRPr="00C22314">
        <w:rPr>
          <w:sz w:val="22"/>
          <w:szCs w:val="22"/>
        </w:rPr>
        <w:t xml:space="preserve"> </w:t>
      </w:r>
      <w:r w:rsidRPr="00C22314">
        <w:rPr>
          <w:sz w:val="22"/>
          <w:szCs w:val="22"/>
        </w:rPr>
        <w:t>Kč</w:t>
      </w:r>
    </w:p>
    <w:p w:rsidR="008C0E97" w:rsidRPr="00C22314" w:rsidRDefault="008C0E97" w:rsidP="008C0E97">
      <w:pPr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C22314">
        <w:rPr>
          <w:b/>
          <w:sz w:val="22"/>
          <w:szCs w:val="22"/>
        </w:rPr>
        <w:t xml:space="preserve">Cena celkem s DPH:           </w:t>
      </w:r>
      <w:r w:rsidR="00C22314">
        <w:rPr>
          <w:b/>
          <w:sz w:val="22"/>
          <w:szCs w:val="22"/>
        </w:rPr>
        <w:t xml:space="preserve"> 1</w:t>
      </w:r>
      <w:r w:rsidR="00B720B4">
        <w:rPr>
          <w:b/>
          <w:sz w:val="22"/>
          <w:szCs w:val="22"/>
        </w:rPr>
        <w:t>47</w:t>
      </w:r>
      <w:r w:rsidR="00C22314">
        <w:rPr>
          <w:b/>
          <w:sz w:val="22"/>
          <w:szCs w:val="22"/>
        </w:rPr>
        <w:t>.</w:t>
      </w:r>
      <w:r w:rsidR="00B720B4">
        <w:rPr>
          <w:b/>
          <w:sz w:val="22"/>
          <w:szCs w:val="22"/>
        </w:rPr>
        <w:t>553</w:t>
      </w:r>
      <w:r w:rsidR="00C22314">
        <w:rPr>
          <w:b/>
          <w:sz w:val="22"/>
          <w:szCs w:val="22"/>
        </w:rPr>
        <w:t>,</w:t>
      </w:r>
      <w:r w:rsidR="00B720B4">
        <w:rPr>
          <w:b/>
          <w:sz w:val="22"/>
          <w:szCs w:val="22"/>
        </w:rPr>
        <w:t>87</w:t>
      </w:r>
      <w:r w:rsidR="0016375A" w:rsidRPr="00C22314">
        <w:rPr>
          <w:b/>
          <w:sz w:val="22"/>
          <w:szCs w:val="22"/>
        </w:rPr>
        <w:t xml:space="preserve"> </w:t>
      </w:r>
      <w:r w:rsidRPr="00C22314">
        <w:rPr>
          <w:b/>
          <w:sz w:val="22"/>
          <w:szCs w:val="22"/>
        </w:rPr>
        <w:t>Kč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DPH bude vyúčtována v zákonné výši v době uskutečnění zdanitelného plnění. Cena díla je specifikovaná přiloženým položkovým rozpočtem. 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stavebních a </w:t>
      </w:r>
      <w:r w:rsidR="00A37D22">
        <w:rPr>
          <w:rFonts w:ascii="Times New Roman" w:hAnsi="Times New Roman"/>
          <w:sz w:val="22"/>
          <w:szCs w:val="22"/>
        </w:rPr>
        <w:t>montážních prací firmy RTS Brno</w:t>
      </w:r>
      <w:r w:rsidRPr="00C22314">
        <w:rPr>
          <w:rFonts w:ascii="Times New Roman" w:hAnsi="Times New Roman"/>
          <w:sz w:val="22"/>
          <w:szCs w:val="22"/>
        </w:rPr>
        <w:t>, verze I/201</w:t>
      </w:r>
      <w:r w:rsidR="00006335" w:rsidRPr="00C22314">
        <w:rPr>
          <w:rFonts w:ascii="Times New Roman" w:hAnsi="Times New Roman"/>
          <w:sz w:val="22"/>
          <w:szCs w:val="22"/>
        </w:rPr>
        <w:t>9</w:t>
      </w:r>
      <w:r w:rsidRPr="00C22314">
        <w:rPr>
          <w:rFonts w:ascii="Times New Roman" w:hAnsi="Times New Roman"/>
          <w:sz w:val="22"/>
          <w:szCs w:val="22"/>
        </w:rPr>
        <w:t xml:space="preserve">. </w:t>
      </w:r>
    </w:p>
    <w:p w:rsidR="00F11996" w:rsidRPr="00C22314" w:rsidRDefault="00F11996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lastRenderedPageBreak/>
        <w:t>Platební podmínky a fakturace: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Fakturace bude prováděna průběžně jen za skutečně prováděné práce. Zhotovitel </w:t>
      </w:r>
      <w:r w:rsidR="008712B8" w:rsidRPr="00C22314">
        <w:rPr>
          <w:rFonts w:ascii="Times New Roman" w:hAnsi="Times New Roman"/>
          <w:sz w:val="22"/>
          <w:szCs w:val="22"/>
        </w:rPr>
        <w:t xml:space="preserve">bude </w:t>
      </w:r>
      <w:r w:rsidRPr="00C22314">
        <w:rPr>
          <w:rFonts w:ascii="Times New Roman" w:hAnsi="Times New Roman"/>
          <w:sz w:val="22"/>
          <w:szCs w:val="22"/>
        </w:rPr>
        <w:t>vysta</w:t>
      </w:r>
      <w:r w:rsidR="0016375A" w:rsidRPr="00C22314">
        <w:rPr>
          <w:rFonts w:ascii="Times New Roman" w:hAnsi="Times New Roman"/>
          <w:sz w:val="22"/>
          <w:szCs w:val="22"/>
        </w:rPr>
        <w:t>v</w:t>
      </w:r>
      <w:r w:rsidR="008712B8" w:rsidRPr="00C22314">
        <w:rPr>
          <w:rFonts w:ascii="Times New Roman" w:hAnsi="Times New Roman"/>
          <w:sz w:val="22"/>
          <w:szCs w:val="22"/>
        </w:rPr>
        <w:t>ovat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="008712B8" w:rsidRPr="00C22314">
        <w:rPr>
          <w:rFonts w:ascii="Times New Roman" w:hAnsi="Times New Roman"/>
          <w:sz w:val="22"/>
          <w:szCs w:val="22"/>
        </w:rPr>
        <w:t>fakturu</w:t>
      </w:r>
      <w:r w:rsidR="00F85EC8" w:rsidRPr="00C22314">
        <w:rPr>
          <w:rFonts w:ascii="Times New Roman" w:hAnsi="Times New Roman"/>
          <w:sz w:val="22"/>
          <w:szCs w:val="22"/>
        </w:rPr>
        <w:t xml:space="preserve"> měsíčně </w:t>
      </w:r>
      <w:r w:rsidR="00DD5F88">
        <w:rPr>
          <w:rFonts w:ascii="Times New Roman" w:hAnsi="Times New Roman"/>
          <w:sz w:val="22"/>
          <w:szCs w:val="22"/>
        </w:rPr>
        <w:t>na základě odsouhlasených prací</w:t>
      </w:r>
      <w:r w:rsidRPr="00C22314">
        <w:rPr>
          <w:rFonts w:ascii="Times New Roman" w:hAnsi="Times New Roman"/>
          <w:sz w:val="22"/>
          <w:szCs w:val="22"/>
        </w:rPr>
        <w:t>. Splatnost faktur je dohodnuta na 14 dnů od doručení objednateli. Za datum úhrady se považuje datum připsání příslušné částky na bankovní účet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Lhůty: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Termín zahájení prací: </w:t>
      </w:r>
      <w:r w:rsidR="0016375A" w:rsidRPr="00C22314">
        <w:rPr>
          <w:rFonts w:ascii="Times New Roman" w:hAnsi="Times New Roman"/>
          <w:sz w:val="22"/>
          <w:szCs w:val="22"/>
        </w:rPr>
        <w:t xml:space="preserve">do </w:t>
      </w:r>
      <w:r w:rsidR="00B720B4">
        <w:rPr>
          <w:rFonts w:ascii="Times New Roman" w:hAnsi="Times New Roman"/>
          <w:sz w:val="22"/>
          <w:szCs w:val="22"/>
        </w:rPr>
        <w:t>3</w:t>
      </w:r>
      <w:r w:rsidR="0016375A" w:rsidRPr="00C22314">
        <w:rPr>
          <w:rFonts w:ascii="Times New Roman" w:hAnsi="Times New Roman"/>
          <w:sz w:val="22"/>
          <w:szCs w:val="22"/>
        </w:rPr>
        <w:t xml:space="preserve"> dnů od doručení výzvy objednatele zhotoviteli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Termín dokončení: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nejpozději 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="00BF315E">
        <w:rPr>
          <w:rFonts w:ascii="Times New Roman" w:hAnsi="Times New Roman"/>
          <w:sz w:val="22"/>
          <w:szCs w:val="22"/>
        </w:rPr>
        <w:t>15</w:t>
      </w:r>
      <w:r w:rsidR="00DD5F88">
        <w:rPr>
          <w:rFonts w:ascii="Times New Roman" w:hAnsi="Times New Roman"/>
          <w:sz w:val="22"/>
          <w:szCs w:val="22"/>
        </w:rPr>
        <w:t>.</w:t>
      </w:r>
      <w:r w:rsidR="00B720B4">
        <w:rPr>
          <w:rFonts w:ascii="Times New Roman" w:hAnsi="Times New Roman"/>
          <w:sz w:val="22"/>
          <w:szCs w:val="22"/>
        </w:rPr>
        <w:t>5</w:t>
      </w:r>
      <w:r w:rsidR="00DD5F88">
        <w:rPr>
          <w:rFonts w:ascii="Times New Roman" w:hAnsi="Times New Roman"/>
          <w:sz w:val="22"/>
          <w:szCs w:val="22"/>
        </w:rPr>
        <w:t>.20</w:t>
      </w:r>
      <w:r w:rsidR="00B720B4">
        <w:rPr>
          <w:rFonts w:ascii="Times New Roman" w:hAnsi="Times New Roman"/>
          <w:sz w:val="22"/>
          <w:szCs w:val="22"/>
        </w:rPr>
        <w:t>20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každém důvodu způsobujícím možnost z prodlení v plnění díla se budou obě smluvní strany okamžitě informovat. Za účasti ostatních dodavatelů, investora a konečného provozovatele bude o každém takovémto důvodu sepsán okamžitě zápis s operativním návrhem na řešení vzniklého stavu a s eventuálními posuny termínů plnění.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souběhem provádění archeologického průzkumu,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C0E97" w:rsidRPr="00C22314" w:rsidRDefault="008C0E97" w:rsidP="008C0E97">
      <w:pPr>
        <w:keepNext/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Součinnost objednatele: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Kvalitativní a dodací podmínky: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stavby a její vyklizení a uvedení okolí do původního stavu.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Za jakost provedení díla přejímá Zhotovitel záruku. Záruční doba na provedené práce je 60 měsíců.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lastRenderedPageBreak/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platí záruční doba uvedená na tomto záručním listu. Zhotovitel rovněž neručí za poškození způsobená třetími osobami, atmosférickými výboji, vyšším napětím v síti a/nebo vlivem chemického prostředí.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pokuty: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t>Pokud Zhotovitel bude v prodlení s předáním díla je povinen zaplatit Objednateli smluvní pokutu ve výši 0,05% ze smluvní ceny bez DPH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iCs/>
          <w:sz w:val="22"/>
          <w:szCs w:val="22"/>
        </w:rPr>
        <w:t>za každý den prodlení.</w:t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Ostatní ujednání: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i Zhotovitel se zavazují, že vzájemně předané dokumentace, projekty a programové vybavení nepostoupí třetím osobám.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:rsidR="008C0E97" w:rsidRPr="00DD5F88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496B4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96B4E">
        <w:rPr>
          <w:rFonts w:ascii="Times New Roman" w:hAnsi="Times New Roman"/>
          <w:sz w:val="22"/>
          <w:szCs w:val="22"/>
        </w:rPr>
        <w:t>28.04.2020</w:t>
      </w:r>
      <w:proofErr w:type="gramEnd"/>
      <w:r w:rsidR="0016375A"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A37D22">
        <w:rPr>
          <w:rFonts w:ascii="Times New Roman" w:hAnsi="Times New Roman"/>
          <w:sz w:val="22"/>
          <w:szCs w:val="22"/>
        </w:rPr>
        <w:t xml:space="preserve">             </w:t>
      </w:r>
      <w:r w:rsidRPr="00DD5F88">
        <w:rPr>
          <w:rFonts w:ascii="Times New Roman" w:hAnsi="Times New Roman"/>
          <w:sz w:val="22"/>
          <w:szCs w:val="22"/>
        </w:rPr>
        <w:t xml:space="preserve"> </w:t>
      </w:r>
      <w:r w:rsidR="0018443A" w:rsidRPr="00DD5F88">
        <w:rPr>
          <w:rFonts w:ascii="Times New Roman" w:hAnsi="Times New Roman"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 xml:space="preserve">Datum podpisu: </w:t>
      </w:r>
      <w:proofErr w:type="gramStart"/>
      <w:r w:rsidR="00496B4E">
        <w:rPr>
          <w:rFonts w:ascii="Times New Roman" w:hAnsi="Times New Roman"/>
          <w:sz w:val="22"/>
          <w:szCs w:val="22"/>
        </w:rPr>
        <w:t>2</w:t>
      </w:r>
      <w:r w:rsidR="00496B4E">
        <w:rPr>
          <w:rFonts w:ascii="Times New Roman" w:hAnsi="Times New Roman"/>
          <w:sz w:val="22"/>
          <w:szCs w:val="22"/>
        </w:rPr>
        <w:t>7</w:t>
      </w:r>
      <w:r w:rsidR="00496B4E">
        <w:rPr>
          <w:rFonts w:ascii="Times New Roman" w:hAnsi="Times New Roman"/>
          <w:sz w:val="22"/>
          <w:szCs w:val="22"/>
        </w:rPr>
        <w:t>.04.2020</w:t>
      </w:r>
      <w:proofErr w:type="gramEnd"/>
      <w:r w:rsidR="00496B4E" w:rsidRPr="00DD5F88">
        <w:rPr>
          <w:rFonts w:ascii="Times New Roman" w:hAnsi="Times New Roman"/>
          <w:sz w:val="22"/>
          <w:szCs w:val="22"/>
        </w:rPr>
        <w:tab/>
      </w:r>
    </w:p>
    <w:p w:rsidR="00496B4E" w:rsidRDefault="00496B4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Za Zhotovitele:</w:t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</w:t>
      </w:r>
      <w:r w:rsidR="00496B4E">
        <w:rPr>
          <w:rFonts w:ascii="Times New Roman" w:hAnsi="Times New Roman"/>
          <w:sz w:val="22"/>
          <w:szCs w:val="22"/>
        </w:rPr>
        <w:t xml:space="preserve">             </w:t>
      </w:r>
      <w:r w:rsidRPr="00DD5F88">
        <w:rPr>
          <w:rFonts w:ascii="Times New Roman" w:hAnsi="Times New Roman"/>
          <w:sz w:val="22"/>
          <w:szCs w:val="22"/>
        </w:rPr>
        <w:t xml:space="preserve">     Za Objednatele:</w:t>
      </w:r>
    </w:p>
    <w:p w:rsidR="00DD5F88" w:rsidRP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496B4E">
        <w:rPr>
          <w:rFonts w:ascii="Times New Roman" w:hAnsi="Times New Roman"/>
          <w:sz w:val="22"/>
          <w:szCs w:val="22"/>
        </w:rPr>
        <w:t xml:space="preserve">            </w:t>
      </w:r>
      <w:bookmarkStart w:id="0" w:name="_GoBack"/>
      <w:bookmarkEnd w:id="0"/>
      <w:r w:rsidR="00496B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…………………………….</w:t>
      </w:r>
    </w:p>
    <w:sectPr w:rsidR="00DD5F88" w:rsidRPr="00DD5F88" w:rsidSect="00F11996">
      <w:headerReference w:type="default" r:id="rId7"/>
      <w:footerReference w:type="default" r:id="rId8"/>
      <w:pgSz w:w="11906" w:h="16838" w:code="9"/>
      <w:pgMar w:top="1247" w:right="1134" w:bottom="2211" w:left="1134" w:header="141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66" w:rsidRDefault="00280466" w:rsidP="000B5A0F">
      <w:r>
        <w:separator/>
      </w:r>
    </w:p>
  </w:endnote>
  <w:endnote w:type="continuationSeparator" w:id="0">
    <w:p w:rsidR="00280466" w:rsidRDefault="00280466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 xml:space="preserve">S-A-S  </w:t>
    </w:r>
    <w:proofErr w:type="gramStart"/>
    <w:r w:rsidRPr="008A47F2">
      <w:rPr>
        <w:rFonts w:asciiTheme="minorHAnsi" w:hAnsiTheme="minorHAnsi" w:cs="Arial"/>
        <w:color w:val="696A6C"/>
        <w:sz w:val="14"/>
        <w:szCs w:val="14"/>
      </w:rPr>
      <w:t>STAVBY  spol.</w:t>
    </w:r>
    <w:proofErr w:type="gramEnd"/>
    <w:r w:rsidRPr="008A47F2">
      <w:rPr>
        <w:rFonts w:asciiTheme="minorHAnsi" w:hAnsiTheme="minorHAnsi" w:cs="Arial"/>
        <w:color w:val="696A6C"/>
        <w:sz w:val="14"/>
        <w:szCs w:val="14"/>
      </w:rPr>
      <w:t xml:space="preserve"> s r.o. </w:t>
    </w:r>
  </w:p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>Husitská 3422/1, 669 02 Znojmo</w:t>
    </w:r>
  </w:p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>tel.: +420 530 512 111, fax: +420 515 246 934</w:t>
    </w:r>
  </w:p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>e-mail: info@sasgroup.cz</w:t>
    </w:r>
  </w:p>
  <w:p w:rsidR="008712B8" w:rsidRPr="008A47F2" w:rsidRDefault="00280466" w:rsidP="008A47F2">
    <w:pPr>
      <w:autoSpaceDE w:val="0"/>
      <w:autoSpaceDN w:val="0"/>
      <w:adjustRightInd w:val="0"/>
      <w:rPr>
        <w:rFonts w:asciiTheme="minorHAnsi" w:hAnsiTheme="minorHAnsi" w:cs="Arial"/>
        <w:b/>
        <w:bCs/>
        <w:color w:val="DA2128"/>
        <w:sz w:val="14"/>
        <w:szCs w:val="14"/>
      </w:rPr>
    </w:pPr>
    <w:hyperlink r:id="rId1" w:history="1">
      <w:r w:rsidR="008712B8" w:rsidRPr="008A47F2">
        <w:rPr>
          <w:rStyle w:val="Hypertextovodkaz"/>
          <w:rFonts w:asciiTheme="minorHAnsi" w:hAnsiTheme="minorHAnsi" w:cs="Arial"/>
          <w:b/>
          <w:bCs/>
          <w:color w:val="DA2128"/>
          <w:sz w:val="14"/>
          <w:szCs w:val="14"/>
          <w:u w:val="none"/>
        </w:rPr>
        <w:t>www.sasgroup.cz</w:t>
      </w:r>
    </w:hyperlink>
  </w:p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b/>
        <w:bCs/>
        <w:color w:val="696A6C"/>
        <w:sz w:val="14"/>
        <w:szCs w:val="14"/>
      </w:rPr>
    </w:pPr>
  </w:p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>IČ: 469 80 318, DIČ: CZ46980318</w:t>
    </w:r>
  </w:p>
  <w:p w:rsidR="008712B8" w:rsidRPr="008A47F2" w:rsidRDefault="008712B8" w:rsidP="008A47F2">
    <w:pPr>
      <w:autoSpaceDE w:val="0"/>
      <w:autoSpaceDN w:val="0"/>
      <w:adjustRightInd w:val="0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 xml:space="preserve">Bankovní spojení: </w:t>
    </w:r>
    <w:r>
      <w:rPr>
        <w:rFonts w:asciiTheme="minorHAnsi" w:hAnsiTheme="minorHAnsi" w:cs="Arial"/>
        <w:color w:val="696A6C"/>
        <w:sz w:val="14"/>
        <w:szCs w:val="14"/>
      </w:rPr>
      <w:t>SBER</w:t>
    </w:r>
    <w:r w:rsidRPr="008A47F2">
      <w:rPr>
        <w:rFonts w:asciiTheme="minorHAnsi" w:hAnsiTheme="minorHAnsi" w:cs="Arial"/>
        <w:color w:val="696A6C"/>
        <w:sz w:val="14"/>
        <w:szCs w:val="14"/>
      </w:rPr>
      <w:t>BANK CZ, a.s., číslo účtu: 4 160 002 003/6800</w:t>
    </w:r>
  </w:p>
  <w:p w:rsidR="008712B8" w:rsidRPr="008A47F2" w:rsidRDefault="008712B8" w:rsidP="008A47F2">
    <w:pPr>
      <w:pStyle w:val="Zpat"/>
      <w:rPr>
        <w:rFonts w:asciiTheme="minorHAnsi" w:hAnsiTheme="minorHAnsi" w:cs="Arial"/>
        <w:color w:val="696A6C"/>
        <w:sz w:val="14"/>
        <w:szCs w:val="14"/>
      </w:rPr>
    </w:pPr>
    <w:r w:rsidRPr="008A47F2">
      <w:rPr>
        <w:rFonts w:asciiTheme="minorHAnsi" w:hAnsiTheme="minorHAnsi" w:cs="Arial"/>
        <w:color w:val="696A6C"/>
        <w:sz w:val="14"/>
        <w:szCs w:val="14"/>
      </w:rPr>
      <w:t>Společnost zapsána v Obchodním rejstříku vedeným Krajským soudem v Brně, oddíl C, vložka 8057</w:t>
    </w:r>
  </w:p>
  <w:p w:rsidR="008712B8" w:rsidRPr="008A47F2" w:rsidRDefault="008712B8" w:rsidP="008A47F2">
    <w:pPr>
      <w:pStyle w:val="Zpa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66" w:rsidRDefault="00280466" w:rsidP="000B5A0F">
      <w:r>
        <w:separator/>
      </w:r>
    </w:p>
  </w:footnote>
  <w:footnote w:type="continuationSeparator" w:id="0">
    <w:p w:rsidR="00280466" w:rsidRDefault="00280466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B8" w:rsidRDefault="008712B8">
    <w:pPr>
      <w:pStyle w:val="Zhlav"/>
    </w:pPr>
    <w:r w:rsidRPr="008A47F2">
      <w:rPr>
        <w:noProof/>
      </w:rPr>
      <w:drawing>
        <wp:inline distT="0" distB="0" distL="0" distR="0">
          <wp:extent cx="1471689" cy="238320"/>
          <wp:effectExtent l="19050" t="0" r="0" b="0"/>
          <wp:docPr id="6" name="obrázek 1" descr="C:\Users\Lagia\Desktop\SAS-Znojmo_nabidkove-form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gia\Desktop\SAS-Znojmo_nabidkove-formu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02" cy="2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2B8" w:rsidRDefault="008712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3"/>
    <w:rsid w:val="000060FD"/>
    <w:rsid w:val="00006335"/>
    <w:rsid w:val="00031FAD"/>
    <w:rsid w:val="000B5A0F"/>
    <w:rsid w:val="000F7891"/>
    <w:rsid w:val="0016375A"/>
    <w:rsid w:val="0018443A"/>
    <w:rsid w:val="0022181D"/>
    <w:rsid w:val="00280466"/>
    <w:rsid w:val="002A1488"/>
    <w:rsid w:val="002D31D5"/>
    <w:rsid w:val="00321643"/>
    <w:rsid w:val="003755F1"/>
    <w:rsid w:val="0044192D"/>
    <w:rsid w:val="00496B4E"/>
    <w:rsid w:val="004A3CE2"/>
    <w:rsid w:val="004B6100"/>
    <w:rsid w:val="005073E3"/>
    <w:rsid w:val="005217FB"/>
    <w:rsid w:val="005273B0"/>
    <w:rsid w:val="00565060"/>
    <w:rsid w:val="005A0F7C"/>
    <w:rsid w:val="005A7E4D"/>
    <w:rsid w:val="005E40EE"/>
    <w:rsid w:val="00656735"/>
    <w:rsid w:val="006B693E"/>
    <w:rsid w:val="00710B31"/>
    <w:rsid w:val="007B7633"/>
    <w:rsid w:val="007E123F"/>
    <w:rsid w:val="008059B3"/>
    <w:rsid w:val="00806EA1"/>
    <w:rsid w:val="008234E0"/>
    <w:rsid w:val="0087101A"/>
    <w:rsid w:val="008712B8"/>
    <w:rsid w:val="008A47F2"/>
    <w:rsid w:val="008C0E97"/>
    <w:rsid w:val="008F684A"/>
    <w:rsid w:val="0091317F"/>
    <w:rsid w:val="00925ECE"/>
    <w:rsid w:val="00956A88"/>
    <w:rsid w:val="009622DD"/>
    <w:rsid w:val="00974EA3"/>
    <w:rsid w:val="00A37D22"/>
    <w:rsid w:val="00A87B7B"/>
    <w:rsid w:val="00B720B4"/>
    <w:rsid w:val="00B83F63"/>
    <w:rsid w:val="00BF315E"/>
    <w:rsid w:val="00BF6D07"/>
    <w:rsid w:val="00C22314"/>
    <w:rsid w:val="00C23243"/>
    <w:rsid w:val="00C35F45"/>
    <w:rsid w:val="00C538B1"/>
    <w:rsid w:val="00C83359"/>
    <w:rsid w:val="00CE11FE"/>
    <w:rsid w:val="00CE3C50"/>
    <w:rsid w:val="00D035CC"/>
    <w:rsid w:val="00DA3FE4"/>
    <w:rsid w:val="00DC6994"/>
    <w:rsid w:val="00DD1666"/>
    <w:rsid w:val="00DD5F88"/>
    <w:rsid w:val="00DF3418"/>
    <w:rsid w:val="00E57E8C"/>
    <w:rsid w:val="00EB3E42"/>
    <w:rsid w:val="00ED2F91"/>
    <w:rsid w:val="00F11996"/>
    <w:rsid w:val="00F85EC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7FF8D-DE51-4F2D-9CFA-E097C9F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22</cp:revision>
  <cp:lastPrinted>2011-05-23T14:25:00Z</cp:lastPrinted>
  <dcterms:created xsi:type="dcterms:W3CDTF">2020-04-27T05:59:00Z</dcterms:created>
  <dcterms:modified xsi:type="dcterms:W3CDTF">2020-04-30T11:58:00Z</dcterms:modified>
</cp:coreProperties>
</file>