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7A31F1" w:rsidP="007A31F1">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7A31F1">
        <w:rPr>
          <w:rFonts w:ascii="Arial" w:hAnsi="Arial" w:cs="Arial"/>
          <w:b/>
          <w:sz w:val="22"/>
          <w:szCs w:val="22"/>
        </w:rPr>
        <w:t>798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63236E" w:rsidRPr="00503A0C" w:rsidRDefault="0063236E" w:rsidP="0063236E">
      <w:pPr>
        <w:tabs>
          <w:tab w:val="left" w:pos="4080"/>
        </w:tabs>
        <w:jc w:val="both"/>
        <w:rPr>
          <w:rFonts w:ascii="Arial" w:hAnsi="Arial" w:cs="Arial"/>
          <w:b/>
          <w:sz w:val="28"/>
          <w:szCs w:val="28"/>
        </w:rPr>
      </w:pPr>
      <w:r w:rsidRPr="00503A0C">
        <w:rPr>
          <w:rFonts w:ascii="Arial" w:hAnsi="Arial" w:cs="Arial"/>
          <w:b/>
          <w:sz w:val="28"/>
          <w:szCs w:val="28"/>
        </w:rPr>
        <w:t>Račí potok, Malšovice - rekonstrukce opevnění, výust do Labe</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503A0C" w:rsidRDefault="00D35FAE" w:rsidP="00D35FAE">
      <w:pPr>
        <w:tabs>
          <w:tab w:val="left" w:pos="3960"/>
        </w:tabs>
        <w:jc w:val="both"/>
        <w:rPr>
          <w:rFonts w:ascii="Arial" w:hAnsi="Arial" w:cs="Arial"/>
          <w:sz w:val="22"/>
          <w:szCs w:val="22"/>
        </w:rPr>
      </w:pPr>
      <w:r w:rsidRPr="00503A0C">
        <w:rPr>
          <w:rFonts w:ascii="Arial" w:hAnsi="Arial" w:cs="Arial"/>
          <w:b/>
          <w:sz w:val="22"/>
          <w:szCs w:val="22"/>
        </w:rPr>
        <w:t>technický dozor investora:</w:t>
      </w:r>
      <w:r w:rsidRPr="00503A0C">
        <w:rPr>
          <w:rFonts w:ascii="Arial" w:hAnsi="Arial" w:cs="Arial"/>
          <w:b/>
          <w:sz w:val="22"/>
          <w:szCs w:val="22"/>
        </w:rPr>
        <w:tab/>
      </w:r>
      <w:r w:rsidR="0063236E" w:rsidRPr="00503A0C">
        <w:rPr>
          <w:rFonts w:ascii="Arial" w:hAnsi="Arial" w:cs="Arial"/>
          <w:sz w:val="22"/>
          <w:szCs w:val="22"/>
        </w:rPr>
        <w:t>Ing. Hana Civínová</w:t>
      </w:r>
    </w:p>
    <w:p w:rsidR="00D35FAE" w:rsidRPr="00D74A50" w:rsidRDefault="00D35FAE" w:rsidP="00D35FAE">
      <w:pPr>
        <w:tabs>
          <w:tab w:val="left" w:pos="3960"/>
        </w:tabs>
        <w:jc w:val="both"/>
        <w:rPr>
          <w:rFonts w:ascii="Arial" w:hAnsi="Arial" w:cs="Arial"/>
          <w:sz w:val="22"/>
          <w:szCs w:val="22"/>
        </w:rPr>
      </w:pPr>
      <w:r w:rsidRPr="00503A0C">
        <w:rPr>
          <w:rFonts w:ascii="Arial" w:hAnsi="Arial" w:cs="Arial"/>
          <w:sz w:val="22"/>
          <w:szCs w:val="22"/>
        </w:rPr>
        <w:tab/>
        <w:t xml:space="preserve">tel: </w:t>
      </w:r>
      <w:r w:rsidR="0063236E" w:rsidRPr="00503A0C">
        <w:rPr>
          <w:rFonts w:ascii="Arial" w:hAnsi="Arial" w:cs="Arial"/>
          <w:sz w:val="22"/>
          <w:szCs w:val="22"/>
        </w:rPr>
        <w:t>724 155 418,  e-mail: civinova</w:t>
      </w:r>
      <w:r w:rsidRPr="00503A0C">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3E0062" w:rsidRDefault="003E0062" w:rsidP="00BF0053">
      <w:pPr>
        <w:tabs>
          <w:tab w:val="left" w:pos="3960"/>
        </w:tabs>
        <w:jc w:val="both"/>
        <w:rPr>
          <w:rFonts w:ascii="Arial" w:hAnsi="Arial" w:cs="Arial"/>
          <w:b/>
          <w:sz w:val="22"/>
          <w:szCs w:val="22"/>
        </w:rPr>
      </w:pPr>
    </w:p>
    <w:p w:rsidR="003E0062" w:rsidRDefault="003E0062" w:rsidP="00BF0053">
      <w:pPr>
        <w:tabs>
          <w:tab w:val="left" w:pos="3960"/>
        </w:tabs>
        <w:jc w:val="both"/>
        <w:rPr>
          <w:rFonts w:ascii="Arial" w:hAnsi="Arial" w:cs="Arial"/>
          <w:b/>
          <w:sz w:val="22"/>
          <w:szCs w:val="22"/>
        </w:rPr>
      </w:pPr>
    </w:p>
    <w:p w:rsidR="00BF0053" w:rsidRPr="00BF0053" w:rsidRDefault="001F59EB" w:rsidP="00BF0053">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BF0053" w:rsidRPr="00BF0053">
        <w:rPr>
          <w:rFonts w:ascii="Arial" w:hAnsi="Arial" w:cs="Arial"/>
          <w:b/>
          <w:sz w:val="22"/>
          <w:szCs w:val="22"/>
        </w:rPr>
        <w:t>V&amp;J Stavební, a.s.</w:t>
      </w:r>
    </w:p>
    <w:p w:rsidR="00BF0053" w:rsidRPr="00BF0053" w:rsidRDefault="00BF0053" w:rsidP="00BF0053">
      <w:pPr>
        <w:tabs>
          <w:tab w:val="left" w:pos="3960"/>
        </w:tabs>
        <w:jc w:val="both"/>
        <w:rPr>
          <w:rFonts w:ascii="Arial" w:hAnsi="Arial" w:cs="Arial"/>
          <w:sz w:val="22"/>
          <w:szCs w:val="22"/>
        </w:rPr>
      </w:pPr>
      <w:r w:rsidRPr="00BF0053">
        <w:rPr>
          <w:rFonts w:ascii="Arial" w:hAnsi="Arial" w:cs="Arial"/>
          <w:b/>
          <w:sz w:val="22"/>
          <w:szCs w:val="22"/>
        </w:rPr>
        <w:tab/>
      </w:r>
      <w:r w:rsidR="007A31F1">
        <w:rPr>
          <w:rFonts w:ascii="Arial" w:hAnsi="Arial" w:cs="Arial"/>
          <w:sz w:val="22"/>
          <w:szCs w:val="22"/>
        </w:rPr>
        <w:t xml:space="preserve">Jetenovice 48, 341 01 </w:t>
      </w:r>
      <w:r w:rsidRPr="00BF0053">
        <w:rPr>
          <w:rFonts w:ascii="Arial" w:hAnsi="Arial" w:cs="Arial"/>
          <w:sz w:val="22"/>
          <w:szCs w:val="22"/>
        </w:rPr>
        <w:t>Horažďovice</w:t>
      </w:r>
    </w:p>
    <w:p w:rsidR="00BF0053" w:rsidRPr="00BF0053" w:rsidRDefault="00BF0053" w:rsidP="00BF0053">
      <w:pPr>
        <w:tabs>
          <w:tab w:val="left" w:pos="3960"/>
        </w:tabs>
        <w:jc w:val="both"/>
        <w:rPr>
          <w:rFonts w:ascii="Arial" w:hAnsi="Arial" w:cs="Arial"/>
          <w:sz w:val="22"/>
          <w:szCs w:val="22"/>
        </w:rPr>
      </w:pPr>
      <w:r w:rsidRPr="00BF0053">
        <w:rPr>
          <w:rFonts w:ascii="Arial" w:hAnsi="Arial" w:cs="Arial"/>
          <w:b/>
          <w:sz w:val="22"/>
          <w:szCs w:val="22"/>
        </w:rPr>
        <w:t xml:space="preserve">IČ:                            </w:t>
      </w:r>
      <w:r>
        <w:rPr>
          <w:rFonts w:ascii="Arial" w:hAnsi="Arial" w:cs="Arial"/>
          <w:b/>
          <w:sz w:val="22"/>
          <w:szCs w:val="22"/>
        </w:rPr>
        <w:t xml:space="preserve">                            </w:t>
      </w:r>
      <w:r w:rsidRPr="00BF0053">
        <w:rPr>
          <w:rFonts w:ascii="Arial" w:hAnsi="Arial" w:cs="Arial"/>
          <w:sz w:val="22"/>
          <w:szCs w:val="22"/>
        </w:rPr>
        <w:t>28002474</w:t>
      </w:r>
    </w:p>
    <w:p w:rsidR="00BF0053" w:rsidRPr="00BF0053" w:rsidRDefault="00BF0053" w:rsidP="00BF0053">
      <w:pPr>
        <w:tabs>
          <w:tab w:val="left" w:pos="3960"/>
        </w:tabs>
        <w:jc w:val="both"/>
        <w:rPr>
          <w:rFonts w:ascii="Arial" w:hAnsi="Arial" w:cs="Arial"/>
          <w:sz w:val="22"/>
          <w:szCs w:val="22"/>
        </w:rPr>
      </w:pPr>
      <w:r w:rsidRPr="00BF0053">
        <w:rPr>
          <w:rFonts w:ascii="Arial" w:hAnsi="Arial" w:cs="Arial"/>
          <w:b/>
          <w:sz w:val="22"/>
          <w:szCs w:val="22"/>
        </w:rPr>
        <w:t xml:space="preserve">DIČ:                                                     </w:t>
      </w:r>
      <w:r w:rsidR="007A31F1">
        <w:rPr>
          <w:rFonts w:ascii="Arial" w:hAnsi="Arial" w:cs="Arial"/>
          <w:b/>
          <w:sz w:val="22"/>
          <w:szCs w:val="22"/>
        </w:rPr>
        <w:tab/>
      </w:r>
      <w:r>
        <w:rPr>
          <w:rFonts w:ascii="Arial" w:hAnsi="Arial" w:cs="Arial"/>
          <w:sz w:val="22"/>
          <w:szCs w:val="22"/>
        </w:rPr>
        <w:t>CZ</w:t>
      </w:r>
      <w:r w:rsidRPr="00BF0053">
        <w:rPr>
          <w:rFonts w:ascii="Arial" w:hAnsi="Arial" w:cs="Arial"/>
          <w:sz w:val="22"/>
          <w:szCs w:val="22"/>
        </w:rPr>
        <w:t>28002474</w:t>
      </w:r>
    </w:p>
    <w:p w:rsidR="00BF0053" w:rsidRPr="00BF0053" w:rsidRDefault="00BF0053" w:rsidP="00BF0053">
      <w:pPr>
        <w:tabs>
          <w:tab w:val="left" w:pos="3960"/>
        </w:tabs>
        <w:jc w:val="both"/>
        <w:rPr>
          <w:rFonts w:ascii="Arial" w:hAnsi="Arial" w:cs="Arial"/>
          <w:b/>
          <w:sz w:val="22"/>
          <w:szCs w:val="22"/>
        </w:rPr>
      </w:pPr>
      <w:r w:rsidRPr="00BF0053">
        <w:rPr>
          <w:rFonts w:ascii="Arial" w:hAnsi="Arial" w:cs="Arial"/>
          <w:b/>
          <w:sz w:val="22"/>
          <w:szCs w:val="22"/>
        </w:rPr>
        <w:t>zastoupený:</w:t>
      </w:r>
      <w:r w:rsidRPr="00BF0053">
        <w:rPr>
          <w:rFonts w:ascii="Arial" w:hAnsi="Arial" w:cs="Arial"/>
          <w:b/>
          <w:sz w:val="22"/>
          <w:szCs w:val="22"/>
        </w:rPr>
        <w:tab/>
      </w:r>
      <w:r w:rsidRPr="00BF0053">
        <w:rPr>
          <w:rFonts w:ascii="Arial" w:hAnsi="Arial" w:cs="Arial"/>
          <w:sz w:val="22"/>
          <w:szCs w:val="22"/>
        </w:rPr>
        <w:t xml:space="preserve">Januszem Gawlikem, </w:t>
      </w:r>
      <w:r w:rsidR="003E0062">
        <w:rPr>
          <w:rFonts w:ascii="Arial" w:hAnsi="Arial" w:cs="Arial"/>
          <w:sz w:val="22"/>
          <w:szCs w:val="22"/>
        </w:rPr>
        <w:t>člen</w:t>
      </w:r>
      <w:r w:rsidRPr="00BF0053">
        <w:rPr>
          <w:rFonts w:ascii="Arial" w:hAnsi="Arial" w:cs="Arial"/>
          <w:sz w:val="22"/>
          <w:szCs w:val="22"/>
        </w:rPr>
        <w:t xml:space="preserve"> představenstva</w:t>
      </w:r>
    </w:p>
    <w:p w:rsidR="00BF0053" w:rsidRPr="00BF0053" w:rsidRDefault="00BF0053" w:rsidP="00BF0053">
      <w:pPr>
        <w:tabs>
          <w:tab w:val="left" w:pos="3960"/>
        </w:tabs>
        <w:jc w:val="both"/>
        <w:rPr>
          <w:rFonts w:ascii="Arial" w:hAnsi="Arial" w:cs="Arial"/>
          <w:sz w:val="22"/>
          <w:szCs w:val="22"/>
        </w:rPr>
      </w:pPr>
      <w:r w:rsidRPr="00BF0053">
        <w:rPr>
          <w:rFonts w:ascii="Arial" w:hAnsi="Arial" w:cs="Arial"/>
          <w:b/>
          <w:sz w:val="22"/>
          <w:szCs w:val="22"/>
        </w:rPr>
        <w:t>zástupce ve věcech smluvních:</w:t>
      </w:r>
      <w:r w:rsidRPr="00BF0053">
        <w:rPr>
          <w:rFonts w:ascii="Arial" w:hAnsi="Arial" w:cs="Arial"/>
          <w:b/>
          <w:sz w:val="22"/>
          <w:szCs w:val="22"/>
        </w:rPr>
        <w:tab/>
      </w:r>
      <w:r w:rsidRPr="00BF0053">
        <w:rPr>
          <w:rFonts w:ascii="Arial" w:hAnsi="Arial" w:cs="Arial"/>
          <w:sz w:val="22"/>
          <w:szCs w:val="22"/>
        </w:rPr>
        <w:t>Janusz Gawlik</w:t>
      </w:r>
      <w:r w:rsidR="003E0062">
        <w:rPr>
          <w:rFonts w:ascii="Arial" w:hAnsi="Arial" w:cs="Arial"/>
          <w:sz w:val="22"/>
          <w:szCs w:val="22"/>
        </w:rPr>
        <w:t>, člen představenstva</w:t>
      </w:r>
    </w:p>
    <w:p w:rsidR="00BF0053" w:rsidRPr="00BF0053" w:rsidRDefault="00BF0053" w:rsidP="00BF0053">
      <w:pPr>
        <w:tabs>
          <w:tab w:val="left" w:pos="3960"/>
        </w:tabs>
        <w:jc w:val="both"/>
        <w:rPr>
          <w:rFonts w:ascii="Arial" w:hAnsi="Arial" w:cs="Arial"/>
          <w:b/>
          <w:sz w:val="22"/>
          <w:szCs w:val="22"/>
        </w:rPr>
      </w:pPr>
      <w:r w:rsidRPr="00BF0053">
        <w:rPr>
          <w:rFonts w:ascii="Arial" w:hAnsi="Arial" w:cs="Arial"/>
          <w:b/>
          <w:sz w:val="22"/>
          <w:szCs w:val="22"/>
        </w:rPr>
        <w:t>zástupce ve věcech technických:</w:t>
      </w:r>
      <w:r w:rsidRPr="00BF0053">
        <w:rPr>
          <w:rFonts w:ascii="Arial" w:hAnsi="Arial" w:cs="Arial"/>
          <w:b/>
          <w:sz w:val="22"/>
          <w:szCs w:val="22"/>
        </w:rPr>
        <w:tab/>
      </w:r>
      <w:r w:rsidRPr="00BF0053">
        <w:rPr>
          <w:rFonts w:ascii="Arial" w:hAnsi="Arial" w:cs="Arial"/>
          <w:sz w:val="22"/>
          <w:szCs w:val="22"/>
        </w:rPr>
        <w:t>Janusz Gawlik</w:t>
      </w:r>
    </w:p>
    <w:p w:rsidR="00BF0053" w:rsidRPr="00BF0053" w:rsidRDefault="00BF0053" w:rsidP="00BF0053">
      <w:pPr>
        <w:tabs>
          <w:tab w:val="left" w:pos="3960"/>
        </w:tabs>
        <w:jc w:val="both"/>
        <w:rPr>
          <w:rFonts w:ascii="Arial" w:hAnsi="Arial" w:cs="Arial"/>
          <w:b/>
          <w:sz w:val="22"/>
          <w:szCs w:val="22"/>
        </w:rPr>
      </w:pPr>
      <w:r w:rsidRPr="00BF0053">
        <w:rPr>
          <w:rFonts w:ascii="Arial" w:hAnsi="Arial" w:cs="Arial"/>
          <w:b/>
          <w:sz w:val="22"/>
          <w:szCs w:val="22"/>
        </w:rPr>
        <w:t>stavbyvedoucí:</w:t>
      </w:r>
      <w:r w:rsidRPr="00BF0053">
        <w:rPr>
          <w:rFonts w:ascii="Arial" w:hAnsi="Arial" w:cs="Arial"/>
          <w:b/>
          <w:sz w:val="22"/>
          <w:szCs w:val="22"/>
        </w:rPr>
        <w:tab/>
      </w:r>
      <w:r w:rsidRPr="00BF0053">
        <w:rPr>
          <w:rFonts w:ascii="Arial" w:hAnsi="Arial" w:cs="Arial"/>
          <w:sz w:val="22"/>
          <w:szCs w:val="22"/>
        </w:rPr>
        <w:t>Ing. Jaroslav Rataj</w:t>
      </w:r>
    </w:p>
    <w:p w:rsidR="00BF0053" w:rsidRPr="00BF0053" w:rsidRDefault="00BF0053" w:rsidP="00BF0053">
      <w:pPr>
        <w:tabs>
          <w:tab w:val="left" w:pos="3960"/>
        </w:tabs>
        <w:jc w:val="both"/>
        <w:rPr>
          <w:rFonts w:ascii="Arial" w:hAnsi="Arial" w:cs="Arial"/>
          <w:sz w:val="22"/>
          <w:szCs w:val="22"/>
        </w:rPr>
      </w:pPr>
      <w:r w:rsidRPr="00BF0053">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t</w:t>
      </w:r>
      <w:r w:rsidRPr="00BF0053">
        <w:rPr>
          <w:rFonts w:ascii="Arial" w:hAnsi="Arial" w:cs="Arial"/>
          <w:sz w:val="22"/>
          <w:szCs w:val="22"/>
        </w:rPr>
        <w:t>el. 603 155</w:t>
      </w:r>
      <w:r w:rsidR="007A31F1">
        <w:rPr>
          <w:rFonts w:ascii="Arial" w:hAnsi="Arial" w:cs="Arial"/>
          <w:sz w:val="22"/>
          <w:szCs w:val="22"/>
        </w:rPr>
        <w:t> </w:t>
      </w:r>
      <w:r w:rsidRPr="00BF0053">
        <w:rPr>
          <w:rFonts w:ascii="Arial" w:hAnsi="Arial" w:cs="Arial"/>
          <w:sz w:val="22"/>
          <w:szCs w:val="22"/>
        </w:rPr>
        <w:t>878</w:t>
      </w:r>
      <w:r w:rsidR="007A31F1">
        <w:rPr>
          <w:rFonts w:ascii="Arial" w:hAnsi="Arial" w:cs="Arial"/>
          <w:sz w:val="22"/>
          <w:szCs w:val="22"/>
        </w:rPr>
        <w:t>,</w:t>
      </w:r>
      <w:r w:rsidRPr="00BF0053">
        <w:rPr>
          <w:rFonts w:ascii="Arial" w:hAnsi="Arial" w:cs="Arial"/>
          <w:sz w:val="22"/>
          <w:szCs w:val="22"/>
        </w:rPr>
        <w:t xml:space="preserve"> e-mail:jaroslav.rataj@centrum.cz</w:t>
      </w:r>
    </w:p>
    <w:p w:rsidR="007368EE" w:rsidRDefault="00BF0053" w:rsidP="007368EE">
      <w:pPr>
        <w:tabs>
          <w:tab w:val="left" w:pos="3960"/>
        </w:tabs>
        <w:rPr>
          <w:rFonts w:ascii="Arial" w:hAnsi="Arial" w:cs="Arial"/>
          <w:sz w:val="22"/>
          <w:szCs w:val="22"/>
        </w:rPr>
      </w:pPr>
      <w:r w:rsidRPr="00BF0053">
        <w:rPr>
          <w:rFonts w:ascii="Arial" w:hAnsi="Arial" w:cs="Arial"/>
          <w:b/>
          <w:sz w:val="22"/>
          <w:szCs w:val="22"/>
        </w:rPr>
        <w:t>manažer stavby:</w:t>
      </w:r>
      <w:r w:rsidRPr="00BF0053">
        <w:rPr>
          <w:rFonts w:ascii="Arial" w:hAnsi="Arial" w:cs="Arial"/>
          <w:b/>
          <w:sz w:val="22"/>
          <w:szCs w:val="22"/>
        </w:rPr>
        <w:tab/>
      </w:r>
      <w:r w:rsidRPr="00BF0053">
        <w:rPr>
          <w:rFonts w:ascii="Arial" w:hAnsi="Arial" w:cs="Arial"/>
          <w:sz w:val="22"/>
          <w:szCs w:val="22"/>
        </w:rPr>
        <w:t>Piotr Wrobel</w:t>
      </w:r>
      <w:r w:rsidR="003E0062">
        <w:rPr>
          <w:rFonts w:ascii="Arial" w:hAnsi="Arial" w:cs="Arial"/>
          <w:sz w:val="22"/>
          <w:szCs w:val="22"/>
        </w:rPr>
        <w:t>, t</w:t>
      </w:r>
      <w:r w:rsidR="003E0062" w:rsidRPr="00BF0053">
        <w:rPr>
          <w:rFonts w:ascii="Arial" w:hAnsi="Arial" w:cs="Arial"/>
          <w:sz w:val="22"/>
          <w:szCs w:val="22"/>
        </w:rPr>
        <w:t>el.</w:t>
      </w:r>
      <w:r w:rsidR="007368EE">
        <w:rPr>
          <w:rFonts w:ascii="Arial" w:hAnsi="Arial" w:cs="Arial"/>
          <w:sz w:val="22"/>
          <w:szCs w:val="22"/>
        </w:rPr>
        <w:t xml:space="preserve"> 722 089 601</w:t>
      </w:r>
      <w:r w:rsidR="003E0062">
        <w:rPr>
          <w:rFonts w:ascii="Arial" w:hAnsi="Arial" w:cs="Arial"/>
          <w:sz w:val="22"/>
          <w:szCs w:val="22"/>
        </w:rPr>
        <w:t xml:space="preserve">, </w:t>
      </w:r>
    </w:p>
    <w:p w:rsidR="00BF0053" w:rsidRPr="00BF0053" w:rsidRDefault="007368EE" w:rsidP="007368EE">
      <w:pPr>
        <w:tabs>
          <w:tab w:val="left" w:pos="3960"/>
        </w:tabs>
        <w:rPr>
          <w:rFonts w:ascii="Arial" w:hAnsi="Arial" w:cs="Arial"/>
          <w:b/>
          <w:sz w:val="22"/>
          <w:szCs w:val="22"/>
        </w:rPr>
      </w:pPr>
      <w:r>
        <w:rPr>
          <w:rFonts w:ascii="Arial" w:hAnsi="Arial" w:cs="Arial"/>
          <w:sz w:val="22"/>
          <w:szCs w:val="22"/>
        </w:rPr>
        <w:tab/>
      </w:r>
      <w:r w:rsidR="003E0062" w:rsidRPr="00BF0053">
        <w:rPr>
          <w:rFonts w:ascii="Arial" w:hAnsi="Arial" w:cs="Arial"/>
          <w:sz w:val="22"/>
          <w:szCs w:val="22"/>
        </w:rPr>
        <w:t>e-mail:</w:t>
      </w:r>
      <w:r>
        <w:rPr>
          <w:rFonts w:ascii="Arial" w:hAnsi="Arial" w:cs="Arial"/>
          <w:sz w:val="22"/>
          <w:szCs w:val="22"/>
        </w:rPr>
        <w:t xml:space="preserve"> piotrekw2@seznam.cz</w:t>
      </w:r>
    </w:p>
    <w:p w:rsidR="003E0062" w:rsidRDefault="003E0062" w:rsidP="00BF0053">
      <w:pPr>
        <w:tabs>
          <w:tab w:val="left" w:pos="3960"/>
        </w:tabs>
        <w:jc w:val="both"/>
        <w:rPr>
          <w:rFonts w:ascii="Arial" w:hAnsi="Arial" w:cs="Arial"/>
          <w:b/>
          <w:sz w:val="22"/>
          <w:szCs w:val="22"/>
        </w:rPr>
      </w:pPr>
    </w:p>
    <w:p w:rsidR="00BF0053" w:rsidRPr="00BF0053" w:rsidRDefault="00BF0053" w:rsidP="00BF0053">
      <w:pPr>
        <w:tabs>
          <w:tab w:val="left" w:pos="3960"/>
        </w:tabs>
        <w:jc w:val="both"/>
        <w:rPr>
          <w:rFonts w:ascii="Arial" w:hAnsi="Arial" w:cs="Arial"/>
          <w:sz w:val="22"/>
          <w:szCs w:val="22"/>
        </w:rPr>
      </w:pPr>
      <w:r w:rsidRPr="00BF0053">
        <w:rPr>
          <w:rFonts w:ascii="Arial" w:hAnsi="Arial" w:cs="Arial"/>
          <w:b/>
          <w:sz w:val="22"/>
          <w:szCs w:val="22"/>
        </w:rPr>
        <w:t>bankovní spojení:</w:t>
      </w:r>
      <w:r w:rsidRPr="00BF0053">
        <w:rPr>
          <w:rFonts w:ascii="Arial" w:hAnsi="Arial" w:cs="Arial"/>
          <w:b/>
          <w:sz w:val="22"/>
          <w:szCs w:val="22"/>
        </w:rPr>
        <w:tab/>
      </w:r>
      <w:r w:rsidRPr="00BF0053">
        <w:rPr>
          <w:rFonts w:ascii="Arial" w:hAnsi="Arial" w:cs="Arial"/>
          <w:sz w:val="22"/>
          <w:szCs w:val="22"/>
        </w:rPr>
        <w:t>ČSOB Klatovy</w:t>
      </w:r>
    </w:p>
    <w:p w:rsidR="00BF0053" w:rsidRPr="00BF0053" w:rsidRDefault="00BF0053" w:rsidP="00BF0053">
      <w:pPr>
        <w:tabs>
          <w:tab w:val="left" w:pos="3960"/>
        </w:tabs>
        <w:jc w:val="both"/>
        <w:rPr>
          <w:rFonts w:ascii="Arial" w:hAnsi="Arial" w:cs="Arial"/>
          <w:b/>
          <w:sz w:val="22"/>
          <w:szCs w:val="22"/>
        </w:rPr>
      </w:pPr>
      <w:r w:rsidRPr="00BF0053">
        <w:rPr>
          <w:rFonts w:ascii="Arial" w:hAnsi="Arial" w:cs="Arial"/>
          <w:b/>
          <w:sz w:val="22"/>
          <w:szCs w:val="22"/>
        </w:rPr>
        <w:t>číslo účtu:</w:t>
      </w:r>
      <w:r w:rsidRPr="00BF0053">
        <w:rPr>
          <w:rFonts w:ascii="Arial" w:hAnsi="Arial" w:cs="Arial"/>
          <w:b/>
          <w:sz w:val="22"/>
          <w:szCs w:val="22"/>
        </w:rPr>
        <w:tab/>
      </w:r>
      <w:r w:rsidRPr="00BF0053">
        <w:rPr>
          <w:rFonts w:ascii="Arial" w:hAnsi="Arial" w:cs="Arial"/>
          <w:sz w:val="22"/>
          <w:szCs w:val="22"/>
        </w:rPr>
        <w:t>275076004/0300</w:t>
      </w:r>
    </w:p>
    <w:p w:rsidR="00BF0053" w:rsidRPr="00BF0053" w:rsidRDefault="003E0062" w:rsidP="00BF0053">
      <w:pPr>
        <w:tabs>
          <w:tab w:val="left" w:pos="3960"/>
        </w:tabs>
        <w:jc w:val="both"/>
        <w:rPr>
          <w:rFonts w:ascii="Arial" w:hAnsi="Arial" w:cs="Arial"/>
          <w:b/>
          <w:sz w:val="22"/>
          <w:szCs w:val="22"/>
        </w:rPr>
      </w:pPr>
      <w:r>
        <w:rPr>
          <w:rFonts w:ascii="Arial" w:hAnsi="Arial" w:cs="Arial"/>
          <w:b/>
          <w:sz w:val="22"/>
          <w:szCs w:val="22"/>
        </w:rPr>
        <w:t xml:space="preserve"> </w:t>
      </w:r>
    </w:p>
    <w:p w:rsidR="001F59EB" w:rsidRPr="00BF0053" w:rsidRDefault="00BF0053" w:rsidP="00BF0053">
      <w:pPr>
        <w:tabs>
          <w:tab w:val="left" w:pos="3960"/>
        </w:tabs>
        <w:jc w:val="both"/>
        <w:rPr>
          <w:rFonts w:ascii="Arial" w:hAnsi="Arial" w:cs="Arial"/>
          <w:sz w:val="22"/>
          <w:szCs w:val="22"/>
        </w:rPr>
      </w:pPr>
      <w:r w:rsidRPr="00BF0053">
        <w:rPr>
          <w:rFonts w:ascii="Arial" w:hAnsi="Arial" w:cs="Arial"/>
          <w:sz w:val="22"/>
          <w:szCs w:val="22"/>
        </w:rPr>
        <w:t xml:space="preserve">zapsán v Obchodním rejstříku </w:t>
      </w:r>
      <w:r w:rsidR="003E0062">
        <w:rPr>
          <w:rFonts w:ascii="Arial" w:hAnsi="Arial" w:cs="Arial"/>
          <w:sz w:val="22"/>
          <w:szCs w:val="22"/>
        </w:rPr>
        <w:t xml:space="preserve">Krajského soudu </w:t>
      </w:r>
      <w:r w:rsidRPr="00BF0053">
        <w:rPr>
          <w:rFonts w:ascii="Arial" w:hAnsi="Arial" w:cs="Arial"/>
          <w:sz w:val="22"/>
          <w:szCs w:val="22"/>
        </w:rPr>
        <w:t>v Plzni, oddíl</w:t>
      </w:r>
      <w:r w:rsidR="003E0062">
        <w:rPr>
          <w:rFonts w:ascii="Arial" w:hAnsi="Arial" w:cs="Arial"/>
          <w:sz w:val="22"/>
          <w:szCs w:val="22"/>
        </w:rPr>
        <w:t xml:space="preserve"> B, vložka</w:t>
      </w:r>
      <w:r w:rsidRPr="00BF0053">
        <w:rPr>
          <w:rFonts w:ascii="Arial" w:hAnsi="Arial" w:cs="Arial"/>
          <w:sz w:val="22"/>
          <w:szCs w:val="22"/>
        </w:rPr>
        <w:t xml:space="preserve"> č. 1397</w:t>
      </w:r>
    </w:p>
    <w:p w:rsidR="001F59EB" w:rsidRDefault="001F59EB" w:rsidP="003E0062">
      <w:pPr>
        <w:tabs>
          <w:tab w:val="left" w:pos="3960"/>
        </w:tabs>
        <w:ind w:firstLine="708"/>
        <w:jc w:val="both"/>
        <w:rPr>
          <w:rFonts w:ascii="Arial" w:hAnsi="Arial" w:cs="Arial"/>
          <w:sz w:val="22"/>
          <w:szCs w:val="22"/>
        </w:rPr>
      </w:pPr>
      <w:r w:rsidRPr="00B1004E">
        <w:rPr>
          <w:rFonts w:ascii="Arial" w:hAnsi="Arial" w:cs="Arial"/>
          <w:sz w:val="22"/>
          <w:szCs w:val="22"/>
        </w:rPr>
        <w:tab/>
      </w: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1E7B6A" w:rsidRPr="00503A0C" w:rsidRDefault="001E7B6A" w:rsidP="001F59EB">
      <w:pPr>
        <w:jc w:val="both"/>
        <w:rPr>
          <w:rFonts w:ascii="Arial" w:hAnsi="Arial" w:cs="Arial"/>
          <w:sz w:val="22"/>
          <w:szCs w:val="22"/>
        </w:rPr>
      </w:pPr>
      <w:r w:rsidRPr="00503A0C">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1E7B6A" w:rsidRDefault="001E7B6A"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3E0062" w:rsidRDefault="0063236E" w:rsidP="003E0062">
      <w:pPr>
        <w:jc w:val="center"/>
        <w:rPr>
          <w:rFonts w:ascii="Arial" w:hAnsi="Arial" w:cs="Arial"/>
          <w:b/>
        </w:rPr>
      </w:pPr>
      <w:r w:rsidRPr="00503A0C">
        <w:rPr>
          <w:rFonts w:ascii="Arial" w:hAnsi="Arial" w:cs="Arial"/>
          <w:b/>
        </w:rPr>
        <w:t>Račí potok, Malšovice - rekonstrukce opevnění, výust do Labe</w:t>
      </w:r>
    </w:p>
    <w:p w:rsidR="001F59EB" w:rsidRPr="00B1004E" w:rsidRDefault="001F59EB" w:rsidP="001F59EB">
      <w:pPr>
        <w:jc w:val="both"/>
        <w:rPr>
          <w:rFonts w:ascii="Arial" w:hAnsi="Arial" w:cs="Arial"/>
          <w:sz w:val="22"/>
          <w:szCs w:val="22"/>
        </w:rPr>
      </w:pPr>
    </w:p>
    <w:p w:rsidR="001F59EB" w:rsidRPr="00B1004E" w:rsidRDefault="001F59EB" w:rsidP="003E0062">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3E0062">
      <w:pPr>
        <w:jc w:val="both"/>
        <w:rPr>
          <w:rFonts w:ascii="Arial" w:hAnsi="Arial" w:cs="Arial"/>
          <w:sz w:val="22"/>
          <w:szCs w:val="22"/>
        </w:rPr>
      </w:pPr>
    </w:p>
    <w:p w:rsidR="001F59EB" w:rsidRPr="00B1004E" w:rsidRDefault="00267019" w:rsidP="003E006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3E0062">
      <w:pPr>
        <w:widowControl w:val="0"/>
        <w:numPr>
          <w:ilvl w:val="1"/>
          <w:numId w:val="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3E0062">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3E0062">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D35FAE" w:rsidRPr="00D74A50" w:rsidRDefault="00D35FAE" w:rsidP="003E006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3E006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3E006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3E006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3E0062">
      <w:pPr>
        <w:jc w:val="both"/>
        <w:rPr>
          <w:rFonts w:ascii="Arial" w:hAnsi="Arial" w:cs="Arial"/>
          <w:sz w:val="22"/>
          <w:szCs w:val="22"/>
        </w:rPr>
      </w:pPr>
    </w:p>
    <w:p w:rsidR="003B64FE" w:rsidRPr="00503A0C" w:rsidRDefault="003B64FE" w:rsidP="003E0062">
      <w:pPr>
        <w:overflowPunct/>
        <w:autoSpaceDE/>
        <w:autoSpaceDN/>
        <w:adjustRightInd/>
        <w:jc w:val="both"/>
        <w:textAlignment w:val="auto"/>
        <w:rPr>
          <w:rFonts w:ascii="Arial" w:hAnsi="Arial" w:cs="Arial"/>
          <w:b/>
          <w:sz w:val="22"/>
          <w:szCs w:val="22"/>
        </w:rPr>
      </w:pPr>
      <w:r w:rsidRPr="00503A0C">
        <w:rPr>
          <w:rFonts w:ascii="Arial" w:hAnsi="Arial" w:cs="Arial"/>
          <w:b/>
          <w:sz w:val="22"/>
          <w:szCs w:val="22"/>
        </w:rPr>
        <w:t xml:space="preserve">Plnění smlouvy je požadováno v návaznosti na Rozhodnutí o poskytnutí dotace, včetně položkového rozpočtu stavebních nákladů. </w:t>
      </w:r>
    </w:p>
    <w:p w:rsidR="003B64FE" w:rsidRPr="00B1004E" w:rsidRDefault="003B64FE" w:rsidP="003E0062">
      <w:pPr>
        <w:jc w:val="both"/>
        <w:rPr>
          <w:rFonts w:ascii="Arial" w:hAnsi="Arial" w:cs="Arial"/>
          <w:sz w:val="22"/>
          <w:szCs w:val="22"/>
        </w:rPr>
      </w:pPr>
    </w:p>
    <w:p w:rsidR="00F25381" w:rsidRPr="00386410" w:rsidRDefault="0074616E" w:rsidP="003E0062">
      <w:pPr>
        <w:pStyle w:val="Zkladntext"/>
        <w:widowControl/>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Pr="00410FA6"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821089"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E7B6A">
        <w:rPr>
          <w:rFonts w:ascii="Arial" w:hAnsi="Arial" w:cs="Arial"/>
          <w:snapToGrid w:val="0"/>
          <w:sz w:val="22"/>
          <w:szCs w:val="22"/>
        </w:rPr>
        <w:t xml:space="preserve">V případě, že byl objednatelem určen koordinátor BOZP je zhotovitel stavby povinen: </w:t>
      </w: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1E7B6A">
        <w:rPr>
          <w:rFonts w:ascii="Arial" w:hAnsi="Arial" w:cs="Arial"/>
          <w:snapToGrid w:val="0"/>
          <w:sz w:val="22"/>
          <w:szCs w:val="22"/>
        </w:rPr>
        <w:t>a)</w:t>
      </w:r>
      <w:r w:rsidRPr="001E7B6A">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821089" w:rsidRPr="001E7B6A"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E3E73" w:rsidRPr="00386410" w:rsidRDefault="00821089" w:rsidP="003E0062">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1E7B6A">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7F71B8">
        <w:rPr>
          <w:rFonts w:ascii="Arial" w:hAnsi="Arial" w:cs="Arial"/>
          <w:sz w:val="22"/>
          <w:szCs w:val="22"/>
        </w:rPr>
        <w:t>22.08.2016</w:t>
      </w:r>
      <w:r w:rsidR="005F34D9" w:rsidRPr="00386410">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B258D3">
        <w:rPr>
          <w:rFonts w:ascii="Arial" w:hAnsi="Arial" w:cs="Arial"/>
          <w:b/>
          <w:sz w:val="22"/>
          <w:szCs w:val="22"/>
        </w:rPr>
        <w:t xml:space="preserve">Ukončení </w:t>
      </w:r>
      <w:r w:rsidR="0009652F" w:rsidRPr="00B258D3">
        <w:rPr>
          <w:rFonts w:ascii="Arial" w:hAnsi="Arial" w:cs="Arial"/>
          <w:b/>
          <w:sz w:val="22"/>
          <w:szCs w:val="22"/>
        </w:rPr>
        <w:t>díla</w:t>
      </w:r>
      <w:r w:rsidRPr="00B258D3">
        <w:rPr>
          <w:rFonts w:ascii="Arial" w:hAnsi="Arial" w:cs="Arial"/>
          <w:b/>
          <w:sz w:val="22"/>
          <w:szCs w:val="22"/>
        </w:rPr>
        <w:t>:</w:t>
      </w:r>
      <w:r w:rsidRPr="00B258D3">
        <w:rPr>
          <w:rFonts w:ascii="Arial" w:hAnsi="Arial" w:cs="Arial"/>
          <w:b/>
          <w:sz w:val="22"/>
          <w:szCs w:val="22"/>
        </w:rPr>
        <w:tab/>
      </w:r>
      <w:r w:rsidR="0092548D" w:rsidRPr="00B258D3">
        <w:rPr>
          <w:rFonts w:ascii="Arial" w:hAnsi="Arial" w:cs="Arial"/>
          <w:b/>
          <w:sz w:val="22"/>
          <w:szCs w:val="22"/>
        </w:rPr>
        <w:tab/>
      </w:r>
      <w:r w:rsidR="00022CD4" w:rsidRPr="00B258D3">
        <w:rPr>
          <w:rFonts w:ascii="Arial" w:hAnsi="Arial" w:cs="Arial"/>
          <w:b/>
          <w:sz w:val="22"/>
          <w:szCs w:val="22"/>
        </w:rPr>
        <w:tab/>
      </w:r>
      <w:r w:rsidR="00022CD4" w:rsidRPr="00B258D3">
        <w:rPr>
          <w:rFonts w:ascii="Arial" w:hAnsi="Arial" w:cs="Arial"/>
          <w:b/>
          <w:sz w:val="22"/>
          <w:szCs w:val="22"/>
        </w:rPr>
        <w:tab/>
      </w:r>
      <w:r w:rsidR="0092548D" w:rsidRPr="00B258D3">
        <w:rPr>
          <w:rFonts w:ascii="Arial" w:hAnsi="Arial" w:cs="Arial"/>
          <w:b/>
          <w:sz w:val="22"/>
          <w:szCs w:val="22"/>
        </w:rPr>
        <w:tab/>
      </w:r>
      <w:r w:rsidR="00F565A0" w:rsidRPr="00503A0C">
        <w:rPr>
          <w:rFonts w:ascii="Arial" w:hAnsi="Arial" w:cs="Arial"/>
          <w:sz w:val="22"/>
          <w:szCs w:val="22"/>
        </w:rPr>
        <w:t>3</w:t>
      </w:r>
      <w:r w:rsidR="0063236E" w:rsidRPr="00503A0C">
        <w:rPr>
          <w:rFonts w:ascii="Arial" w:hAnsi="Arial" w:cs="Arial"/>
          <w:sz w:val="22"/>
          <w:szCs w:val="22"/>
        </w:rPr>
        <w:t>0</w:t>
      </w:r>
      <w:r w:rsidR="00F565A0" w:rsidRPr="00503A0C">
        <w:rPr>
          <w:rFonts w:ascii="Arial" w:hAnsi="Arial" w:cs="Arial"/>
          <w:sz w:val="22"/>
          <w:szCs w:val="22"/>
        </w:rPr>
        <w:t>.</w:t>
      </w:r>
      <w:r w:rsidR="0063236E" w:rsidRPr="00503A0C">
        <w:rPr>
          <w:rFonts w:ascii="Arial" w:hAnsi="Arial" w:cs="Arial"/>
          <w:sz w:val="22"/>
          <w:szCs w:val="22"/>
        </w:rPr>
        <w:t>1</w:t>
      </w:r>
      <w:r w:rsidR="00D35FAE" w:rsidRPr="00503A0C">
        <w:rPr>
          <w:rFonts w:ascii="Arial" w:hAnsi="Arial" w:cs="Arial"/>
          <w:sz w:val="22"/>
          <w:szCs w:val="22"/>
        </w:rPr>
        <w:t>1</w:t>
      </w:r>
      <w:r w:rsidR="00916305" w:rsidRPr="00503A0C">
        <w:rPr>
          <w:rFonts w:ascii="Arial" w:hAnsi="Arial" w:cs="Arial"/>
          <w:sz w:val="22"/>
          <w:szCs w:val="22"/>
        </w:rPr>
        <w:t>.201</w:t>
      </w:r>
      <w:r w:rsidR="00D35FAE" w:rsidRPr="00503A0C">
        <w:rPr>
          <w:rFonts w:ascii="Arial" w:hAnsi="Arial" w:cs="Arial"/>
          <w:sz w:val="22"/>
          <w:szCs w:val="22"/>
        </w:rPr>
        <w:t>6</w:t>
      </w:r>
    </w:p>
    <w:p w:rsidR="00DF49EE" w:rsidRDefault="00DF49EE" w:rsidP="00097EBA">
      <w:pPr>
        <w:overflowPunct/>
        <w:autoSpaceDE/>
        <w:autoSpaceDN/>
        <w:adjustRightInd/>
        <w:ind w:left="426"/>
        <w:textAlignment w:val="auto"/>
        <w:rPr>
          <w:rFonts w:ascii="Arial" w:hAnsi="Arial" w:cs="Arial"/>
          <w:sz w:val="22"/>
          <w:szCs w:val="22"/>
        </w:rPr>
      </w:pPr>
    </w:p>
    <w:p w:rsidR="005F34D9" w:rsidRPr="00B258D3" w:rsidRDefault="00D35FAE" w:rsidP="00097EBA">
      <w:pPr>
        <w:overflowPunct/>
        <w:autoSpaceDE/>
        <w:autoSpaceDN/>
        <w:adjustRightInd/>
        <w:ind w:left="426"/>
        <w:textAlignment w:val="auto"/>
        <w:rPr>
          <w:rFonts w:ascii="Arial" w:hAnsi="Arial" w:cs="Arial"/>
          <w:b/>
          <w:sz w:val="22"/>
          <w:szCs w:val="22"/>
        </w:rPr>
      </w:pPr>
      <w:r w:rsidRPr="00503A0C">
        <w:rPr>
          <w:rFonts w:ascii="Arial" w:hAnsi="Arial" w:cs="Arial"/>
          <w:sz w:val="22"/>
          <w:szCs w:val="22"/>
        </w:rPr>
        <w:t>Lhůty jsou uvažovány vč. technologických přestávek a klimatických vlivů (zimní období, zvýšené průtoky).</w:t>
      </w:r>
      <w:r w:rsidR="005F34D9" w:rsidRPr="00B258D3">
        <w:rPr>
          <w:rFonts w:ascii="Arial" w:hAnsi="Arial" w:cs="Arial"/>
          <w:sz w:val="22"/>
          <w:szCs w:val="22"/>
        </w:rPr>
        <w:t xml:space="preserve"> </w:t>
      </w: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985152" w:rsidRPr="00D74A50" w:rsidRDefault="00985152" w:rsidP="00985152">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C6AC3">
        <w:rPr>
          <w:rFonts w:ascii="Arial" w:hAnsi="Arial" w:cs="Arial"/>
          <w:b/>
          <w:sz w:val="22"/>
          <w:szCs w:val="22"/>
        </w:rPr>
        <w:t>1 204 808,54 Kč</w:t>
      </w:r>
    </w:p>
    <w:p w:rsidR="00985152" w:rsidRPr="001D35DA" w:rsidRDefault="0063236E" w:rsidP="00985152">
      <w:pPr>
        <w:spacing w:before="120"/>
        <w:ind w:left="360"/>
        <w:jc w:val="both"/>
        <w:rPr>
          <w:rFonts w:ascii="Arial" w:hAnsi="Arial" w:cs="Arial"/>
          <w:sz w:val="22"/>
          <w:szCs w:val="22"/>
          <w:highlight w:val="yellow"/>
        </w:rPr>
      </w:pPr>
      <w:r w:rsidRPr="00503A0C">
        <w:rPr>
          <w:rFonts w:ascii="Arial" w:hAnsi="Arial" w:cs="Arial"/>
          <w:sz w:val="22"/>
          <w:szCs w:val="22"/>
        </w:rPr>
        <w:t>investice: SO + VON</w:t>
      </w:r>
      <w:r w:rsidR="00985152" w:rsidRPr="0063236E">
        <w:rPr>
          <w:rFonts w:ascii="Arial" w:hAnsi="Arial" w:cs="Arial"/>
          <w:sz w:val="22"/>
          <w:szCs w:val="22"/>
        </w:rPr>
        <w:tab/>
      </w:r>
      <w:r w:rsidR="00985152" w:rsidRPr="0063236E">
        <w:rPr>
          <w:rFonts w:ascii="Arial" w:hAnsi="Arial" w:cs="Arial"/>
          <w:sz w:val="22"/>
          <w:szCs w:val="22"/>
        </w:rPr>
        <w:tab/>
      </w:r>
      <w:r w:rsidR="00985152" w:rsidRPr="0063236E">
        <w:rPr>
          <w:rFonts w:ascii="Arial" w:hAnsi="Arial" w:cs="Arial"/>
          <w:sz w:val="22"/>
          <w:szCs w:val="22"/>
        </w:rPr>
        <w:tab/>
      </w:r>
      <w:r w:rsidR="00985152" w:rsidRPr="0063236E">
        <w:rPr>
          <w:rFonts w:ascii="Arial" w:hAnsi="Arial" w:cs="Arial"/>
          <w:sz w:val="22"/>
          <w:szCs w:val="22"/>
        </w:rPr>
        <w:tab/>
      </w:r>
      <w:r w:rsidR="00985152" w:rsidRPr="0063236E">
        <w:rPr>
          <w:rFonts w:ascii="Arial" w:hAnsi="Arial" w:cs="Arial"/>
          <w:sz w:val="22"/>
          <w:szCs w:val="22"/>
        </w:rPr>
        <w:tab/>
      </w:r>
      <w:r w:rsidR="00985152" w:rsidRPr="0063236E">
        <w:rPr>
          <w:rFonts w:ascii="Arial" w:hAnsi="Arial" w:cs="Arial"/>
          <w:sz w:val="22"/>
          <w:szCs w:val="22"/>
        </w:rPr>
        <w:tab/>
      </w:r>
      <w:r w:rsidR="00985152" w:rsidRPr="0063236E">
        <w:rPr>
          <w:rFonts w:ascii="Arial" w:hAnsi="Arial" w:cs="Arial"/>
          <w:sz w:val="22"/>
          <w:szCs w:val="22"/>
        </w:rPr>
        <w:tab/>
      </w:r>
    </w:p>
    <w:p w:rsidR="006A3650" w:rsidRDefault="000C6AC3" w:rsidP="006A3650">
      <w:pPr>
        <w:ind w:firstLine="360"/>
        <w:jc w:val="both"/>
        <w:rPr>
          <w:rFonts w:ascii="Arial" w:hAnsi="Arial" w:cs="Arial"/>
          <w:sz w:val="22"/>
          <w:szCs w:val="22"/>
        </w:rPr>
      </w:pPr>
      <w:r>
        <w:rPr>
          <w:rFonts w:ascii="Arial" w:hAnsi="Arial" w:cs="Arial"/>
          <w:sz w:val="22"/>
          <w:szCs w:val="22"/>
        </w:rPr>
        <w:t>SO                                                                                         1 140 208,54 Kč</w:t>
      </w:r>
    </w:p>
    <w:p w:rsidR="000C6AC3" w:rsidRPr="00D74A50" w:rsidRDefault="000C6AC3" w:rsidP="006A3650">
      <w:pPr>
        <w:ind w:firstLine="360"/>
        <w:jc w:val="both"/>
        <w:rPr>
          <w:rFonts w:ascii="Arial" w:hAnsi="Arial" w:cs="Arial"/>
          <w:sz w:val="22"/>
          <w:szCs w:val="22"/>
        </w:rPr>
      </w:pPr>
      <w:r>
        <w:rPr>
          <w:rFonts w:ascii="Arial" w:hAnsi="Arial" w:cs="Arial"/>
          <w:sz w:val="22"/>
          <w:szCs w:val="22"/>
        </w:rPr>
        <w:t>0VON</w:t>
      </w:r>
      <w:r>
        <w:rPr>
          <w:rFonts w:ascii="Arial" w:hAnsi="Arial" w:cs="Arial"/>
          <w:sz w:val="22"/>
          <w:szCs w:val="22"/>
        </w:rPr>
        <w:tab/>
        <w:t xml:space="preserve">                                                                                  64 600,00 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Default="00802CE7"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821089" w:rsidRDefault="00821089" w:rsidP="00821089">
      <w:pPr>
        <w:pStyle w:val="Odstavecseseznamem"/>
        <w:numPr>
          <w:ilvl w:val="3"/>
          <w:numId w:val="3"/>
        </w:numPr>
        <w:spacing w:line="240" w:lineRule="auto"/>
        <w:jc w:val="both"/>
        <w:rPr>
          <w:rFonts w:ascii="Arial" w:hAnsi="Arial" w:cs="Arial"/>
          <w:color w:val="auto"/>
          <w:sz w:val="22"/>
          <w:szCs w:val="22"/>
        </w:rPr>
      </w:pPr>
      <w:r w:rsidRPr="001E7B6A">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w:t>
      </w:r>
      <w:r w:rsidRPr="003A660E">
        <w:rPr>
          <w:rFonts w:ascii="Arial" w:hAnsi="Arial" w:cs="Arial"/>
          <w:color w:val="auto"/>
          <w:sz w:val="22"/>
          <w:szCs w:val="22"/>
        </w:rPr>
        <w:t>-li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AB4A35" w:rsidRDefault="009B5D5A" w:rsidP="00AB4A35">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916BB" w:rsidRPr="006916BB" w:rsidRDefault="006916BB" w:rsidP="006916BB">
      <w:pPr>
        <w:pStyle w:val="Odstavecseseznamem"/>
        <w:spacing w:after="0" w:line="240" w:lineRule="auto"/>
        <w:ind w:left="360"/>
        <w:jc w:val="both"/>
        <w:rPr>
          <w:rFonts w:ascii="Arial" w:hAnsi="Arial" w:cs="Arial"/>
          <w:color w:val="auto"/>
          <w:sz w:val="22"/>
          <w:szCs w:val="22"/>
        </w:rPr>
      </w:pPr>
    </w:p>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F7151F" w:rsidRPr="001E7B6A">
        <w:rPr>
          <w:rFonts w:ascii="Arial" w:hAnsi="Arial" w:cs="Arial"/>
          <w:b/>
          <w:color w:val="auto"/>
          <w:sz w:val="22"/>
          <w:szCs w:val="22"/>
        </w:rPr>
        <w:t>60</w:t>
      </w:r>
      <w:r w:rsidRPr="001E7B6A">
        <w:rPr>
          <w:rFonts w:ascii="Arial" w:hAnsi="Arial" w:cs="Arial"/>
          <w:color w:val="auto"/>
          <w:sz w:val="22"/>
          <w:szCs w:val="22"/>
        </w:rPr>
        <w:t xml:space="preserve"> d</w:t>
      </w:r>
      <w:r w:rsidRPr="0059593F">
        <w:rPr>
          <w:rFonts w:ascii="Arial" w:hAnsi="Arial" w:cs="Arial"/>
          <w:color w:val="auto"/>
          <w:sz w:val="22"/>
          <w:szCs w:val="22"/>
        </w:rPr>
        <w:t>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AB4A35" w:rsidRPr="006916BB" w:rsidRDefault="0059593F" w:rsidP="00AB4A35">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63236E">
      <w:pPr>
        <w:pStyle w:val="A-odstavecodsazensodrkami"/>
        <w:numPr>
          <w:ilvl w:val="0"/>
          <w:numId w:val="0"/>
        </w:numPr>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Default="0011076F" w:rsidP="00E97587">
      <w:pPr>
        <w:pStyle w:val="Zkladntext"/>
        <w:widowControl/>
        <w:jc w:val="center"/>
        <w:rPr>
          <w:rFonts w:cs="Arial"/>
          <w:b/>
          <w:sz w:val="22"/>
          <w:szCs w:val="22"/>
          <w:u w:val="single"/>
        </w:rPr>
      </w:pPr>
    </w:p>
    <w:p w:rsidR="006916BB" w:rsidRPr="00386410" w:rsidRDefault="006916BB" w:rsidP="00E97587">
      <w:pPr>
        <w:pStyle w:val="Zkladntext"/>
        <w:widowControl/>
        <w:jc w:val="center"/>
        <w:rPr>
          <w:rFonts w:cs="Arial"/>
          <w:b/>
          <w:sz w:val="22"/>
          <w:szCs w:val="22"/>
          <w:u w:val="single"/>
        </w:rPr>
      </w:pPr>
    </w:p>
    <w:p w:rsidR="00E97587" w:rsidRPr="00386410" w:rsidRDefault="00C66556" w:rsidP="006916BB">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6916BB">
      <w:pPr>
        <w:widowControl w:val="0"/>
        <w:jc w:val="both"/>
        <w:rPr>
          <w:rFonts w:ascii="Arial" w:hAnsi="Arial" w:cs="Arial"/>
          <w:b/>
          <w:sz w:val="22"/>
          <w:szCs w:val="22"/>
        </w:rPr>
      </w:pPr>
    </w:p>
    <w:p w:rsidR="002A1D58" w:rsidRPr="00BB16E1" w:rsidRDefault="002A1D58" w:rsidP="006916BB">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6916BB">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916BB" w:rsidRDefault="006916BB" w:rsidP="006916BB">
      <w:pPr>
        <w:pStyle w:val="Citace1"/>
        <w:tabs>
          <w:tab w:val="left" w:pos="360"/>
        </w:tabs>
        <w:spacing w:after="0" w:line="240" w:lineRule="auto"/>
        <w:ind w:left="426"/>
        <w:jc w:val="both"/>
        <w:rPr>
          <w:rFonts w:ascii="Arial" w:hAnsi="Arial" w:cs="Arial"/>
          <w:i w:val="0"/>
          <w:color w:val="auto"/>
          <w:sz w:val="22"/>
          <w:szCs w:val="22"/>
        </w:rPr>
      </w:pPr>
    </w:p>
    <w:p w:rsidR="002A1D58" w:rsidRPr="002A1D58" w:rsidRDefault="002A1D58" w:rsidP="006916BB">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6916BB">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6916BB">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6916BB">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6916BB" w:rsidRDefault="006916BB" w:rsidP="006916BB">
      <w:pPr>
        <w:pStyle w:val="Citace1"/>
        <w:tabs>
          <w:tab w:val="left" w:pos="360"/>
        </w:tabs>
        <w:spacing w:after="0" w:line="240" w:lineRule="auto"/>
        <w:ind w:left="426"/>
        <w:jc w:val="both"/>
        <w:rPr>
          <w:rFonts w:ascii="Arial" w:hAnsi="Arial" w:cs="Arial"/>
          <w:i w:val="0"/>
          <w:color w:val="auto"/>
          <w:sz w:val="22"/>
          <w:szCs w:val="22"/>
        </w:rPr>
      </w:pPr>
    </w:p>
    <w:p w:rsidR="002A1D58" w:rsidRPr="002A1D58" w:rsidRDefault="002A1D58" w:rsidP="006916BB">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916BB" w:rsidRDefault="006916BB" w:rsidP="006916BB">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6916BB">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2A1D58" w:rsidRDefault="004070EF" w:rsidP="006916BB">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6916BB" w:rsidRPr="006916BB" w:rsidRDefault="006916BB" w:rsidP="006916BB"/>
    <w:p w:rsidR="00E97587" w:rsidRDefault="00E97587" w:rsidP="006916BB">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6916BB">
      <w:pPr>
        <w:pStyle w:val="Zkladntext"/>
        <w:widowControl/>
        <w:tabs>
          <w:tab w:val="left" w:pos="360"/>
        </w:tabs>
        <w:jc w:val="both"/>
        <w:rPr>
          <w:rFonts w:cs="Arial"/>
          <w:sz w:val="22"/>
          <w:szCs w:val="22"/>
        </w:rPr>
      </w:pPr>
    </w:p>
    <w:p w:rsidR="009402A7" w:rsidRPr="009402A7" w:rsidRDefault="009402A7" w:rsidP="006916BB">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6916BB">
      <w:pPr>
        <w:pStyle w:val="Zkladntext"/>
        <w:widowControl/>
        <w:tabs>
          <w:tab w:val="left" w:pos="360"/>
        </w:tabs>
        <w:ind w:left="360"/>
        <w:jc w:val="both"/>
        <w:rPr>
          <w:rFonts w:cs="Arial"/>
          <w:sz w:val="22"/>
          <w:szCs w:val="22"/>
        </w:rPr>
      </w:pPr>
    </w:p>
    <w:p w:rsidR="009402A7" w:rsidRPr="009402A7" w:rsidRDefault="009402A7" w:rsidP="006916BB">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6916BB">
      <w:pPr>
        <w:pStyle w:val="Zkladntext"/>
        <w:widowControl/>
        <w:jc w:val="both"/>
        <w:rPr>
          <w:rFonts w:cs="Arial"/>
          <w:sz w:val="22"/>
          <w:szCs w:val="22"/>
        </w:rPr>
      </w:pPr>
    </w:p>
    <w:p w:rsidR="00346C0D" w:rsidRPr="00386410" w:rsidRDefault="0011076F" w:rsidP="006916BB">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6916BB">
      <w:pPr>
        <w:pStyle w:val="Zkladntext"/>
        <w:widowControl/>
        <w:tabs>
          <w:tab w:val="left" w:pos="360"/>
        </w:tabs>
        <w:jc w:val="both"/>
        <w:rPr>
          <w:rFonts w:cs="Arial"/>
          <w:sz w:val="22"/>
          <w:szCs w:val="22"/>
        </w:rPr>
      </w:pPr>
    </w:p>
    <w:p w:rsidR="008D36CC" w:rsidRPr="003E0062" w:rsidRDefault="009402A7" w:rsidP="006916BB">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98025D" w:rsidRPr="00386410" w:rsidRDefault="0098025D" w:rsidP="006916BB">
      <w:pPr>
        <w:widowControl w:val="0"/>
        <w:jc w:val="both"/>
        <w:rPr>
          <w:rFonts w:ascii="Arial" w:hAnsi="Arial" w:cs="Arial"/>
          <w:b/>
          <w:sz w:val="22"/>
          <w:szCs w:val="22"/>
        </w:rPr>
      </w:pPr>
    </w:p>
    <w:p w:rsidR="00E97587" w:rsidRPr="00386410" w:rsidRDefault="00C66556" w:rsidP="006916BB">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6916BB">
      <w:pPr>
        <w:widowControl w:val="0"/>
        <w:jc w:val="both"/>
        <w:rPr>
          <w:rFonts w:ascii="Arial" w:hAnsi="Arial" w:cs="Arial"/>
          <w:b/>
          <w:sz w:val="22"/>
          <w:szCs w:val="22"/>
        </w:rPr>
      </w:pPr>
    </w:p>
    <w:p w:rsidR="00E97587" w:rsidRPr="00386410" w:rsidRDefault="00E97587" w:rsidP="006916BB">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814909" w:rsidRPr="006916BB" w:rsidRDefault="00E97587" w:rsidP="006916BB">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520546" w:rsidRDefault="00520546"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3E0062">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4F17E5"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E0062" w:rsidRDefault="00FB618E" w:rsidP="00F33F69">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w:t>
      </w:r>
      <w:r w:rsidRPr="003E0062">
        <w:rPr>
          <w:rFonts w:cs="Arial"/>
          <w:sz w:val="22"/>
          <w:szCs w:val="22"/>
        </w:rPr>
        <w:t xml:space="preserve">Tato </w:t>
      </w:r>
      <w:r w:rsidR="00503A0C" w:rsidRPr="003E0062">
        <w:rPr>
          <w:rFonts w:cs="Arial"/>
          <w:sz w:val="22"/>
          <w:szCs w:val="22"/>
        </w:rPr>
        <w:t>smlouva je vyhotovena ve dvou</w:t>
      </w:r>
      <w:r w:rsidRPr="003E0062">
        <w:rPr>
          <w:rFonts w:cs="Arial"/>
          <w:sz w:val="22"/>
          <w:szCs w:val="22"/>
        </w:rPr>
        <w:t xml:space="preserve"> vyhotoveních, z nichž každé má platnost originálu. </w:t>
      </w:r>
      <w:r w:rsidRPr="003E0062">
        <w:rPr>
          <w:rFonts w:cs="Arial"/>
          <w:bCs/>
          <w:sz w:val="22"/>
          <w:szCs w:val="22"/>
        </w:rPr>
        <w:t>Kaž</w:t>
      </w:r>
      <w:r w:rsidR="00503A0C" w:rsidRPr="003E0062">
        <w:rPr>
          <w:rFonts w:cs="Arial"/>
          <w:bCs/>
          <w:sz w:val="22"/>
          <w:szCs w:val="22"/>
        </w:rPr>
        <w:t>dá ze smluvních stran obdrží jedno</w:t>
      </w:r>
      <w:r w:rsidRPr="003E0062">
        <w:rPr>
          <w:rFonts w:cs="Arial"/>
          <w:bCs/>
          <w:sz w:val="22"/>
          <w:szCs w:val="22"/>
        </w:rPr>
        <w:t xml:space="preserve"> vyhotovení smlouvy.</w:t>
      </w:r>
      <w:r w:rsidR="0096148E" w:rsidRPr="003E0062">
        <w:rPr>
          <w:rFonts w:cs="Arial"/>
          <w:sz w:val="22"/>
          <w:szCs w:val="22"/>
        </w:rPr>
        <w:t xml:space="preserve"> </w:t>
      </w:r>
    </w:p>
    <w:p w:rsidR="0096148E" w:rsidRPr="00386410" w:rsidRDefault="0096148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96148E"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5454B7">
        <w:rPr>
          <w:rFonts w:ascii="Arial" w:hAnsi="Arial" w:cs="Arial"/>
          <w:sz w:val="22"/>
          <w:szCs w:val="22"/>
        </w:rPr>
        <w:t>17.08.2016</w:t>
      </w:r>
      <w:bookmarkStart w:id="0" w:name="_GoBack"/>
      <w:bookmarkEnd w:id="0"/>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00BF0053">
        <w:rPr>
          <w:rFonts w:ascii="Arial" w:hAnsi="Arial" w:cs="Arial"/>
          <w:sz w:val="22"/>
          <w:szCs w:val="22"/>
        </w:rPr>
        <w:t xml:space="preserve">V Jetenovicích </w:t>
      </w:r>
      <w:r w:rsidRPr="00386410">
        <w:rPr>
          <w:rFonts w:ascii="Arial" w:hAnsi="Arial" w:cs="Arial"/>
          <w:sz w:val="22"/>
          <w:szCs w:val="22"/>
        </w:rPr>
        <w:t>dne</w:t>
      </w:r>
      <w:r w:rsidR="005454B7">
        <w:rPr>
          <w:rFonts w:ascii="Arial" w:hAnsi="Arial" w:cs="Arial"/>
          <w:sz w:val="22"/>
          <w:szCs w:val="22"/>
        </w:rPr>
        <w:t xml:space="preserve"> 16.08.2016</w:t>
      </w:r>
    </w:p>
    <w:p w:rsidR="0096148E" w:rsidRPr="00386410" w:rsidRDefault="00BF0053" w:rsidP="002D1039">
      <w:pPr>
        <w:keepNext/>
        <w:jc w:val="both"/>
        <w:rPr>
          <w:rFonts w:ascii="Arial" w:hAnsi="Arial" w:cs="Arial"/>
          <w:sz w:val="22"/>
          <w:szCs w:val="22"/>
        </w:rPr>
      </w:pPr>
      <w:r>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6916BB" w:rsidRDefault="006916BB" w:rsidP="002D1039">
      <w:pPr>
        <w:keepNext/>
        <w:jc w:val="both"/>
        <w:rPr>
          <w:rFonts w:ascii="Arial" w:hAnsi="Arial" w:cs="Arial"/>
          <w:sz w:val="22"/>
          <w:szCs w:val="22"/>
        </w:rPr>
      </w:pPr>
    </w:p>
    <w:p w:rsidR="006916BB" w:rsidRDefault="006916BB"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BF0053">
        <w:rPr>
          <w:rFonts w:ascii="Arial" w:hAnsi="Arial" w:cs="Arial"/>
          <w:sz w:val="22"/>
          <w:szCs w:val="22"/>
        </w:rPr>
        <w:t>Janusz Gawlik</w:t>
      </w:r>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6916BB">
        <w:rPr>
          <w:rFonts w:ascii="Arial" w:hAnsi="Arial" w:cs="Arial"/>
          <w:sz w:val="22"/>
          <w:szCs w:val="22"/>
        </w:rPr>
        <w:t>člen</w:t>
      </w:r>
      <w:r w:rsidR="00BF0053">
        <w:rPr>
          <w:rFonts w:ascii="Arial" w:hAnsi="Arial" w:cs="Arial"/>
          <w:sz w:val="22"/>
          <w:szCs w:val="22"/>
        </w:rPr>
        <w:t xml:space="preserve"> představenstva</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BF0053">
        <w:rPr>
          <w:rFonts w:ascii="Arial" w:hAnsi="Arial" w:cs="Arial"/>
          <w:sz w:val="22"/>
          <w:szCs w:val="22"/>
        </w:rPr>
        <w:t xml:space="preserve">                      V&amp;J Stavební, a.s.</w:t>
      </w:r>
    </w:p>
    <w:sectPr w:rsidR="00437893" w:rsidRPr="00386410"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27" w:rsidRDefault="00355627">
      <w:r>
        <w:separator/>
      </w:r>
    </w:p>
  </w:endnote>
  <w:endnote w:type="continuationSeparator" w:id="0">
    <w:p w:rsidR="00355627" w:rsidRDefault="0035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ED37E7"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ED37E7" w:rsidRPr="008962AD">
      <w:rPr>
        <w:rFonts w:ascii="Arial" w:hAnsi="Arial" w:cs="Arial"/>
        <w:b/>
        <w:sz w:val="18"/>
        <w:szCs w:val="18"/>
      </w:rPr>
      <w:fldChar w:fldCharType="begin"/>
    </w:r>
    <w:r w:rsidRPr="008962AD">
      <w:rPr>
        <w:rFonts w:ascii="Arial" w:hAnsi="Arial" w:cs="Arial"/>
        <w:b/>
        <w:sz w:val="18"/>
        <w:szCs w:val="18"/>
      </w:rPr>
      <w:instrText>PAGE</w:instrText>
    </w:r>
    <w:r w:rsidR="00ED37E7" w:rsidRPr="008962AD">
      <w:rPr>
        <w:rFonts w:ascii="Arial" w:hAnsi="Arial" w:cs="Arial"/>
        <w:b/>
        <w:sz w:val="18"/>
        <w:szCs w:val="18"/>
      </w:rPr>
      <w:fldChar w:fldCharType="separate"/>
    </w:r>
    <w:r w:rsidR="005454B7">
      <w:rPr>
        <w:rFonts w:ascii="Arial" w:hAnsi="Arial" w:cs="Arial"/>
        <w:b/>
        <w:noProof/>
        <w:sz w:val="18"/>
        <w:szCs w:val="18"/>
      </w:rPr>
      <w:t>1</w:t>
    </w:r>
    <w:r w:rsidR="00ED37E7" w:rsidRPr="008962AD">
      <w:rPr>
        <w:rFonts w:ascii="Arial" w:hAnsi="Arial" w:cs="Arial"/>
        <w:b/>
        <w:sz w:val="18"/>
        <w:szCs w:val="18"/>
      </w:rPr>
      <w:fldChar w:fldCharType="end"/>
    </w:r>
    <w:r w:rsidRPr="008962AD">
      <w:rPr>
        <w:rFonts w:ascii="Arial" w:hAnsi="Arial" w:cs="Arial"/>
        <w:sz w:val="18"/>
        <w:szCs w:val="18"/>
      </w:rPr>
      <w:t xml:space="preserve"> z </w:t>
    </w:r>
    <w:r w:rsidR="00ED37E7" w:rsidRPr="008962AD">
      <w:rPr>
        <w:rFonts w:ascii="Arial" w:hAnsi="Arial" w:cs="Arial"/>
        <w:b/>
        <w:sz w:val="18"/>
        <w:szCs w:val="18"/>
      </w:rPr>
      <w:fldChar w:fldCharType="begin"/>
    </w:r>
    <w:r w:rsidRPr="008962AD">
      <w:rPr>
        <w:rFonts w:ascii="Arial" w:hAnsi="Arial" w:cs="Arial"/>
        <w:b/>
        <w:sz w:val="18"/>
        <w:szCs w:val="18"/>
      </w:rPr>
      <w:instrText>NUMPAGES</w:instrText>
    </w:r>
    <w:r w:rsidR="00ED37E7" w:rsidRPr="008962AD">
      <w:rPr>
        <w:rFonts w:ascii="Arial" w:hAnsi="Arial" w:cs="Arial"/>
        <w:b/>
        <w:sz w:val="18"/>
        <w:szCs w:val="18"/>
      </w:rPr>
      <w:fldChar w:fldCharType="separate"/>
    </w:r>
    <w:r w:rsidR="005454B7">
      <w:rPr>
        <w:rFonts w:ascii="Arial" w:hAnsi="Arial" w:cs="Arial"/>
        <w:b/>
        <w:noProof/>
        <w:sz w:val="18"/>
        <w:szCs w:val="18"/>
      </w:rPr>
      <w:t>1</w:t>
    </w:r>
    <w:r w:rsidR="00ED37E7"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ED37E7" w:rsidRPr="008962AD">
      <w:rPr>
        <w:rFonts w:ascii="Arial" w:hAnsi="Arial" w:cs="Arial"/>
        <w:b/>
        <w:sz w:val="18"/>
        <w:szCs w:val="18"/>
      </w:rPr>
      <w:fldChar w:fldCharType="begin"/>
    </w:r>
    <w:r w:rsidRPr="008962AD">
      <w:rPr>
        <w:rFonts w:ascii="Arial" w:hAnsi="Arial" w:cs="Arial"/>
        <w:b/>
        <w:sz w:val="18"/>
        <w:szCs w:val="18"/>
      </w:rPr>
      <w:instrText>PAGE</w:instrText>
    </w:r>
    <w:r w:rsidR="00ED37E7" w:rsidRPr="008962AD">
      <w:rPr>
        <w:rFonts w:ascii="Arial" w:hAnsi="Arial" w:cs="Arial"/>
        <w:b/>
        <w:sz w:val="18"/>
        <w:szCs w:val="18"/>
      </w:rPr>
      <w:fldChar w:fldCharType="separate"/>
    </w:r>
    <w:r w:rsidR="005454B7">
      <w:rPr>
        <w:rFonts w:ascii="Arial" w:hAnsi="Arial" w:cs="Arial"/>
        <w:b/>
        <w:noProof/>
        <w:sz w:val="18"/>
        <w:szCs w:val="18"/>
      </w:rPr>
      <w:t>7</w:t>
    </w:r>
    <w:r w:rsidR="00ED37E7" w:rsidRPr="008962AD">
      <w:rPr>
        <w:rFonts w:ascii="Arial" w:hAnsi="Arial" w:cs="Arial"/>
        <w:b/>
        <w:sz w:val="18"/>
        <w:szCs w:val="18"/>
      </w:rPr>
      <w:fldChar w:fldCharType="end"/>
    </w:r>
    <w:r w:rsidRPr="008962AD">
      <w:rPr>
        <w:rFonts w:ascii="Arial" w:hAnsi="Arial" w:cs="Arial"/>
        <w:sz w:val="18"/>
        <w:szCs w:val="18"/>
      </w:rPr>
      <w:t xml:space="preserve"> z </w:t>
    </w:r>
    <w:r w:rsidR="00ED37E7" w:rsidRPr="008962AD">
      <w:rPr>
        <w:rFonts w:ascii="Arial" w:hAnsi="Arial" w:cs="Arial"/>
        <w:b/>
        <w:sz w:val="18"/>
        <w:szCs w:val="18"/>
      </w:rPr>
      <w:fldChar w:fldCharType="begin"/>
    </w:r>
    <w:r w:rsidRPr="008962AD">
      <w:rPr>
        <w:rFonts w:ascii="Arial" w:hAnsi="Arial" w:cs="Arial"/>
        <w:b/>
        <w:sz w:val="18"/>
        <w:szCs w:val="18"/>
      </w:rPr>
      <w:instrText>NUMPAGES</w:instrText>
    </w:r>
    <w:r w:rsidR="00ED37E7" w:rsidRPr="008962AD">
      <w:rPr>
        <w:rFonts w:ascii="Arial" w:hAnsi="Arial" w:cs="Arial"/>
        <w:b/>
        <w:sz w:val="18"/>
        <w:szCs w:val="18"/>
      </w:rPr>
      <w:fldChar w:fldCharType="separate"/>
    </w:r>
    <w:r w:rsidR="005454B7">
      <w:rPr>
        <w:rFonts w:ascii="Arial" w:hAnsi="Arial" w:cs="Arial"/>
        <w:b/>
        <w:noProof/>
        <w:sz w:val="18"/>
        <w:szCs w:val="18"/>
      </w:rPr>
      <w:t>7</w:t>
    </w:r>
    <w:r w:rsidR="00ED37E7"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27" w:rsidRDefault="00355627">
      <w:r>
        <w:separator/>
      </w:r>
    </w:p>
  </w:footnote>
  <w:footnote w:type="continuationSeparator" w:id="0">
    <w:p w:rsidR="00355627" w:rsidRDefault="0035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1F84"/>
    <w:rsid w:val="0001372F"/>
    <w:rsid w:val="00022CD4"/>
    <w:rsid w:val="00032AD0"/>
    <w:rsid w:val="0003591B"/>
    <w:rsid w:val="000456A7"/>
    <w:rsid w:val="00047C9A"/>
    <w:rsid w:val="00053346"/>
    <w:rsid w:val="00061569"/>
    <w:rsid w:val="00072E35"/>
    <w:rsid w:val="00084D61"/>
    <w:rsid w:val="000903EA"/>
    <w:rsid w:val="0009652F"/>
    <w:rsid w:val="00097EBA"/>
    <w:rsid w:val="000A2FBD"/>
    <w:rsid w:val="000C6AC3"/>
    <w:rsid w:val="000D151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012A"/>
    <w:rsid w:val="001E5370"/>
    <w:rsid w:val="001E7B6A"/>
    <w:rsid w:val="001F0799"/>
    <w:rsid w:val="001F59EB"/>
    <w:rsid w:val="002044E5"/>
    <w:rsid w:val="0021752C"/>
    <w:rsid w:val="00224131"/>
    <w:rsid w:val="00232D66"/>
    <w:rsid w:val="00254299"/>
    <w:rsid w:val="00254A02"/>
    <w:rsid w:val="00255B29"/>
    <w:rsid w:val="00261A62"/>
    <w:rsid w:val="00267019"/>
    <w:rsid w:val="002704D9"/>
    <w:rsid w:val="00276393"/>
    <w:rsid w:val="00280678"/>
    <w:rsid w:val="002841E7"/>
    <w:rsid w:val="00291741"/>
    <w:rsid w:val="002A1B5C"/>
    <w:rsid w:val="002A1D58"/>
    <w:rsid w:val="002A6955"/>
    <w:rsid w:val="002C2C92"/>
    <w:rsid w:val="002D094A"/>
    <w:rsid w:val="002D1039"/>
    <w:rsid w:val="002E5D31"/>
    <w:rsid w:val="002E73A1"/>
    <w:rsid w:val="002F422C"/>
    <w:rsid w:val="002F51CF"/>
    <w:rsid w:val="00302394"/>
    <w:rsid w:val="003040A2"/>
    <w:rsid w:val="00312AFD"/>
    <w:rsid w:val="00324305"/>
    <w:rsid w:val="0032614C"/>
    <w:rsid w:val="003302BD"/>
    <w:rsid w:val="00346C0D"/>
    <w:rsid w:val="00350F03"/>
    <w:rsid w:val="00355627"/>
    <w:rsid w:val="003649B0"/>
    <w:rsid w:val="00386410"/>
    <w:rsid w:val="003B0717"/>
    <w:rsid w:val="003B64FE"/>
    <w:rsid w:val="003E0062"/>
    <w:rsid w:val="004070EF"/>
    <w:rsid w:val="00410FA6"/>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3A0C"/>
    <w:rsid w:val="00504E92"/>
    <w:rsid w:val="005074AA"/>
    <w:rsid w:val="00507772"/>
    <w:rsid w:val="00512B27"/>
    <w:rsid w:val="00516E1F"/>
    <w:rsid w:val="00520546"/>
    <w:rsid w:val="005247CA"/>
    <w:rsid w:val="00533916"/>
    <w:rsid w:val="005454B7"/>
    <w:rsid w:val="0055403F"/>
    <w:rsid w:val="00563FAB"/>
    <w:rsid w:val="00566C41"/>
    <w:rsid w:val="0057643B"/>
    <w:rsid w:val="0059593F"/>
    <w:rsid w:val="00595DCE"/>
    <w:rsid w:val="005D408E"/>
    <w:rsid w:val="005E7B3E"/>
    <w:rsid w:val="005F1702"/>
    <w:rsid w:val="005F34D9"/>
    <w:rsid w:val="00600AFF"/>
    <w:rsid w:val="00602394"/>
    <w:rsid w:val="00614245"/>
    <w:rsid w:val="0063236E"/>
    <w:rsid w:val="00632678"/>
    <w:rsid w:val="00640D5E"/>
    <w:rsid w:val="00640E47"/>
    <w:rsid w:val="00653562"/>
    <w:rsid w:val="00657C8C"/>
    <w:rsid w:val="0068009D"/>
    <w:rsid w:val="006916BB"/>
    <w:rsid w:val="0069597B"/>
    <w:rsid w:val="006A302C"/>
    <w:rsid w:val="006A3650"/>
    <w:rsid w:val="006B36F8"/>
    <w:rsid w:val="006C3A7F"/>
    <w:rsid w:val="006C60C0"/>
    <w:rsid w:val="006D4668"/>
    <w:rsid w:val="006E3463"/>
    <w:rsid w:val="006E5F9A"/>
    <w:rsid w:val="006F0ABF"/>
    <w:rsid w:val="00712F38"/>
    <w:rsid w:val="00714263"/>
    <w:rsid w:val="0072447F"/>
    <w:rsid w:val="0073003E"/>
    <w:rsid w:val="007368EE"/>
    <w:rsid w:val="00737155"/>
    <w:rsid w:val="0074616E"/>
    <w:rsid w:val="00767889"/>
    <w:rsid w:val="00786D51"/>
    <w:rsid w:val="00790057"/>
    <w:rsid w:val="00790434"/>
    <w:rsid w:val="007A31F1"/>
    <w:rsid w:val="007A7EC7"/>
    <w:rsid w:val="007C0DC1"/>
    <w:rsid w:val="007D016F"/>
    <w:rsid w:val="007E3C59"/>
    <w:rsid w:val="007F14CA"/>
    <w:rsid w:val="007F60BA"/>
    <w:rsid w:val="007F71B8"/>
    <w:rsid w:val="00802CE7"/>
    <w:rsid w:val="00813660"/>
    <w:rsid w:val="00814909"/>
    <w:rsid w:val="00814A0E"/>
    <w:rsid w:val="00821089"/>
    <w:rsid w:val="008272BB"/>
    <w:rsid w:val="008362BF"/>
    <w:rsid w:val="0084010F"/>
    <w:rsid w:val="00840765"/>
    <w:rsid w:val="00844FF1"/>
    <w:rsid w:val="00860849"/>
    <w:rsid w:val="0086126A"/>
    <w:rsid w:val="00883D67"/>
    <w:rsid w:val="0089536C"/>
    <w:rsid w:val="008962AD"/>
    <w:rsid w:val="008A107C"/>
    <w:rsid w:val="008A2650"/>
    <w:rsid w:val="008B343D"/>
    <w:rsid w:val="008C4FAD"/>
    <w:rsid w:val="008D07D7"/>
    <w:rsid w:val="008D36CC"/>
    <w:rsid w:val="008E2BD1"/>
    <w:rsid w:val="008E3E73"/>
    <w:rsid w:val="008F25F9"/>
    <w:rsid w:val="0090228D"/>
    <w:rsid w:val="00916305"/>
    <w:rsid w:val="00917F5B"/>
    <w:rsid w:val="00924F8F"/>
    <w:rsid w:val="0092548D"/>
    <w:rsid w:val="00932681"/>
    <w:rsid w:val="009402A7"/>
    <w:rsid w:val="00940E3B"/>
    <w:rsid w:val="0095255A"/>
    <w:rsid w:val="0095379D"/>
    <w:rsid w:val="0096148E"/>
    <w:rsid w:val="0098025D"/>
    <w:rsid w:val="009843E0"/>
    <w:rsid w:val="00985152"/>
    <w:rsid w:val="00986C5D"/>
    <w:rsid w:val="00991B86"/>
    <w:rsid w:val="00993C95"/>
    <w:rsid w:val="00996306"/>
    <w:rsid w:val="009A35C0"/>
    <w:rsid w:val="009B5D5A"/>
    <w:rsid w:val="009B783F"/>
    <w:rsid w:val="009C77AA"/>
    <w:rsid w:val="009D2E1E"/>
    <w:rsid w:val="009D488B"/>
    <w:rsid w:val="009D4F1F"/>
    <w:rsid w:val="009E2BB6"/>
    <w:rsid w:val="009F0F3A"/>
    <w:rsid w:val="009F27E1"/>
    <w:rsid w:val="00A176C0"/>
    <w:rsid w:val="00A17AC6"/>
    <w:rsid w:val="00A467E6"/>
    <w:rsid w:val="00A50CE8"/>
    <w:rsid w:val="00A70CF1"/>
    <w:rsid w:val="00A903B8"/>
    <w:rsid w:val="00A92795"/>
    <w:rsid w:val="00A97AD7"/>
    <w:rsid w:val="00AA0137"/>
    <w:rsid w:val="00AA4198"/>
    <w:rsid w:val="00AB1BCA"/>
    <w:rsid w:val="00AB3ADF"/>
    <w:rsid w:val="00AB4A35"/>
    <w:rsid w:val="00AB507D"/>
    <w:rsid w:val="00AC54E3"/>
    <w:rsid w:val="00AD1BFF"/>
    <w:rsid w:val="00AD2AD8"/>
    <w:rsid w:val="00AE1208"/>
    <w:rsid w:val="00AE2945"/>
    <w:rsid w:val="00AF18A0"/>
    <w:rsid w:val="00AF4297"/>
    <w:rsid w:val="00AF4EBA"/>
    <w:rsid w:val="00B1293D"/>
    <w:rsid w:val="00B14373"/>
    <w:rsid w:val="00B20CF7"/>
    <w:rsid w:val="00B258D3"/>
    <w:rsid w:val="00B32BA0"/>
    <w:rsid w:val="00B3760F"/>
    <w:rsid w:val="00B46AE4"/>
    <w:rsid w:val="00B640F3"/>
    <w:rsid w:val="00B76C65"/>
    <w:rsid w:val="00B80D3D"/>
    <w:rsid w:val="00B847E2"/>
    <w:rsid w:val="00BA3576"/>
    <w:rsid w:val="00BB0930"/>
    <w:rsid w:val="00BB0952"/>
    <w:rsid w:val="00BB16E1"/>
    <w:rsid w:val="00BC6B58"/>
    <w:rsid w:val="00BD0321"/>
    <w:rsid w:val="00BD51C5"/>
    <w:rsid w:val="00BD5E01"/>
    <w:rsid w:val="00BD5F7E"/>
    <w:rsid w:val="00BF0053"/>
    <w:rsid w:val="00BF1E18"/>
    <w:rsid w:val="00BF3D9B"/>
    <w:rsid w:val="00C03258"/>
    <w:rsid w:val="00C13CBA"/>
    <w:rsid w:val="00C16DAF"/>
    <w:rsid w:val="00C20661"/>
    <w:rsid w:val="00C20C4F"/>
    <w:rsid w:val="00C66556"/>
    <w:rsid w:val="00C931D1"/>
    <w:rsid w:val="00CB478B"/>
    <w:rsid w:val="00CD2A5C"/>
    <w:rsid w:val="00CE2F33"/>
    <w:rsid w:val="00CE5EF2"/>
    <w:rsid w:val="00CF1864"/>
    <w:rsid w:val="00D14AB6"/>
    <w:rsid w:val="00D276F7"/>
    <w:rsid w:val="00D35C19"/>
    <w:rsid w:val="00D35FAE"/>
    <w:rsid w:val="00D558EB"/>
    <w:rsid w:val="00D7549F"/>
    <w:rsid w:val="00D8573F"/>
    <w:rsid w:val="00D960BC"/>
    <w:rsid w:val="00DB336D"/>
    <w:rsid w:val="00DC59AA"/>
    <w:rsid w:val="00DD786B"/>
    <w:rsid w:val="00DE1CFC"/>
    <w:rsid w:val="00DE7254"/>
    <w:rsid w:val="00DF0489"/>
    <w:rsid w:val="00DF49EE"/>
    <w:rsid w:val="00DF56A2"/>
    <w:rsid w:val="00E07A3A"/>
    <w:rsid w:val="00E1692C"/>
    <w:rsid w:val="00E21344"/>
    <w:rsid w:val="00E251C1"/>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37E7"/>
    <w:rsid w:val="00ED79FE"/>
    <w:rsid w:val="00EF744B"/>
    <w:rsid w:val="00F22DC0"/>
    <w:rsid w:val="00F238AF"/>
    <w:rsid w:val="00F25381"/>
    <w:rsid w:val="00F3114C"/>
    <w:rsid w:val="00F33F69"/>
    <w:rsid w:val="00F52D0A"/>
    <w:rsid w:val="00F5552E"/>
    <w:rsid w:val="00F565A0"/>
    <w:rsid w:val="00F6412F"/>
    <w:rsid w:val="00F7151F"/>
    <w:rsid w:val="00F7180F"/>
    <w:rsid w:val="00F836C5"/>
    <w:rsid w:val="00F86092"/>
    <w:rsid w:val="00F9094A"/>
    <w:rsid w:val="00FA29A9"/>
    <w:rsid w:val="00FB618E"/>
    <w:rsid w:val="00FB6B4F"/>
    <w:rsid w:val="00FC3265"/>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36E"/>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ED37E7"/>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D37E7"/>
    <w:pPr>
      <w:widowControl w:val="0"/>
    </w:pPr>
    <w:rPr>
      <w:rFonts w:ascii="Arial" w:hAnsi="Arial"/>
      <w:color w:val="000000"/>
    </w:rPr>
  </w:style>
  <w:style w:type="paragraph" w:customStyle="1" w:styleId="Odka">
    <w:name w:val="Oádka"/>
    <w:rsid w:val="00ED37E7"/>
    <w:pPr>
      <w:widowControl w:val="0"/>
      <w:overflowPunct w:val="0"/>
      <w:autoSpaceDE w:val="0"/>
      <w:autoSpaceDN w:val="0"/>
      <w:adjustRightInd w:val="0"/>
      <w:textAlignment w:val="baseline"/>
    </w:pPr>
    <w:rPr>
      <w:color w:val="000000"/>
      <w:sz w:val="24"/>
    </w:rPr>
  </w:style>
  <w:style w:type="paragraph" w:customStyle="1" w:styleId="Znaeka">
    <w:name w:val="Znaeka"/>
    <w:rsid w:val="00ED37E7"/>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ED37E7"/>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ED37E7"/>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ED37E7"/>
    <w:pPr>
      <w:widowControl w:val="0"/>
      <w:overflowPunct w:val="0"/>
      <w:autoSpaceDE w:val="0"/>
      <w:autoSpaceDN w:val="0"/>
      <w:adjustRightInd w:val="0"/>
      <w:textAlignment w:val="baseline"/>
    </w:pPr>
    <w:rPr>
      <w:b/>
      <w:i/>
      <w:color w:val="000000"/>
      <w:sz w:val="24"/>
    </w:rPr>
  </w:style>
  <w:style w:type="paragraph" w:customStyle="1" w:styleId="Nadpis">
    <w:name w:val="Nadpis"/>
    <w:rsid w:val="00ED37E7"/>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ED37E7"/>
    <w:pPr>
      <w:widowControl w:val="0"/>
    </w:pPr>
    <w:rPr>
      <w:color w:val="000000"/>
    </w:rPr>
  </w:style>
  <w:style w:type="paragraph" w:customStyle="1" w:styleId="Pata">
    <w:name w:val="Pata"/>
    <w:rsid w:val="00ED37E7"/>
    <w:pPr>
      <w:widowControl w:val="0"/>
      <w:overflowPunct w:val="0"/>
      <w:autoSpaceDE w:val="0"/>
      <w:autoSpaceDN w:val="0"/>
      <w:adjustRightInd w:val="0"/>
      <w:textAlignment w:val="baseline"/>
    </w:pPr>
    <w:rPr>
      <w:color w:val="000000"/>
      <w:sz w:val="24"/>
    </w:rPr>
  </w:style>
  <w:style w:type="paragraph" w:customStyle="1" w:styleId="Texttabulky">
    <w:name w:val="Text tabulky"/>
    <w:rsid w:val="00ED37E7"/>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ED37E7"/>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36E"/>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6980963">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983A-45D6-4169-83DA-1445B975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25</TotalTime>
  <Pages>1</Pages>
  <Words>2572</Words>
  <Characters>15180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8</cp:revision>
  <cp:lastPrinted>2016-07-25T19:39:00Z</cp:lastPrinted>
  <dcterms:created xsi:type="dcterms:W3CDTF">2016-07-26T16:10:00Z</dcterms:created>
  <dcterms:modified xsi:type="dcterms:W3CDTF">2016-08-17T08:05:00Z</dcterms:modified>
</cp:coreProperties>
</file>