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A59" w:rsidRDefault="00BA0A59">
      <w:pPr>
        <w:spacing w:after="459" w:line="1" w:lineRule="exact"/>
      </w:pPr>
    </w:p>
    <w:p w:rsidR="00BA0A59" w:rsidRDefault="0054049E">
      <w:pPr>
        <w:pStyle w:val="Tablecaption10"/>
        <w:shd w:val="clear" w:color="auto" w:fill="auto"/>
        <w:spacing w:line="314" w:lineRule="auto"/>
        <w:ind w:left="7"/>
        <w:rPr>
          <w:sz w:val="24"/>
          <w:szCs w:val="24"/>
        </w:rPr>
      </w:pPr>
      <w:r>
        <w:rPr>
          <w:b/>
          <w:bCs/>
          <w:sz w:val="24"/>
          <w:szCs w:val="24"/>
        </w:rPr>
        <w:t>Smlouva o výpůjčce</w:t>
      </w:r>
    </w:p>
    <w:p w:rsidR="00526A2E" w:rsidRDefault="0054049E">
      <w:pPr>
        <w:pStyle w:val="Tablecaption10"/>
        <w:shd w:val="clear" w:color="auto" w:fill="auto"/>
        <w:spacing w:line="377" w:lineRule="auto"/>
        <w:ind w:left="7"/>
      </w:pPr>
      <w:r>
        <w:t xml:space="preserve">(dále jen "smlouva"), kterou uzavírají podle § 659 a násl. občanského zákoníku </w:t>
      </w:r>
    </w:p>
    <w:p w:rsidR="00BA0A59" w:rsidRDefault="0054049E">
      <w:pPr>
        <w:pStyle w:val="Tablecaption10"/>
        <w:shd w:val="clear" w:color="auto" w:fill="auto"/>
        <w:spacing w:line="377" w:lineRule="auto"/>
        <w:ind w:left="7"/>
      </w:pPr>
      <w:proofErr w:type="spellStart"/>
      <w:r>
        <w:rPr>
          <w:b/>
          <w:bCs/>
        </w:rPr>
        <w:t>Pújčitel</w:t>
      </w:r>
      <w:proofErr w:type="spellEnd"/>
      <w:r>
        <w:rPr>
          <w:b/>
          <w:bCs/>
        </w:rP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6"/>
        <w:gridCol w:w="4716"/>
      </w:tblGrid>
      <w:tr w:rsidR="00BA0A59">
        <w:tblPrEx>
          <w:tblCellMar>
            <w:top w:w="0" w:type="dxa"/>
            <w:bottom w:w="0" w:type="dxa"/>
          </w:tblCellMar>
        </w:tblPrEx>
        <w:trPr>
          <w:trHeight w:hRule="exact" w:val="1678"/>
        </w:trPr>
        <w:tc>
          <w:tcPr>
            <w:tcW w:w="2326" w:type="dxa"/>
            <w:shd w:val="clear" w:color="auto" w:fill="FFFFFF"/>
          </w:tcPr>
          <w:p w:rsidR="00BA0A59" w:rsidRDefault="0054049E">
            <w:pPr>
              <w:pStyle w:val="Other10"/>
              <w:shd w:val="clear" w:color="auto" w:fill="auto"/>
              <w:spacing w:after="0"/>
            </w:pPr>
            <w:r>
              <w:t>obchodní jméno Sídlo Zastoupená</w:t>
            </w:r>
          </w:p>
          <w:p w:rsidR="00BA0A59" w:rsidRDefault="0054049E">
            <w:pPr>
              <w:pStyle w:val="Other10"/>
              <w:shd w:val="clear" w:color="auto" w:fill="auto"/>
              <w:spacing w:after="0"/>
            </w:pPr>
            <w:r>
              <w:t>IČO</w:t>
            </w:r>
          </w:p>
          <w:p w:rsidR="00BA0A59" w:rsidRDefault="0054049E">
            <w:pPr>
              <w:pStyle w:val="Other10"/>
              <w:shd w:val="clear" w:color="auto" w:fill="auto"/>
              <w:spacing w:after="0"/>
            </w:pPr>
            <w:r>
              <w:t>DIČ</w:t>
            </w:r>
          </w:p>
          <w:p w:rsidR="00BA0A59" w:rsidRDefault="0054049E">
            <w:pPr>
              <w:pStyle w:val="Other10"/>
              <w:shd w:val="clear" w:color="auto" w:fill="auto"/>
              <w:spacing w:after="0"/>
            </w:pPr>
            <w:r>
              <w:t>Bankovní spojení</w:t>
            </w:r>
          </w:p>
          <w:p w:rsidR="00BA0A59" w:rsidRDefault="0054049E">
            <w:pPr>
              <w:pStyle w:val="Other10"/>
              <w:shd w:val="clear" w:color="auto" w:fill="auto"/>
              <w:spacing w:after="0"/>
            </w:pPr>
            <w:r>
              <w:t>Číslo účtu</w:t>
            </w:r>
          </w:p>
        </w:tc>
        <w:tc>
          <w:tcPr>
            <w:tcW w:w="4716" w:type="dxa"/>
            <w:tcBorders>
              <w:left w:val="dashed" w:sz="4" w:space="0" w:color="auto"/>
            </w:tcBorders>
            <w:shd w:val="clear" w:color="auto" w:fill="FFFFFF"/>
          </w:tcPr>
          <w:p w:rsidR="00BA0A59" w:rsidRDefault="0054049E">
            <w:pPr>
              <w:pStyle w:val="Other10"/>
              <w:shd w:val="clear" w:color="auto" w:fill="auto"/>
              <w:spacing w:after="0"/>
              <w:ind w:firstLine="240"/>
            </w:pPr>
            <w:r>
              <w:rPr>
                <w:b/>
                <w:bCs/>
              </w:rPr>
              <w:t xml:space="preserve">DPC </w:t>
            </w:r>
            <w:r>
              <w:rPr>
                <w:b/>
                <w:bCs/>
                <w:lang w:val="en-US" w:eastAsia="en-US" w:bidi="en-US"/>
              </w:rPr>
              <w:t xml:space="preserve">CZECH, </w:t>
            </w:r>
            <w:r>
              <w:rPr>
                <w:b/>
                <w:bCs/>
              </w:rPr>
              <w:t>spol. s r.o.</w:t>
            </w:r>
          </w:p>
          <w:p w:rsidR="00BA0A59" w:rsidRDefault="0054049E">
            <w:pPr>
              <w:pStyle w:val="Other10"/>
              <w:shd w:val="clear" w:color="auto" w:fill="auto"/>
              <w:spacing w:after="0" w:line="233" w:lineRule="auto"/>
              <w:ind w:firstLine="240"/>
            </w:pPr>
            <w:r>
              <w:t>Praha, Severozápadní IV/23, PSČ 140 00</w:t>
            </w:r>
          </w:p>
          <w:p w:rsidR="00BA0A59" w:rsidRDefault="0054049E">
            <w:pPr>
              <w:pStyle w:val="Other10"/>
              <w:shd w:val="clear" w:color="auto" w:fill="auto"/>
              <w:spacing w:after="0"/>
              <w:ind w:firstLine="240"/>
            </w:pPr>
            <w:r>
              <w:rPr>
                <w:lang w:val="en-US" w:eastAsia="en-US" w:bidi="en-US"/>
              </w:rPr>
              <w:t xml:space="preserve">Dr. Willi </w:t>
            </w:r>
            <w:proofErr w:type="spellStart"/>
            <w:r>
              <w:t>Tillmannem</w:t>
            </w:r>
            <w:proofErr w:type="spellEnd"/>
          </w:p>
          <w:p w:rsidR="00BA0A59" w:rsidRDefault="0054049E">
            <w:pPr>
              <w:pStyle w:val="Other10"/>
              <w:shd w:val="clear" w:color="auto" w:fill="auto"/>
              <w:spacing w:after="0"/>
              <w:ind w:firstLine="240"/>
            </w:pPr>
            <w:r>
              <w:t>25 05 62 47</w:t>
            </w:r>
          </w:p>
          <w:p w:rsidR="00BA0A59" w:rsidRDefault="0054049E">
            <w:pPr>
              <w:pStyle w:val="Other10"/>
              <w:shd w:val="clear" w:color="auto" w:fill="auto"/>
              <w:spacing w:after="0"/>
              <w:ind w:firstLine="240"/>
            </w:pPr>
            <w:proofErr w:type="gramStart"/>
            <w:r>
              <w:t>004 - 25</w:t>
            </w:r>
            <w:proofErr w:type="gramEnd"/>
            <w:r>
              <w:t xml:space="preserve"> 05 62 47</w:t>
            </w:r>
          </w:p>
          <w:p w:rsidR="00BA0A59" w:rsidRDefault="0054049E">
            <w:pPr>
              <w:pStyle w:val="Other10"/>
              <w:shd w:val="clear" w:color="auto" w:fill="auto"/>
              <w:spacing w:after="0" w:line="226" w:lineRule="auto"/>
              <w:ind w:firstLine="240"/>
            </w:pPr>
            <w:proofErr w:type="spellStart"/>
            <w:r>
              <w:t>Dresdner</w:t>
            </w:r>
            <w:proofErr w:type="spellEnd"/>
            <w:r>
              <w:t xml:space="preserve"> Bank, pobočka Praha</w:t>
            </w:r>
          </w:p>
          <w:p w:rsidR="00BA0A59" w:rsidRDefault="0054049E">
            <w:pPr>
              <w:pStyle w:val="Other10"/>
              <w:shd w:val="clear" w:color="auto" w:fill="auto"/>
              <w:spacing w:after="0"/>
              <w:ind w:firstLine="240"/>
            </w:pPr>
            <w:r>
              <w:t>253059/4000</w:t>
            </w:r>
          </w:p>
        </w:tc>
      </w:tr>
    </w:tbl>
    <w:p w:rsidR="00BA0A59" w:rsidRDefault="0054049E">
      <w:pPr>
        <w:pStyle w:val="Tablecaption10"/>
        <w:shd w:val="clear" w:color="auto" w:fill="auto"/>
        <w:spacing w:line="240" w:lineRule="auto"/>
        <w:ind w:left="43"/>
      </w:pPr>
      <w:r>
        <w:rPr>
          <w:i/>
          <w:iCs/>
        </w:rPr>
        <w:t>(dále jen "</w:t>
      </w:r>
      <w:proofErr w:type="spellStart"/>
      <w:r>
        <w:rPr>
          <w:i/>
          <w:iCs/>
        </w:rPr>
        <w:t>pújčitel</w:t>
      </w:r>
      <w:proofErr w:type="spellEnd"/>
      <w:r>
        <w:rPr>
          <w:i/>
          <w:iCs/>
        </w:rPr>
        <w:t>")</w:t>
      </w:r>
    </w:p>
    <w:p w:rsidR="00BA0A59" w:rsidRDefault="00BA0A59">
      <w:pPr>
        <w:spacing w:after="299" w:line="1" w:lineRule="exact"/>
      </w:pPr>
    </w:p>
    <w:p w:rsidR="00BA0A59" w:rsidRDefault="0054049E">
      <w:pPr>
        <w:pStyle w:val="Bodytext10"/>
        <w:shd w:val="clear" w:color="auto" w:fill="auto"/>
        <w:spacing w:after="300"/>
        <w:jc w:val="both"/>
      </w:pPr>
      <w:r>
        <w:rPr>
          <w:b/>
          <w:bCs/>
        </w:rPr>
        <w:t>a</w:t>
      </w:r>
    </w:p>
    <w:p w:rsidR="00BA0A59" w:rsidRDefault="0054049E">
      <w:pPr>
        <w:pStyle w:val="Bodytext10"/>
        <w:shd w:val="clear" w:color="auto" w:fill="auto"/>
        <w:spacing w:after="40"/>
        <w:jc w:val="both"/>
      </w:pPr>
      <w:proofErr w:type="spellStart"/>
      <w:r>
        <w:rPr>
          <w:b/>
          <w:bCs/>
        </w:rPr>
        <w:t>Vypújčitel</w:t>
      </w:r>
      <w:proofErr w:type="spellEnd"/>
      <w:r>
        <w:rPr>
          <w:b/>
          <w:bCs/>
        </w:rPr>
        <w:t>:</w:t>
      </w:r>
    </w:p>
    <w:p w:rsidR="00BA0A59" w:rsidRDefault="0054049E">
      <w:pPr>
        <w:pStyle w:val="Bodytext10"/>
        <w:shd w:val="clear" w:color="auto" w:fill="auto"/>
        <w:spacing w:after="0" w:line="317" w:lineRule="auto"/>
      </w:pPr>
      <w:r>
        <w:rPr>
          <w:b/>
          <w:bCs/>
        </w:rPr>
        <w:t xml:space="preserve">Baťova krajská nemocnice Zlín, příspěvková organizace, Havlíčkovo nábřeží 600, 762 75 Zlín, </w:t>
      </w:r>
      <w:r>
        <w:t xml:space="preserve">zastoupená ředitelem MUDr. Jaroslavem </w:t>
      </w:r>
      <w:proofErr w:type="spellStart"/>
      <w:r>
        <w:t>Přehnalem</w:t>
      </w:r>
      <w:proofErr w:type="spellEnd"/>
      <w:r>
        <w:t>, CSc.,</w:t>
      </w:r>
    </w:p>
    <w:p w:rsidR="00BA0A59" w:rsidRDefault="0054049E">
      <w:pPr>
        <w:pStyle w:val="Bodytext10"/>
        <w:shd w:val="clear" w:color="auto" w:fill="auto"/>
        <w:spacing w:after="0" w:line="317" w:lineRule="auto"/>
      </w:pPr>
      <w:proofErr w:type="gramStart"/>
      <w:r>
        <w:t>IČO :</w:t>
      </w:r>
      <w:proofErr w:type="gramEnd"/>
      <w:r>
        <w:t xml:space="preserve"> 00089915, Bankovní spojení: Komerční banka Zlín, </w:t>
      </w:r>
      <w:proofErr w:type="spellStart"/>
      <w:r>
        <w:t>č.ú</w:t>
      </w:r>
      <w:proofErr w:type="spellEnd"/>
      <w:r>
        <w:t>.: 24234-661/0100</w:t>
      </w:r>
    </w:p>
    <w:p w:rsidR="00BA0A59" w:rsidRDefault="0054049E">
      <w:pPr>
        <w:pStyle w:val="Bodytext10"/>
        <w:shd w:val="clear" w:color="auto" w:fill="auto"/>
        <w:spacing w:after="240" w:line="317" w:lineRule="auto"/>
        <w:ind w:firstLine="140"/>
      </w:pPr>
      <w:r>
        <w:rPr>
          <w:i/>
          <w:iCs/>
        </w:rPr>
        <w:t>(dále jen "</w:t>
      </w:r>
      <w:proofErr w:type="spellStart"/>
      <w:r>
        <w:rPr>
          <w:i/>
          <w:iCs/>
        </w:rPr>
        <w:t>vypújčitel</w:t>
      </w:r>
      <w:proofErr w:type="spellEnd"/>
      <w:r>
        <w:rPr>
          <w:i/>
          <w:iCs/>
        </w:rPr>
        <w:t>")</w:t>
      </w:r>
    </w:p>
    <w:p w:rsidR="00BA0A59" w:rsidRDefault="0054049E">
      <w:pPr>
        <w:pStyle w:val="Bodytext10"/>
        <w:shd w:val="clear" w:color="auto" w:fill="auto"/>
        <w:jc w:val="center"/>
      </w:pPr>
      <w:r>
        <w:t>takto:</w:t>
      </w:r>
    </w:p>
    <w:p w:rsidR="00BA0A59" w:rsidRDefault="0054049E">
      <w:pPr>
        <w:pStyle w:val="Heading110"/>
        <w:keepNext/>
        <w:keepLines/>
        <w:numPr>
          <w:ilvl w:val="0"/>
          <w:numId w:val="1"/>
        </w:numPr>
        <w:shd w:val="clear" w:color="auto" w:fill="auto"/>
        <w:tabs>
          <w:tab w:val="left" w:pos="286"/>
        </w:tabs>
        <w:spacing w:after="180"/>
      </w:pPr>
      <w:bookmarkStart w:id="0" w:name="bookmark0"/>
      <w:bookmarkStart w:id="1" w:name="bookmark1"/>
      <w:r>
        <w:t>Předmět smlouvy</w:t>
      </w:r>
      <w:bookmarkEnd w:id="0"/>
      <w:bookmarkEnd w:id="1"/>
    </w:p>
    <w:p w:rsidR="00BA0A59" w:rsidRDefault="0054049E">
      <w:pPr>
        <w:pStyle w:val="Bodytext10"/>
        <w:numPr>
          <w:ilvl w:val="0"/>
          <w:numId w:val="2"/>
        </w:numPr>
        <w:shd w:val="clear" w:color="auto" w:fill="auto"/>
        <w:tabs>
          <w:tab w:val="left" w:pos="314"/>
        </w:tabs>
        <w:spacing w:after="0" w:line="319" w:lineRule="auto"/>
      </w:pPr>
      <w:proofErr w:type="spellStart"/>
      <w:r>
        <w:t>Pújčitel</w:t>
      </w:r>
      <w:proofErr w:type="spellEnd"/>
      <w:r>
        <w:t xml:space="preserve"> je </w:t>
      </w:r>
      <w:proofErr w:type="spellStart"/>
      <w:r>
        <w:t>vlastníkern</w:t>
      </w:r>
      <w:proofErr w:type="spellEnd"/>
      <w:r>
        <w:t xml:space="preserve"> lékařského přístroje </w:t>
      </w:r>
      <w:r>
        <w:rPr>
          <w:b/>
          <w:bCs/>
        </w:rPr>
        <w:t>IMMUUTE 2000</w:t>
      </w:r>
    </w:p>
    <w:p w:rsidR="00BA0A59" w:rsidRDefault="0054049E">
      <w:pPr>
        <w:pStyle w:val="Bodytext10"/>
        <w:shd w:val="clear" w:color="auto" w:fill="auto"/>
        <w:tabs>
          <w:tab w:val="left" w:leader="dot" w:pos="3746"/>
        </w:tabs>
        <w:spacing w:line="319" w:lineRule="auto"/>
        <w:ind w:left="340"/>
        <w:jc w:val="both"/>
      </w:pPr>
      <w:r>
        <w:t xml:space="preserve">výrobní číslo: </w:t>
      </w:r>
      <w:r w:rsidR="00526A2E">
        <w:t>H2826</w:t>
      </w:r>
      <w:r>
        <w:t xml:space="preserve"> Dle účetnictví </w:t>
      </w:r>
      <w:proofErr w:type="spellStart"/>
      <w:r>
        <w:t>půjčitele</w:t>
      </w:r>
      <w:proofErr w:type="spellEnd"/>
      <w:r>
        <w:t xml:space="preserve"> byl přístroj poř</w:t>
      </w:r>
      <w:r>
        <w:t>ízen v roce 2003 za pořizovací cenu 5.200.000,- Kč. Zůstatková cena je ke dni výpůjčky 5.200.000,-Kč, (dále jen předmět výpůjčky).</w:t>
      </w:r>
    </w:p>
    <w:p w:rsidR="00BA0A59" w:rsidRDefault="0054049E">
      <w:pPr>
        <w:pStyle w:val="Bodytext10"/>
        <w:numPr>
          <w:ilvl w:val="0"/>
          <w:numId w:val="2"/>
        </w:numPr>
        <w:shd w:val="clear" w:color="auto" w:fill="auto"/>
        <w:tabs>
          <w:tab w:val="left" w:pos="329"/>
        </w:tabs>
        <w:spacing w:after="360"/>
        <w:ind w:left="340" w:hanging="340"/>
        <w:jc w:val="both"/>
      </w:pPr>
      <w:r>
        <w:t xml:space="preserve">Za podmínek uvedených ve smlouvě a příslušných ustanoveních občanského zákoníku </w:t>
      </w:r>
      <w:proofErr w:type="spellStart"/>
      <w:r>
        <w:t>p</w:t>
      </w:r>
      <w:r w:rsidR="00526A2E">
        <w:t>ů</w:t>
      </w:r>
      <w:r>
        <w:t>jčitel</w:t>
      </w:r>
      <w:proofErr w:type="spellEnd"/>
      <w:r>
        <w:t xml:space="preserve"> přenechává vypůjčiteli předmět výpůj</w:t>
      </w:r>
      <w:r>
        <w:t xml:space="preserve">čky k bezplatnému užívání k účelům poskytování zdravotní péče na </w:t>
      </w:r>
      <w:r>
        <w:rPr>
          <w:b/>
          <w:bCs/>
        </w:rPr>
        <w:t>oddělení klinické biochemie Baťovy krajské nemocnice Zlín, příspěvkové organizace.</w:t>
      </w:r>
    </w:p>
    <w:p w:rsidR="00BA0A59" w:rsidRDefault="0054049E">
      <w:pPr>
        <w:pStyle w:val="Heading11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after="120"/>
      </w:pPr>
      <w:bookmarkStart w:id="2" w:name="bookmark2"/>
      <w:bookmarkStart w:id="3" w:name="bookmark3"/>
      <w:r>
        <w:t>Práva a povinnosti smluvních stran</w:t>
      </w:r>
      <w:bookmarkEnd w:id="2"/>
      <w:bookmarkEnd w:id="3"/>
    </w:p>
    <w:p w:rsidR="00BA0A59" w:rsidRDefault="0054049E">
      <w:pPr>
        <w:pStyle w:val="Bodytext10"/>
        <w:numPr>
          <w:ilvl w:val="0"/>
          <w:numId w:val="3"/>
        </w:numPr>
        <w:shd w:val="clear" w:color="auto" w:fill="auto"/>
        <w:tabs>
          <w:tab w:val="left" w:pos="314"/>
        </w:tabs>
      </w:pPr>
      <w:proofErr w:type="spellStart"/>
      <w:r>
        <w:t>Výpůjčitel</w:t>
      </w:r>
      <w:proofErr w:type="spellEnd"/>
      <w:r>
        <w:t xml:space="preserve"> je po dobu trvání výpůjčky povinen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884"/>
        </w:tabs>
        <w:spacing w:line="233" w:lineRule="auto"/>
        <w:ind w:left="860" w:hanging="260"/>
        <w:jc w:val="both"/>
      </w:pPr>
      <w:r>
        <w:t>pověřovat obsluhou předmětu</w:t>
      </w:r>
      <w:r>
        <w:t xml:space="preserve"> výpůjčky pouze své zaměstnance, kteří jsou k tomu řádné vyškoleni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884"/>
        </w:tabs>
        <w:spacing w:line="233" w:lineRule="auto"/>
        <w:ind w:left="860" w:hanging="260"/>
        <w:jc w:val="both"/>
      </w:pPr>
      <w:r>
        <w:t>chránit předmět výpůjčky před poškozením, zničením, ztrátou, nadměrným opotřebením nebo zneužitím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884"/>
        </w:tabs>
        <w:spacing w:line="233" w:lineRule="auto"/>
        <w:ind w:left="860" w:hanging="260"/>
        <w:jc w:val="both"/>
      </w:pPr>
      <w:r>
        <w:t>do deseti dnů po skončení výpůjčky vrátit předmět výpůjčky ve stavu, v jakém ho převzal s p</w:t>
      </w:r>
      <w:r>
        <w:t>řihlédnutím k obvyklému opotřebení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884"/>
        </w:tabs>
        <w:spacing w:line="233" w:lineRule="auto"/>
        <w:ind w:left="860" w:hanging="260"/>
        <w:jc w:val="both"/>
      </w:pPr>
      <w:r>
        <w:t xml:space="preserve">neprodleně informovat </w:t>
      </w:r>
      <w:proofErr w:type="spellStart"/>
      <w:r>
        <w:t>půjčitele</w:t>
      </w:r>
      <w:proofErr w:type="spellEnd"/>
      <w:r>
        <w:t xml:space="preserve"> o všech případech poškození, zničení či ztrátě předmětu výpůjčky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884"/>
        </w:tabs>
        <w:spacing w:line="233" w:lineRule="auto"/>
        <w:ind w:left="860" w:hanging="260"/>
        <w:jc w:val="both"/>
      </w:pPr>
      <w:r>
        <w:t xml:space="preserve">uhradit </w:t>
      </w:r>
      <w:proofErr w:type="spellStart"/>
      <w:r>
        <w:t>půjčiteli</w:t>
      </w:r>
      <w:proofErr w:type="spellEnd"/>
      <w:r>
        <w:t xml:space="preserve"> škody, které vzniknou na předmětu výpůjčky během trvání výpůjčky s výjimkou obvyklého opotřebení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884"/>
        </w:tabs>
        <w:spacing w:after="240" w:line="233" w:lineRule="auto"/>
        <w:ind w:left="860" w:hanging="260"/>
        <w:jc w:val="both"/>
      </w:pPr>
      <w:r>
        <w:t>bez zbyte</w:t>
      </w:r>
      <w:r>
        <w:t xml:space="preserve">čného odkladu nahlásit </w:t>
      </w:r>
      <w:proofErr w:type="spellStart"/>
      <w:r>
        <w:t>půjčiteli</w:t>
      </w:r>
      <w:proofErr w:type="spellEnd"/>
      <w:r>
        <w:t xml:space="preserve"> potřebu opravy předmětu výpůjčky a umožnit mu její provedení.</w:t>
      </w:r>
    </w:p>
    <w:p w:rsidR="00BA0A59" w:rsidRDefault="0054049E">
      <w:pPr>
        <w:pStyle w:val="Bodytext10"/>
        <w:numPr>
          <w:ilvl w:val="0"/>
          <w:numId w:val="3"/>
        </w:numPr>
        <w:shd w:val="clear" w:color="auto" w:fill="auto"/>
        <w:tabs>
          <w:tab w:val="left" w:pos="336"/>
        </w:tabs>
      </w:pPr>
      <w:proofErr w:type="spellStart"/>
      <w:r>
        <w:t>Vypújčitel</w:t>
      </w:r>
      <w:proofErr w:type="spellEnd"/>
      <w:r>
        <w:t xml:space="preserve"> není oprávněn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884"/>
        </w:tabs>
        <w:ind w:firstLine="580"/>
      </w:pPr>
      <w:r>
        <w:t>provádět na předmětu výpůjčky jakékoliv technické úpravy nebo jiné změny</w:t>
      </w:r>
      <w:r>
        <w:br w:type="page"/>
      </w:r>
    </w:p>
    <w:p w:rsidR="00BA0A59" w:rsidRDefault="0054049E">
      <w:pPr>
        <w:pStyle w:val="Bodytext10"/>
        <w:numPr>
          <w:ilvl w:val="0"/>
          <w:numId w:val="3"/>
        </w:numPr>
        <w:shd w:val="clear" w:color="auto" w:fill="auto"/>
        <w:tabs>
          <w:tab w:val="left" w:pos="922"/>
        </w:tabs>
        <w:spacing w:line="233" w:lineRule="auto"/>
        <w:ind w:left="580"/>
      </w:pPr>
      <w:proofErr w:type="spellStart"/>
      <w:r>
        <w:lastRenderedPageBreak/>
        <w:t>Půjčitel</w:t>
      </w:r>
      <w:proofErr w:type="spellEnd"/>
      <w:r>
        <w:t xml:space="preserve"> je povinen do jednoho měsíce po podpisu této smlouvy </w:t>
      </w:r>
      <w:r>
        <w:t>předat vypůjčiteli předmět výpůjčky v provozuschopném stavu spolu s následujícími doklady: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922"/>
        </w:tabs>
        <w:ind w:firstLine="580"/>
      </w:pPr>
      <w:r>
        <w:t xml:space="preserve">kopií prohlášení o shodě podle </w:t>
      </w:r>
      <w:proofErr w:type="spellStart"/>
      <w:r>
        <w:t>vl</w:t>
      </w:r>
      <w:proofErr w:type="spellEnd"/>
      <w:r>
        <w:t xml:space="preserve">. </w:t>
      </w:r>
      <w:proofErr w:type="spellStart"/>
      <w:r>
        <w:t>nař</w:t>
      </w:r>
      <w:proofErr w:type="spellEnd"/>
      <w:r>
        <w:t>. č. 181/2001 Sb.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922"/>
        </w:tabs>
        <w:ind w:firstLine="580"/>
      </w:pPr>
      <w:r>
        <w:t>kopií certifikátu autorizované osoby, která se podílela na posuzování shody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922"/>
        </w:tabs>
        <w:ind w:firstLine="580"/>
      </w:pPr>
      <w:r>
        <w:t>kopií CE certifikátu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922"/>
        </w:tabs>
        <w:spacing w:line="233" w:lineRule="auto"/>
        <w:ind w:left="860" w:hanging="280"/>
      </w:pPr>
      <w:r>
        <w:t xml:space="preserve">prohlášením </w:t>
      </w:r>
      <w:r>
        <w:t xml:space="preserve">výrobce, dovozce či distributora lékařského přístroje o splnění ohlašovací povinnosti podle </w:t>
      </w:r>
      <w:proofErr w:type="spellStart"/>
      <w:r>
        <w:t>z.č</w:t>
      </w:r>
      <w:proofErr w:type="spellEnd"/>
      <w:r>
        <w:t>. 123/2000 Sb. v platném znění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922"/>
        </w:tabs>
        <w:spacing w:after="360"/>
        <w:ind w:firstLine="580"/>
      </w:pPr>
      <w:r>
        <w:t>návodem k obsluze v českém jazyce</w:t>
      </w:r>
    </w:p>
    <w:p w:rsidR="00BA0A59" w:rsidRDefault="0054049E">
      <w:pPr>
        <w:pStyle w:val="Bodytext10"/>
        <w:numPr>
          <w:ilvl w:val="0"/>
          <w:numId w:val="3"/>
        </w:numPr>
        <w:shd w:val="clear" w:color="auto" w:fill="auto"/>
        <w:tabs>
          <w:tab w:val="left" w:pos="341"/>
        </w:tabs>
      </w:pPr>
      <w:proofErr w:type="spellStart"/>
      <w:r>
        <w:t>Půjčitel</w:t>
      </w:r>
      <w:proofErr w:type="spellEnd"/>
      <w:r>
        <w:t xml:space="preserve"> je dále povinen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922"/>
        </w:tabs>
        <w:ind w:firstLine="580"/>
      </w:pPr>
      <w:r>
        <w:t>zaškolit určené zaměstnance vypůjčitele, kteří budou předmět výpůjčky o</w:t>
      </w:r>
      <w:r>
        <w:t>bsluhovat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922"/>
        </w:tabs>
        <w:spacing w:line="233" w:lineRule="auto"/>
        <w:ind w:left="860" w:hanging="280"/>
        <w:jc w:val="both"/>
      </w:pPr>
      <w:r>
        <w:t>po dobu trvání smlouvy zajišťovat opravy předmětu výpůjčky, jejichž potřebu mu vypůjčitel oznámil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922"/>
        </w:tabs>
        <w:spacing w:after="360"/>
        <w:ind w:firstLine="580"/>
      </w:pPr>
      <w:r>
        <w:t>po ukončení doby výpůjčky převzít zpět předmět výpůjčky a odvézt od vypůjčitele.</w:t>
      </w:r>
    </w:p>
    <w:p w:rsidR="00BA0A59" w:rsidRDefault="0054049E">
      <w:pPr>
        <w:pStyle w:val="Heading110"/>
        <w:keepNext/>
        <w:keepLines/>
        <w:numPr>
          <w:ilvl w:val="0"/>
          <w:numId w:val="1"/>
        </w:numPr>
        <w:shd w:val="clear" w:color="auto" w:fill="auto"/>
        <w:tabs>
          <w:tab w:val="left" w:pos="398"/>
        </w:tabs>
        <w:spacing w:after="120"/>
      </w:pPr>
      <w:bookmarkStart w:id="4" w:name="bookmark4"/>
      <w:bookmarkStart w:id="5" w:name="bookmark5"/>
      <w:r>
        <w:t>Doba výpůjčky</w:t>
      </w:r>
      <w:bookmarkEnd w:id="4"/>
      <w:bookmarkEnd w:id="5"/>
    </w:p>
    <w:p w:rsidR="00BA0A59" w:rsidRDefault="0054049E">
      <w:pPr>
        <w:pStyle w:val="Bodytext10"/>
        <w:shd w:val="clear" w:color="auto" w:fill="auto"/>
        <w:spacing w:after="360"/>
      </w:pPr>
      <w:r>
        <w:t xml:space="preserve">Výpůjčka podle této smlouvy se sjednává ode dne </w:t>
      </w:r>
      <w:r>
        <w:t xml:space="preserve">předání a převzetí předmětu výpůjčky na dobu určitou, a to 4 </w:t>
      </w:r>
      <w:proofErr w:type="gramStart"/>
      <w:r>
        <w:t>roky</w:t>
      </w:r>
      <w:proofErr w:type="gramEnd"/>
      <w:r>
        <w:t xml:space="preserve"> tj. do 31.12 2007.</w:t>
      </w:r>
    </w:p>
    <w:p w:rsidR="00BA0A59" w:rsidRDefault="0054049E">
      <w:pPr>
        <w:pStyle w:val="Heading110"/>
        <w:keepNext/>
        <w:keepLines/>
        <w:numPr>
          <w:ilvl w:val="0"/>
          <w:numId w:val="1"/>
        </w:numPr>
        <w:shd w:val="clear" w:color="auto" w:fill="auto"/>
        <w:tabs>
          <w:tab w:val="left" w:pos="413"/>
        </w:tabs>
        <w:spacing w:after="120"/>
      </w:pPr>
      <w:bookmarkStart w:id="6" w:name="bookmark6"/>
      <w:bookmarkStart w:id="7" w:name="bookmark7"/>
      <w:r>
        <w:t>Závěrečná ustanovení</w:t>
      </w:r>
      <w:bookmarkEnd w:id="6"/>
      <w:bookmarkEnd w:id="7"/>
    </w:p>
    <w:p w:rsidR="00BA0A59" w:rsidRDefault="0054049E">
      <w:pPr>
        <w:pStyle w:val="Bodytext10"/>
        <w:numPr>
          <w:ilvl w:val="0"/>
          <w:numId w:val="5"/>
        </w:numPr>
        <w:shd w:val="clear" w:color="auto" w:fill="auto"/>
        <w:tabs>
          <w:tab w:val="left" w:pos="319"/>
        </w:tabs>
        <w:ind w:left="300" w:hanging="300"/>
      </w:pPr>
      <w:r>
        <w:t xml:space="preserve">Smlouva nabývá platnosti dnem podpisu oběma smluvními stranami a je účinná sepsáním zápisu o předání a převzetí předmětu výpůjčky podle čl. II. </w:t>
      </w:r>
      <w:r>
        <w:t>smlouvy.</w:t>
      </w:r>
    </w:p>
    <w:p w:rsidR="00BA0A59" w:rsidRDefault="0054049E">
      <w:pPr>
        <w:pStyle w:val="Bodytext10"/>
        <w:numPr>
          <w:ilvl w:val="0"/>
          <w:numId w:val="5"/>
        </w:numPr>
        <w:shd w:val="clear" w:color="auto" w:fill="auto"/>
        <w:tabs>
          <w:tab w:val="left" w:pos="334"/>
        </w:tabs>
      </w:pPr>
      <w:r>
        <w:t>Platnost smlouvy končí a výpůjčka podle smlouvy zaniká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922"/>
        </w:tabs>
        <w:spacing w:after="0"/>
        <w:ind w:firstLine="580"/>
      </w:pPr>
      <w:r>
        <w:t>uplynutím doby, na kterou byla výpůjčka sjednána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922"/>
        </w:tabs>
        <w:spacing w:after="0"/>
        <w:ind w:left="860" w:hanging="280"/>
        <w:jc w:val="both"/>
      </w:pPr>
      <w:proofErr w:type="gramStart"/>
      <w:r>
        <w:t>výpovědí - výpověď</w:t>
      </w:r>
      <w:proofErr w:type="gramEnd"/>
      <w:r>
        <w:t xml:space="preserve"> může podat každá ze smluvních stran z jakýchkoliv důvodů nebo bez uvedení důvodů. Výpověď musí být podána písemně a doručena</w:t>
      </w:r>
      <w:r>
        <w:t xml:space="preserve"> druhé smluvní straně. Výpovědní lhůta činí tři měsíce a počíná běžet prvního dne měsíce následujícího po doručení výpovědi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922"/>
        </w:tabs>
        <w:spacing w:after="0"/>
        <w:ind w:firstLine="580"/>
      </w:pPr>
      <w:r>
        <w:t>dohodou obou smluvních stran uzavřenou v písemné formě</w:t>
      </w:r>
    </w:p>
    <w:p w:rsidR="00BA0A59" w:rsidRDefault="0054049E">
      <w:pPr>
        <w:pStyle w:val="Bodytext10"/>
        <w:numPr>
          <w:ilvl w:val="0"/>
          <w:numId w:val="4"/>
        </w:numPr>
        <w:shd w:val="clear" w:color="auto" w:fill="auto"/>
        <w:tabs>
          <w:tab w:val="left" w:pos="922"/>
        </w:tabs>
        <w:ind w:firstLine="580"/>
      </w:pPr>
      <w:r>
        <w:t>z ostatních obecných důvodů zániku závazků podle občanského zákoníku.</w:t>
      </w:r>
    </w:p>
    <w:p w:rsidR="00BA0A59" w:rsidRDefault="0054049E">
      <w:pPr>
        <w:pStyle w:val="Bodytext10"/>
        <w:numPr>
          <w:ilvl w:val="0"/>
          <w:numId w:val="5"/>
        </w:numPr>
        <w:shd w:val="clear" w:color="auto" w:fill="auto"/>
        <w:tabs>
          <w:tab w:val="left" w:pos="334"/>
        </w:tabs>
        <w:spacing w:line="233" w:lineRule="auto"/>
        <w:ind w:left="300" w:hanging="300"/>
      </w:pPr>
      <w:r>
        <w:t>Práva a</w:t>
      </w:r>
      <w:r>
        <w:t xml:space="preserve"> povinnosti smluvních stran, které nejsou výslovně upraveny smlouvou, se řídí obecně závaznými právními předpisy, zejména příslušnými ustanoveními občanského zákoníku.</w:t>
      </w:r>
    </w:p>
    <w:p w:rsidR="00BA0A59" w:rsidRDefault="0054049E">
      <w:pPr>
        <w:pStyle w:val="Bodytext10"/>
        <w:numPr>
          <w:ilvl w:val="0"/>
          <w:numId w:val="5"/>
        </w:numPr>
        <w:shd w:val="clear" w:color="auto" w:fill="auto"/>
        <w:tabs>
          <w:tab w:val="left" w:pos="341"/>
        </w:tabs>
        <w:ind w:left="300" w:hanging="300"/>
      </w:pPr>
      <w:r>
        <w:t>Změny a doplňky smlouvy lze provádět pouze se souhlasem obou smluvních stran, který musí</w:t>
      </w:r>
      <w:r>
        <w:t xml:space="preserve"> být učiněn písemně ve formě dodatků, číslovaných v chronologickém pořadí. Smlouva byla vyhotovena ve čtyřech exemplářích, z nichž každá ze smluvních stran obdrží po dvou.</w:t>
      </w:r>
    </w:p>
    <w:p w:rsidR="00BA0A59" w:rsidRDefault="0054049E">
      <w:pPr>
        <w:pStyle w:val="Bodytext10"/>
        <w:numPr>
          <w:ilvl w:val="0"/>
          <w:numId w:val="5"/>
        </w:numPr>
        <w:shd w:val="clear" w:color="auto" w:fill="auto"/>
        <w:tabs>
          <w:tab w:val="left" w:pos="341"/>
        </w:tabs>
        <w:spacing w:after="440"/>
        <w:ind w:left="300" w:hanging="300"/>
      </w:pPr>
      <w:r>
        <w:t>Obé smluvní strany prohlašují, že se podrobně seznámily s textem smlouvy, jejímu obs</w:t>
      </w:r>
      <w:r>
        <w:t>ahu rozumí a souhlasí s ním a na důkaz toho smlouvu podepisují.</w:t>
      </w:r>
    </w:p>
    <w:p w:rsidR="00BA0A59" w:rsidRDefault="0054049E">
      <w:pPr>
        <w:pStyle w:val="Heading110"/>
        <w:keepNext/>
        <w:keepLines/>
        <w:shd w:val="clear" w:color="auto" w:fill="auto"/>
        <w:spacing w:after="440"/>
        <w:jc w:val="left"/>
        <w:rPr>
          <w:sz w:val="18"/>
          <w:szCs w:val="18"/>
        </w:rPr>
      </w:pPr>
      <w:bookmarkStart w:id="8" w:name="bookmark8"/>
      <w:bookmarkStart w:id="9" w:name="bookmark9"/>
      <w:r>
        <w:t xml:space="preserve">Ve Zlíně dne </w:t>
      </w:r>
      <w:bookmarkEnd w:id="8"/>
      <w:bookmarkEnd w:id="9"/>
      <w:r w:rsidR="00526A2E">
        <w:t>17. 7. 2003</w:t>
      </w:r>
    </w:p>
    <w:p w:rsidR="00BA0A59" w:rsidRDefault="00526A2E">
      <w:pPr>
        <w:pStyle w:val="Heading110"/>
        <w:keepNext/>
        <w:keepLines/>
        <w:shd w:val="clear" w:color="auto" w:fill="auto"/>
        <w:spacing w:after="260"/>
        <w:ind w:left="1140"/>
        <w:jc w:val="left"/>
      </w:pPr>
      <w:bookmarkStart w:id="10" w:name="bookmark10"/>
      <w:bookmarkStart w:id="11" w:name="bookmark11"/>
      <w:r>
        <w:t>Vypůjčitel:</w:t>
      </w:r>
      <w:r>
        <w:tab/>
      </w:r>
      <w:r>
        <w:tab/>
      </w:r>
      <w:r>
        <w:tab/>
      </w:r>
      <w:r>
        <w:tab/>
      </w:r>
      <w:r>
        <w:tab/>
      </w:r>
      <w:bookmarkStart w:id="12" w:name="_GoBack"/>
      <w:bookmarkEnd w:id="12"/>
      <w:proofErr w:type="spellStart"/>
      <w:r w:rsidR="0054049E">
        <w:t>Půjčitel</w:t>
      </w:r>
      <w:proofErr w:type="spellEnd"/>
      <w:r w:rsidR="0054049E">
        <w:t>:</w:t>
      </w:r>
      <w:bookmarkEnd w:id="10"/>
      <w:bookmarkEnd w:id="11"/>
    </w:p>
    <w:p w:rsidR="00BA0A59" w:rsidRDefault="00BA0A59">
      <w:pPr>
        <w:pStyle w:val="Bodytext20"/>
        <w:shd w:val="clear" w:color="auto" w:fill="auto"/>
        <w:tabs>
          <w:tab w:val="left" w:pos="4373"/>
        </w:tabs>
      </w:pPr>
    </w:p>
    <w:p w:rsidR="00BA0A59" w:rsidRDefault="0054049E">
      <w:pPr>
        <w:pStyle w:val="Bodytext30"/>
        <w:shd w:val="clear" w:color="auto" w:fill="auto"/>
      </w:pPr>
      <w:r>
        <w:t>2/2</w:t>
      </w:r>
    </w:p>
    <w:sectPr w:rsidR="00BA0A59">
      <w:pgSz w:w="11900" w:h="16840"/>
      <w:pgMar w:top="862" w:right="1245" w:bottom="515" w:left="1259" w:header="434" w:footer="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49E" w:rsidRDefault="0054049E">
      <w:r>
        <w:separator/>
      </w:r>
    </w:p>
  </w:endnote>
  <w:endnote w:type="continuationSeparator" w:id="0">
    <w:p w:rsidR="0054049E" w:rsidRDefault="0054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49E" w:rsidRDefault="0054049E"/>
  </w:footnote>
  <w:footnote w:type="continuationSeparator" w:id="0">
    <w:p w:rsidR="0054049E" w:rsidRDefault="005404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E51"/>
    <w:multiLevelType w:val="multilevel"/>
    <w:tmpl w:val="E52C528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803316"/>
    <w:multiLevelType w:val="multilevel"/>
    <w:tmpl w:val="0518B7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23609A"/>
    <w:multiLevelType w:val="multilevel"/>
    <w:tmpl w:val="76BEEC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194CB6"/>
    <w:multiLevelType w:val="multilevel"/>
    <w:tmpl w:val="6B5868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F5DB2"/>
    <w:multiLevelType w:val="multilevel"/>
    <w:tmpl w:val="8BCC7E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59"/>
    <w:rsid w:val="00526A2E"/>
    <w:rsid w:val="0054049E"/>
    <w:rsid w:val="00B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0F58"/>
  <w15:docId w15:val="{D9118883-4632-4A7F-B715-5C8C44E0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color w:val="5188E3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after="40" w:line="218" w:lineRule="auto"/>
      <w:ind w:left="840"/>
      <w:jc w:val="right"/>
    </w:pPr>
    <w:rPr>
      <w:rFonts w:ascii="Arial" w:eastAsia="Arial" w:hAnsi="Arial" w:cs="Arial"/>
      <w:color w:val="5188E3"/>
      <w:sz w:val="18"/>
      <w:szCs w:val="18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346" w:lineRule="auto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15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1760"/>
      <w:ind w:left="1140" w:firstLine="1020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c224e_KHS_zapad5p_BN-20200428085059</vt:lpstr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c224e_KHS_zapad5p_BN-20200428085059</dc:title>
  <dc:subject/>
  <dc:creator>Gabriela Vinklerová</dc:creator>
  <cp:keywords/>
  <cp:lastModifiedBy>Vinklerová Gabriela</cp:lastModifiedBy>
  <cp:revision>2</cp:revision>
  <dcterms:created xsi:type="dcterms:W3CDTF">2020-04-28T08:29:00Z</dcterms:created>
  <dcterms:modified xsi:type="dcterms:W3CDTF">2020-04-28T08:29:00Z</dcterms:modified>
</cp:coreProperties>
</file>