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FD2" w:rsidRDefault="00F26FD2" w:rsidP="0012035D">
      <w:pPr>
        <w:widowControl w:val="0"/>
        <w:outlineLvl w:val="0"/>
        <w:rPr>
          <w:rFonts w:ascii="Arial" w:hAnsi="Arial" w:cs="Arial"/>
          <w:b/>
          <w:i/>
          <w:color w:val="FF0000"/>
          <w:sz w:val="20"/>
        </w:rPr>
      </w:pPr>
      <w:bookmarkStart w:id="0" w:name="_GoBack"/>
      <w:bookmarkEnd w:id="0"/>
    </w:p>
    <w:p w:rsidR="00F26FD2" w:rsidRDefault="00F26FD2" w:rsidP="0012035D">
      <w:pPr>
        <w:widowControl w:val="0"/>
        <w:outlineLvl w:val="0"/>
        <w:rPr>
          <w:rFonts w:ascii="Arial" w:hAnsi="Arial" w:cs="Arial"/>
          <w:b/>
          <w:i/>
          <w:color w:val="FF0000"/>
          <w:sz w:val="20"/>
        </w:rPr>
      </w:pPr>
    </w:p>
    <w:p w:rsidR="0012035D" w:rsidRPr="007A71BB" w:rsidRDefault="0012035D" w:rsidP="0012035D">
      <w:pPr>
        <w:widowControl w:val="0"/>
        <w:outlineLvl w:val="0"/>
        <w:rPr>
          <w:rFonts w:ascii="Arial" w:hAnsi="Arial" w:cs="Arial"/>
          <w:b/>
          <w:sz w:val="20"/>
        </w:rPr>
      </w:pPr>
      <w:r w:rsidRPr="007A71BB">
        <w:rPr>
          <w:rFonts w:ascii="Arial" w:hAnsi="Arial" w:cs="Arial"/>
          <w:b/>
          <w:sz w:val="20"/>
        </w:rPr>
        <w:t>UniCredit Bank Czech Republic</w:t>
      </w:r>
      <w:r w:rsidR="00F54B7E" w:rsidRPr="007A71BB">
        <w:rPr>
          <w:rFonts w:ascii="Arial" w:hAnsi="Arial" w:cs="Arial"/>
          <w:b/>
          <w:sz w:val="20"/>
        </w:rPr>
        <w:t xml:space="preserve"> and Slovakia</w:t>
      </w:r>
      <w:r w:rsidRPr="007A71BB">
        <w:rPr>
          <w:rFonts w:ascii="Arial" w:hAnsi="Arial" w:cs="Arial"/>
          <w:b/>
          <w:sz w:val="20"/>
        </w:rPr>
        <w:t>, a.s.</w:t>
      </w:r>
      <w:r w:rsidRPr="007A71BB">
        <w:rPr>
          <w:rFonts w:ascii="Arial" w:hAnsi="Arial" w:cs="Arial"/>
          <w:sz w:val="20"/>
        </w:rPr>
        <w:t>,</w:t>
      </w:r>
    </w:p>
    <w:p w:rsidR="00D363F3" w:rsidRPr="007A71BB" w:rsidRDefault="00D363F3" w:rsidP="0012035D">
      <w:pPr>
        <w:widowControl w:val="0"/>
        <w:rPr>
          <w:rFonts w:ascii="Arial" w:hAnsi="Arial" w:cs="Arial"/>
          <w:sz w:val="20"/>
        </w:rPr>
      </w:pPr>
      <w:r w:rsidRPr="007A71BB">
        <w:rPr>
          <w:rFonts w:ascii="Arial" w:hAnsi="Arial" w:cs="Arial"/>
          <w:sz w:val="20"/>
        </w:rPr>
        <w:t>sídlem Praha 4 - Michle, Želetavská 1525/1, PSČ 140 92,</w:t>
      </w:r>
    </w:p>
    <w:p w:rsidR="0012035D" w:rsidRPr="007A71BB" w:rsidRDefault="0012035D" w:rsidP="0012035D">
      <w:pPr>
        <w:widowControl w:val="0"/>
        <w:rPr>
          <w:rFonts w:ascii="Arial" w:hAnsi="Arial" w:cs="Arial"/>
          <w:sz w:val="20"/>
        </w:rPr>
      </w:pPr>
      <w:r w:rsidRPr="007A71BB">
        <w:rPr>
          <w:rFonts w:ascii="Arial" w:hAnsi="Arial" w:cs="Arial"/>
          <w:sz w:val="20"/>
        </w:rPr>
        <w:t>IČ</w:t>
      </w:r>
      <w:r w:rsidR="00F54B7E" w:rsidRPr="007A71BB">
        <w:rPr>
          <w:rFonts w:ascii="Arial" w:hAnsi="Arial" w:cs="Arial"/>
          <w:sz w:val="20"/>
        </w:rPr>
        <w:t>O</w:t>
      </w:r>
      <w:r w:rsidRPr="007A71BB">
        <w:rPr>
          <w:rFonts w:ascii="Arial" w:hAnsi="Arial" w:cs="Arial"/>
          <w:sz w:val="20"/>
        </w:rPr>
        <w:t xml:space="preserve"> 64948242, zapsaná v obchodním rejstříku vedeném Městským soudem v Praze, oddíl B, vložka 3608,</w:t>
      </w:r>
    </w:p>
    <w:p w:rsidR="0012035D" w:rsidRPr="007A71BB" w:rsidRDefault="0012035D" w:rsidP="0012035D">
      <w:pPr>
        <w:widowControl w:val="0"/>
        <w:rPr>
          <w:rFonts w:ascii="Arial" w:hAnsi="Arial" w:cs="Arial"/>
          <w:sz w:val="20"/>
        </w:rPr>
      </w:pPr>
      <w:r w:rsidRPr="007A71BB">
        <w:rPr>
          <w:rFonts w:ascii="Arial" w:hAnsi="Arial" w:cs="Arial"/>
          <w:sz w:val="20"/>
        </w:rPr>
        <w:t>zastoupená oprávněnými níže podepsanými osobami,</w:t>
      </w:r>
    </w:p>
    <w:p w:rsidR="0012035D" w:rsidRPr="007A71BB" w:rsidRDefault="0012035D" w:rsidP="0012035D">
      <w:pPr>
        <w:widowControl w:val="0"/>
        <w:rPr>
          <w:rFonts w:ascii="Arial" w:hAnsi="Arial" w:cs="Arial"/>
          <w:sz w:val="20"/>
        </w:rPr>
      </w:pPr>
      <w:r w:rsidRPr="007A71BB">
        <w:rPr>
          <w:rFonts w:ascii="Arial" w:hAnsi="Arial" w:cs="Arial"/>
          <w:sz w:val="20"/>
        </w:rPr>
        <w:t xml:space="preserve">na straně jedné jako </w:t>
      </w:r>
      <w:r w:rsidR="00F719DC" w:rsidRPr="007A71BB">
        <w:rPr>
          <w:rFonts w:ascii="Arial" w:hAnsi="Arial" w:cs="Arial"/>
          <w:sz w:val="20"/>
        </w:rPr>
        <w:t>úvěrující</w:t>
      </w:r>
    </w:p>
    <w:p w:rsidR="0012035D" w:rsidRPr="007A71BB" w:rsidRDefault="0012035D" w:rsidP="0012035D">
      <w:pPr>
        <w:widowControl w:val="0"/>
        <w:rPr>
          <w:rFonts w:ascii="Arial" w:hAnsi="Arial" w:cs="Arial"/>
          <w:sz w:val="20"/>
        </w:rPr>
      </w:pPr>
      <w:r w:rsidRPr="007A71BB">
        <w:rPr>
          <w:rFonts w:ascii="Arial" w:hAnsi="Arial" w:cs="Arial"/>
          <w:sz w:val="20"/>
        </w:rPr>
        <w:t>(dále jen „</w:t>
      </w:r>
      <w:r w:rsidRPr="007A71BB">
        <w:rPr>
          <w:rFonts w:ascii="Arial" w:hAnsi="Arial" w:cs="Arial"/>
          <w:b/>
          <w:sz w:val="20"/>
        </w:rPr>
        <w:t>Banka</w:t>
      </w:r>
      <w:r w:rsidRPr="007A71BB">
        <w:rPr>
          <w:rFonts w:ascii="Arial" w:hAnsi="Arial" w:cs="Arial"/>
          <w:sz w:val="20"/>
        </w:rPr>
        <w:t>”)</w:t>
      </w:r>
    </w:p>
    <w:p w:rsidR="0012035D" w:rsidRPr="007A71BB" w:rsidRDefault="0012035D" w:rsidP="0012035D">
      <w:pPr>
        <w:pStyle w:val="Styl1"/>
        <w:widowControl w:val="0"/>
        <w:rPr>
          <w:rFonts w:ascii="Arial" w:hAnsi="Arial" w:cs="Arial"/>
        </w:rPr>
      </w:pPr>
    </w:p>
    <w:p w:rsidR="0012035D" w:rsidRPr="007A71BB" w:rsidRDefault="0012035D" w:rsidP="0012035D">
      <w:pPr>
        <w:pStyle w:val="Styl1"/>
        <w:widowControl w:val="0"/>
        <w:rPr>
          <w:rFonts w:ascii="Arial" w:hAnsi="Arial" w:cs="Arial"/>
        </w:rPr>
      </w:pPr>
      <w:r w:rsidRPr="007A71BB">
        <w:rPr>
          <w:rFonts w:ascii="Arial" w:hAnsi="Arial" w:cs="Arial"/>
        </w:rPr>
        <w:t>a</w:t>
      </w:r>
    </w:p>
    <w:p w:rsidR="0012035D" w:rsidRPr="007A71BB" w:rsidRDefault="0012035D" w:rsidP="0012035D">
      <w:pPr>
        <w:pStyle w:val="Styl1"/>
        <w:widowControl w:val="0"/>
        <w:rPr>
          <w:rFonts w:ascii="Arial" w:hAnsi="Arial" w:cs="Arial"/>
        </w:rPr>
      </w:pPr>
    </w:p>
    <w:p w:rsidR="00895CFF" w:rsidRPr="00895CFF" w:rsidRDefault="00895CFF" w:rsidP="00895CFF">
      <w:pPr>
        <w:widowControl w:val="0"/>
        <w:rPr>
          <w:rFonts w:ascii="Arial" w:hAnsi="Arial" w:cs="Arial"/>
          <w:b/>
          <w:sz w:val="20"/>
        </w:rPr>
      </w:pPr>
      <w:r w:rsidRPr="00895CFF">
        <w:rPr>
          <w:rFonts w:ascii="Arial" w:hAnsi="Arial" w:cs="Arial"/>
          <w:sz w:val="20"/>
        </w:rPr>
        <w:t xml:space="preserve">korporace </w:t>
      </w:r>
      <w:r w:rsidRPr="00895CFF">
        <w:rPr>
          <w:rFonts w:ascii="Arial" w:hAnsi="Arial" w:cs="Arial"/>
          <w:b/>
          <w:color w:val="000000"/>
          <w:sz w:val="20"/>
        </w:rPr>
        <w:t>Krajská nemocnice T. Bati, a. s.</w:t>
      </w:r>
      <w:r w:rsidRPr="00895CFF">
        <w:rPr>
          <w:rFonts w:ascii="Arial" w:hAnsi="Arial" w:cs="Arial"/>
          <w:sz w:val="20"/>
        </w:rPr>
        <w:t>,</w:t>
      </w:r>
    </w:p>
    <w:p w:rsidR="00895CFF" w:rsidRPr="00895CFF" w:rsidRDefault="00895CFF" w:rsidP="00895CFF">
      <w:pPr>
        <w:widowControl w:val="0"/>
        <w:rPr>
          <w:rFonts w:ascii="Arial" w:hAnsi="Arial" w:cs="Arial"/>
          <w:sz w:val="20"/>
        </w:rPr>
      </w:pPr>
      <w:r w:rsidRPr="00895CFF">
        <w:rPr>
          <w:rFonts w:ascii="Arial" w:hAnsi="Arial" w:cs="Arial"/>
          <w:sz w:val="20"/>
        </w:rPr>
        <w:t xml:space="preserve">sídlem </w:t>
      </w:r>
      <w:r w:rsidRPr="00895CFF">
        <w:rPr>
          <w:rFonts w:ascii="Arial" w:hAnsi="Arial" w:cs="Arial"/>
          <w:color w:val="000000"/>
          <w:sz w:val="20"/>
        </w:rPr>
        <w:t>Zlín, Havlíčkovo nábřeží 600, PSČ 762 75</w:t>
      </w:r>
      <w:r w:rsidRPr="00895CFF">
        <w:rPr>
          <w:rFonts w:ascii="Arial" w:hAnsi="Arial" w:cs="Arial"/>
          <w:sz w:val="20"/>
        </w:rPr>
        <w:t>,</w:t>
      </w:r>
    </w:p>
    <w:p w:rsidR="00895CFF" w:rsidRPr="00895CFF" w:rsidRDefault="00895CFF" w:rsidP="00895CFF">
      <w:pPr>
        <w:widowControl w:val="0"/>
        <w:rPr>
          <w:rFonts w:ascii="Arial" w:hAnsi="Arial" w:cs="Arial"/>
          <w:sz w:val="20"/>
        </w:rPr>
      </w:pPr>
      <w:r w:rsidRPr="00895CFF">
        <w:rPr>
          <w:rFonts w:ascii="Arial" w:hAnsi="Arial" w:cs="Arial"/>
          <w:sz w:val="20"/>
        </w:rPr>
        <w:t xml:space="preserve">IČO 27661989, zapsaná v obchodním rejstříku vedeném </w:t>
      </w:r>
      <w:r w:rsidRPr="00895CFF">
        <w:rPr>
          <w:rFonts w:ascii="Arial" w:hAnsi="Arial" w:cs="Arial"/>
          <w:color w:val="000000"/>
          <w:sz w:val="20"/>
        </w:rPr>
        <w:t xml:space="preserve">Krajským soudem v </w:t>
      </w:r>
      <w:r w:rsidRPr="00895CFF">
        <w:rPr>
          <w:rFonts w:ascii="Arial" w:hAnsi="Arial" w:cs="Arial"/>
          <w:sz w:val="20"/>
        </w:rPr>
        <w:t>Brně, oddíl B, vložka 4437,</w:t>
      </w:r>
    </w:p>
    <w:p w:rsidR="00895CFF" w:rsidRPr="00895CFF" w:rsidRDefault="00895CFF" w:rsidP="00895CFF">
      <w:pPr>
        <w:widowControl w:val="0"/>
        <w:rPr>
          <w:rFonts w:ascii="Arial" w:hAnsi="Arial" w:cs="Arial"/>
          <w:sz w:val="20"/>
        </w:rPr>
      </w:pPr>
      <w:r w:rsidRPr="00895CFF">
        <w:rPr>
          <w:rFonts w:ascii="Arial" w:hAnsi="Arial" w:cs="Arial"/>
          <w:sz w:val="20"/>
        </w:rPr>
        <w:t>zastoupená oprávněnými níže podepsanými osobami,</w:t>
      </w:r>
    </w:p>
    <w:p w:rsidR="0012035D" w:rsidRPr="007A71BB" w:rsidRDefault="0012035D" w:rsidP="0012035D">
      <w:pPr>
        <w:pStyle w:val="Styl1"/>
        <w:widowControl w:val="0"/>
        <w:rPr>
          <w:rFonts w:ascii="Arial" w:hAnsi="Arial" w:cs="Arial"/>
        </w:rPr>
      </w:pPr>
      <w:r w:rsidRPr="007A71BB">
        <w:rPr>
          <w:rFonts w:ascii="Arial" w:hAnsi="Arial" w:cs="Arial"/>
        </w:rPr>
        <w:t xml:space="preserve">na straně druhé </w:t>
      </w:r>
      <w:r w:rsidRPr="007A71BB">
        <w:rPr>
          <w:rFonts w:ascii="Arial" w:hAnsi="Arial" w:cs="Arial"/>
          <w:color w:val="000000"/>
        </w:rPr>
        <w:t xml:space="preserve">jako výstavce a současně </w:t>
      </w:r>
      <w:r w:rsidR="00BD2C8F" w:rsidRPr="007A71BB">
        <w:rPr>
          <w:rFonts w:ascii="Arial" w:hAnsi="Arial" w:cs="Arial"/>
          <w:color w:val="000000"/>
        </w:rPr>
        <w:t>úvěrovaný</w:t>
      </w:r>
    </w:p>
    <w:p w:rsidR="0012035D" w:rsidRPr="007A71BB" w:rsidRDefault="0012035D" w:rsidP="0012035D">
      <w:pPr>
        <w:pStyle w:val="Styl1"/>
        <w:widowControl w:val="0"/>
        <w:rPr>
          <w:rFonts w:ascii="Arial" w:hAnsi="Arial" w:cs="Arial"/>
        </w:rPr>
      </w:pPr>
      <w:r w:rsidRPr="007A71BB">
        <w:rPr>
          <w:rFonts w:ascii="Arial" w:hAnsi="Arial" w:cs="Arial"/>
        </w:rPr>
        <w:t>(dále podle kontextu jen „</w:t>
      </w:r>
      <w:r w:rsidRPr="007A71BB">
        <w:rPr>
          <w:rFonts w:ascii="Arial" w:hAnsi="Arial" w:cs="Arial"/>
          <w:b/>
        </w:rPr>
        <w:t>Výstavce</w:t>
      </w:r>
      <w:r w:rsidRPr="007A71BB">
        <w:rPr>
          <w:rFonts w:ascii="Arial" w:hAnsi="Arial" w:cs="Arial"/>
        </w:rPr>
        <w:t>" či „</w:t>
      </w:r>
      <w:r w:rsidRPr="007A71BB">
        <w:rPr>
          <w:rFonts w:ascii="Arial" w:hAnsi="Arial" w:cs="Arial"/>
          <w:b/>
        </w:rPr>
        <w:t>Dlužník</w:t>
      </w:r>
      <w:r w:rsidR="00516824" w:rsidRPr="005F5ED2">
        <w:rPr>
          <w:rFonts w:ascii="Arial" w:hAnsi="Arial" w:cs="Arial"/>
        </w:rPr>
        <w:t>"</w:t>
      </w:r>
      <w:r w:rsidR="00516824" w:rsidRPr="00FC7B62">
        <w:rPr>
          <w:rFonts w:ascii="Arial" w:hAnsi="Arial" w:cs="Arial"/>
          <w:b/>
        </w:rPr>
        <w:t xml:space="preserve"> </w:t>
      </w:r>
      <w:r w:rsidR="00516824" w:rsidRPr="00C615E2">
        <w:rPr>
          <w:rFonts w:ascii="Arial" w:hAnsi="Arial" w:cs="Arial"/>
        </w:rPr>
        <w:t>či</w:t>
      </w:r>
      <w:r w:rsidR="00516824">
        <w:rPr>
          <w:rFonts w:ascii="Arial" w:hAnsi="Arial" w:cs="Arial"/>
        </w:rPr>
        <w:t xml:space="preserve"> </w:t>
      </w:r>
      <w:r w:rsidR="00516824" w:rsidRPr="00F14D87">
        <w:rPr>
          <w:rFonts w:ascii="Arial" w:hAnsi="Arial" w:cs="Arial"/>
        </w:rPr>
        <w:t>„</w:t>
      </w:r>
      <w:r w:rsidR="00516824" w:rsidRPr="005F5ED2">
        <w:rPr>
          <w:rFonts w:ascii="Arial" w:hAnsi="Arial" w:cs="Arial"/>
          <w:b/>
        </w:rPr>
        <w:t>Klient</w:t>
      </w:r>
      <w:r w:rsidRPr="007A71BB">
        <w:rPr>
          <w:rFonts w:ascii="Arial" w:hAnsi="Arial" w:cs="Arial"/>
        </w:rPr>
        <w:t>")</w:t>
      </w:r>
    </w:p>
    <w:p w:rsidR="0012035D" w:rsidRPr="007A71BB" w:rsidRDefault="0012035D" w:rsidP="0012035D">
      <w:pPr>
        <w:pStyle w:val="Zkladntext3"/>
        <w:widowControl w:val="0"/>
        <w:rPr>
          <w:rFonts w:ascii="Arial" w:hAnsi="Arial" w:cs="Arial"/>
          <w:b w:val="0"/>
          <w:color w:val="auto"/>
        </w:rPr>
      </w:pPr>
    </w:p>
    <w:p w:rsidR="009A56B9" w:rsidRPr="007A71BB" w:rsidRDefault="009A56B9" w:rsidP="0012035D">
      <w:pPr>
        <w:pStyle w:val="Styl1"/>
        <w:widowControl w:val="0"/>
        <w:rPr>
          <w:rFonts w:ascii="Arial" w:hAnsi="Arial" w:cs="Arial"/>
        </w:rPr>
      </w:pPr>
    </w:p>
    <w:p w:rsidR="0012035D" w:rsidRDefault="0012035D" w:rsidP="0012035D">
      <w:pPr>
        <w:pStyle w:val="Styl1"/>
        <w:widowControl w:val="0"/>
        <w:rPr>
          <w:rFonts w:ascii="Arial" w:hAnsi="Arial" w:cs="Arial"/>
        </w:rPr>
      </w:pPr>
      <w:r w:rsidRPr="007A71BB">
        <w:rPr>
          <w:rFonts w:ascii="Arial" w:hAnsi="Arial" w:cs="Arial"/>
        </w:rPr>
        <w:t>uzavírají tuto</w:t>
      </w:r>
    </w:p>
    <w:p w:rsidR="00F26FD2" w:rsidRDefault="00F26FD2" w:rsidP="0012035D">
      <w:pPr>
        <w:pStyle w:val="Styl1"/>
        <w:widowControl w:val="0"/>
        <w:rPr>
          <w:rFonts w:ascii="Arial" w:hAnsi="Arial" w:cs="Arial"/>
        </w:rPr>
      </w:pPr>
    </w:p>
    <w:p w:rsidR="006738B2" w:rsidRPr="007A71BB" w:rsidRDefault="006738B2" w:rsidP="0012035D">
      <w:pPr>
        <w:pStyle w:val="Styl1"/>
        <w:widowControl w:val="0"/>
        <w:rPr>
          <w:rFonts w:ascii="Arial" w:hAnsi="Arial" w:cs="Arial"/>
        </w:rPr>
      </w:pPr>
    </w:p>
    <w:p w:rsidR="0012035D" w:rsidRPr="007A71BB" w:rsidRDefault="0012035D" w:rsidP="0012035D">
      <w:pPr>
        <w:pStyle w:val="Styl1"/>
        <w:widowControl w:val="0"/>
        <w:jc w:val="center"/>
        <w:rPr>
          <w:rFonts w:ascii="Arial" w:hAnsi="Arial" w:cs="Arial"/>
          <w:b/>
        </w:rPr>
      </w:pPr>
    </w:p>
    <w:p w:rsidR="0012035D" w:rsidRPr="007A71BB" w:rsidRDefault="0012035D" w:rsidP="0012035D">
      <w:pPr>
        <w:pStyle w:val="Styl1"/>
        <w:widowControl w:val="0"/>
        <w:jc w:val="center"/>
        <w:outlineLvl w:val="0"/>
        <w:rPr>
          <w:rFonts w:ascii="Arial" w:hAnsi="Arial" w:cs="Arial"/>
          <w:b/>
        </w:rPr>
      </w:pPr>
      <w:r w:rsidRPr="007A71BB">
        <w:rPr>
          <w:rFonts w:ascii="Arial" w:hAnsi="Arial" w:cs="Arial"/>
          <w:b/>
        </w:rPr>
        <w:t>SMLOUVU O BUDOUCÍM VYPLNĚNÍ VLASTNÍ SMĚNKY</w:t>
      </w:r>
    </w:p>
    <w:p w:rsidR="004D565B" w:rsidRDefault="004D565B" w:rsidP="004D565B">
      <w:pPr>
        <w:pStyle w:val="Nadpis1"/>
        <w:keepNext w:val="0"/>
        <w:widowControl w:val="0"/>
        <w:spacing w:before="120"/>
        <w:jc w:val="center"/>
        <w:rPr>
          <w:sz w:val="20"/>
          <w:szCs w:val="20"/>
        </w:rPr>
      </w:pPr>
    </w:p>
    <w:p w:rsidR="00F26FD2" w:rsidRPr="00F26FD2" w:rsidRDefault="00F26FD2" w:rsidP="00F26FD2"/>
    <w:p w:rsidR="004D565B" w:rsidRPr="007A71BB" w:rsidRDefault="004D565B" w:rsidP="004D565B">
      <w:pPr>
        <w:pStyle w:val="Nadpis1"/>
        <w:keepNext w:val="0"/>
        <w:widowControl w:val="0"/>
        <w:spacing w:before="120"/>
        <w:jc w:val="center"/>
        <w:rPr>
          <w:b w:val="0"/>
          <w:sz w:val="20"/>
          <w:szCs w:val="20"/>
        </w:rPr>
      </w:pPr>
      <w:r w:rsidRPr="007A71BB">
        <w:rPr>
          <w:sz w:val="20"/>
          <w:szCs w:val="20"/>
        </w:rPr>
        <w:t>I.</w:t>
      </w:r>
    </w:p>
    <w:p w:rsidR="004D565B" w:rsidRPr="007A71BB" w:rsidRDefault="004D565B" w:rsidP="004D565B">
      <w:pPr>
        <w:rPr>
          <w:rFonts w:ascii="Arial" w:hAnsi="Arial" w:cs="Arial"/>
          <w:sz w:val="20"/>
        </w:rPr>
      </w:pPr>
    </w:p>
    <w:p w:rsidR="006738B2" w:rsidRDefault="006738B2" w:rsidP="006738B2">
      <w:pPr>
        <w:ind w:left="425" w:hanging="425"/>
        <w:rPr>
          <w:rFonts w:ascii="Arial" w:hAnsi="Arial" w:cs="Arial"/>
          <w:sz w:val="20"/>
        </w:rPr>
      </w:pPr>
      <w:r>
        <w:rPr>
          <w:rFonts w:ascii="Arial" w:hAnsi="Arial" w:cs="Arial"/>
          <w:sz w:val="20"/>
        </w:rPr>
        <w:t>1.</w:t>
      </w:r>
      <w:r>
        <w:rPr>
          <w:rFonts w:ascii="Arial" w:hAnsi="Arial" w:cs="Arial"/>
          <w:sz w:val="20"/>
        </w:rPr>
        <w:tab/>
        <w:t>Nedílnou součástí této smlouvy jsou Obecné obchodní podmínky UniCredit Bank Czech Republic and Slovakia, a.s. (dále jen „</w:t>
      </w:r>
      <w:r>
        <w:rPr>
          <w:rFonts w:ascii="Arial" w:hAnsi="Arial" w:cs="Arial"/>
          <w:b/>
          <w:sz w:val="20"/>
        </w:rPr>
        <w:t>Obecné obchodní podmínky</w:t>
      </w:r>
      <w:r>
        <w:rPr>
          <w:rFonts w:ascii="Arial" w:hAnsi="Arial" w:cs="Arial"/>
          <w:sz w:val="20"/>
        </w:rPr>
        <w:t xml:space="preserve">“), Produktové obchodní </w:t>
      </w:r>
      <w:proofErr w:type="gramStart"/>
      <w:r>
        <w:rPr>
          <w:rFonts w:ascii="Arial" w:hAnsi="Arial" w:cs="Arial"/>
          <w:sz w:val="20"/>
        </w:rPr>
        <w:t>podmínky  UniCredit</w:t>
      </w:r>
      <w:proofErr w:type="gramEnd"/>
      <w:r>
        <w:rPr>
          <w:rFonts w:ascii="Arial" w:hAnsi="Arial" w:cs="Arial"/>
          <w:sz w:val="20"/>
        </w:rPr>
        <w:t xml:space="preserve"> Bank Czech Republic and Slovakia, a.s. pro úvěry (dále jen „</w:t>
      </w:r>
      <w:r>
        <w:rPr>
          <w:rFonts w:ascii="Arial" w:hAnsi="Arial" w:cs="Arial"/>
          <w:b/>
          <w:sz w:val="20"/>
        </w:rPr>
        <w:t>Produktové obchodní podmínky</w:t>
      </w:r>
      <w:r>
        <w:rPr>
          <w:rFonts w:ascii="Arial" w:hAnsi="Arial" w:cs="Arial"/>
          <w:sz w:val="20"/>
        </w:rPr>
        <w:t>“) a Sazebník odměn za poskytování bankovních služeb UniCredit Bank Czech Republic and Slovakia, a.s. – část Firemní klientela (dále jen „</w:t>
      </w:r>
      <w:r>
        <w:rPr>
          <w:rFonts w:ascii="Arial" w:hAnsi="Arial" w:cs="Arial"/>
          <w:b/>
          <w:sz w:val="20"/>
        </w:rPr>
        <w:t>Sazebník</w:t>
      </w:r>
      <w:r>
        <w:rPr>
          <w:rFonts w:ascii="Arial" w:hAnsi="Arial" w:cs="Arial"/>
          <w:sz w:val="20"/>
        </w:rPr>
        <w:t xml:space="preserve">“). </w:t>
      </w:r>
    </w:p>
    <w:p w:rsidR="006738B2" w:rsidRDefault="006738B2" w:rsidP="006738B2">
      <w:pPr>
        <w:rPr>
          <w:rFonts w:ascii="Arial" w:hAnsi="Arial" w:cs="Arial"/>
          <w:sz w:val="20"/>
        </w:rPr>
      </w:pPr>
    </w:p>
    <w:p w:rsidR="006738B2" w:rsidRDefault="006738B2" w:rsidP="006738B2">
      <w:pPr>
        <w:ind w:left="425" w:hanging="425"/>
        <w:rPr>
          <w:rFonts w:ascii="Arial" w:hAnsi="Arial" w:cs="Arial"/>
          <w:sz w:val="20"/>
        </w:rPr>
      </w:pPr>
      <w:r>
        <w:rPr>
          <w:rFonts w:ascii="Arial" w:hAnsi="Arial" w:cs="Arial"/>
          <w:sz w:val="20"/>
        </w:rPr>
        <w:t>2.</w:t>
      </w:r>
      <w:r>
        <w:rPr>
          <w:rFonts w:ascii="Arial" w:hAnsi="Arial" w:cs="Arial"/>
          <w:sz w:val="20"/>
        </w:rPr>
        <w:tab/>
        <w:t>Klient si je tedy vědom, že vztahy vzniklé z této smlouvy nebo v souvislosti s ní, které nejsou touto smlouvou výslovně upraveny, se řídí Obecnými obchodními podmínkami a Produktovými obchodními podmínkami a že výše odměn, poplatků a dalších plateb, které je Klient povinen hradit v souvislosti s touto smlouvou, je stanovena v Sazebníku, není-li dohodnuto jinak.</w:t>
      </w:r>
    </w:p>
    <w:p w:rsidR="006738B2" w:rsidRDefault="006738B2" w:rsidP="006738B2">
      <w:pPr>
        <w:rPr>
          <w:rFonts w:ascii="Arial" w:hAnsi="Arial" w:cs="Arial"/>
          <w:sz w:val="20"/>
        </w:rPr>
      </w:pPr>
    </w:p>
    <w:p w:rsidR="006738B2" w:rsidRDefault="006738B2" w:rsidP="006738B2">
      <w:pPr>
        <w:ind w:left="425" w:hanging="425"/>
        <w:rPr>
          <w:rFonts w:ascii="Arial" w:hAnsi="Arial" w:cs="Arial"/>
          <w:sz w:val="20"/>
        </w:rPr>
      </w:pPr>
      <w:r>
        <w:rPr>
          <w:rFonts w:ascii="Arial" w:hAnsi="Arial" w:cs="Arial"/>
          <w:sz w:val="20"/>
        </w:rPr>
        <w:t>3.</w:t>
      </w:r>
      <w:r>
        <w:rPr>
          <w:rFonts w:ascii="Arial" w:hAnsi="Arial" w:cs="Arial"/>
          <w:sz w:val="20"/>
        </w:rPr>
        <w:tab/>
        <w:t>Klient potvrzuje, že obdržel Obecné obchodní podmínky platné ke dni uzavření této smlouvy, Produktové obchodní podmínky platné ke dni uzavření této smlouvy a Sazebník platný ke dni uzavření této smlouvy a že s nimi souhlasí, zavazuje se je dodržovat a případně zabezpečit jejich dodržování jím zmocněnými osobami.</w:t>
      </w:r>
    </w:p>
    <w:p w:rsidR="006738B2" w:rsidRDefault="006738B2" w:rsidP="006738B2">
      <w:pPr>
        <w:rPr>
          <w:rFonts w:ascii="Arial" w:hAnsi="Arial" w:cs="Arial"/>
          <w:sz w:val="20"/>
        </w:rPr>
      </w:pPr>
    </w:p>
    <w:p w:rsidR="006738B2" w:rsidRDefault="006738B2" w:rsidP="006738B2">
      <w:pPr>
        <w:ind w:left="425" w:hanging="425"/>
        <w:rPr>
          <w:rFonts w:ascii="Arial" w:hAnsi="Arial" w:cs="Arial"/>
          <w:sz w:val="20"/>
        </w:rPr>
      </w:pPr>
      <w:r>
        <w:rPr>
          <w:rFonts w:ascii="Arial" w:hAnsi="Arial" w:cs="Arial"/>
          <w:sz w:val="20"/>
        </w:rPr>
        <w:t>4.</w:t>
      </w:r>
      <w:r>
        <w:rPr>
          <w:rFonts w:ascii="Arial" w:hAnsi="Arial" w:cs="Arial"/>
          <w:sz w:val="20"/>
        </w:rPr>
        <w:tab/>
        <w:t>Klient výslovně přijímá oprávnění Banky Obecné obchodní podmínky i Sazebník jednostranně měnit za podmínek a postupem stanoveným pro tento účel v </w:t>
      </w:r>
      <w:proofErr w:type="spellStart"/>
      <w:r>
        <w:rPr>
          <w:rFonts w:ascii="Arial" w:hAnsi="Arial" w:cs="Arial"/>
          <w:sz w:val="20"/>
        </w:rPr>
        <w:t>ust</w:t>
      </w:r>
      <w:proofErr w:type="spellEnd"/>
      <w:r>
        <w:rPr>
          <w:rFonts w:ascii="Arial" w:hAnsi="Arial" w:cs="Arial"/>
          <w:sz w:val="20"/>
        </w:rPr>
        <w:t xml:space="preserve">. 3 a 8.3 Obecných obchodních podmínek a dále úpravu obsaženou v následujících </w:t>
      </w:r>
      <w:proofErr w:type="spellStart"/>
      <w:r>
        <w:rPr>
          <w:rFonts w:ascii="Arial" w:hAnsi="Arial" w:cs="Arial"/>
          <w:sz w:val="20"/>
        </w:rPr>
        <w:t>ust</w:t>
      </w:r>
      <w:proofErr w:type="spellEnd"/>
      <w:r>
        <w:rPr>
          <w:rFonts w:ascii="Arial" w:hAnsi="Arial" w:cs="Arial"/>
          <w:sz w:val="20"/>
        </w:rPr>
        <w:t>. Obecných obchodních podmínek: 1.1 – vztahy podřízené Obecným obchodním podmínkám, 2.2 – omezení rozsahu poskytovaných služeb, 6.3 – oprávnění Banky odmítnout požadavek Klienta, 7.2 – oprávnění Banky postoupit pohledávku nebo smlouvu na třetí osobu, 7.3 – zákaz postoupení Klientem, 7.5 – výpověď smlouvy a její důsledky, 7.6 – odstoupení od smlouvy a jeho důsledky, 9 – Úhrada pohledávek Banky, započtení a promlčení, 12.1 – omezení odpovědnosti Banky, 12.10 – omezení provozu Banky, 13.6 – doručení písemné zásilky a 14 –</w:t>
      </w:r>
      <w:r>
        <w:t xml:space="preserve"> </w:t>
      </w:r>
      <w:r>
        <w:rPr>
          <w:rFonts w:ascii="Arial" w:hAnsi="Arial" w:cs="Arial"/>
          <w:sz w:val="20"/>
        </w:rPr>
        <w:t xml:space="preserve">Rozhodné právo, soudní místo a subjekt mimosoudního řešení spotřebitelských sporů.  </w:t>
      </w:r>
    </w:p>
    <w:p w:rsidR="006738B2" w:rsidRDefault="006738B2" w:rsidP="006738B2">
      <w:pPr>
        <w:ind w:left="425" w:hanging="425"/>
        <w:rPr>
          <w:rFonts w:ascii="Arial" w:hAnsi="Arial" w:cs="Arial"/>
          <w:sz w:val="20"/>
        </w:rPr>
      </w:pPr>
    </w:p>
    <w:p w:rsidR="006738B2" w:rsidRDefault="006738B2" w:rsidP="006738B2">
      <w:pPr>
        <w:ind w:left="425" w:hanging="425"/>
        <w:rPr>
          <w:rFonts w:ascii="Arial" w:hAnsi="Arial" w:cs="Arial"/>
          <w:sz w:val="20"/>
        </w:rPr>
      </w:pPr>
    </w:p>
    <w:p w:rsidR="006738B2" w:rsidRDefault="006738B2" w:rsidP="006738B2">
      <w:pPr>
        <w:ind w:left="425" w:hanging="425"/>
        <w:rPr>
          <w:rFonts w:ascii="Arial" w:hAnsi="Arial" w:cs="Arial"/>
          <w:sz w:val="20"/>
        </w:rPr>
      </w:pPr>
    </w:p>
    <w:p w:rsidR="006738B2" w:rsidRDefault="006738B2" w:rsidP="006738B2">
      <w:pPr>
        <w:ind w:left="425" w:hanging="425"/>
        <w:rPr>
          <w:rFonts w:ascii="Arial" w:hAnsi="Arial" w:cs="Arial"/>
          <w:sz w:val="20"/>
        </w:rPr>
      </w:pPr>
    </w:p>
    <w:p w:rsidR="006738B2" w:rsidRDefault="006738B2" w:rsidP="006738B2">
      <w:pPr>
        <w:ind w:left="425" w:hanging="425"/>
        <w:rPr>
          <w:rFonts w:ascii="Arial" w:hAnsi="Arial" w:cs="Arial"/>
          <w:sz w:val="20"/>
        </w:rPr>
      </w:pPr>
      <w:r>
        <w:rPr>
          <w:rFonts w:ascii="Arial" w:hAnsi="Arial" w:cs="Arial"/>
          <w:sz w:val="20"/>
        </w:rPr>
        <w:lastRenderedPageBreak/>
        <w:t>5.</w:t>
      </w:r>
      <w:r>
        <w:rPr>
          <w:rFonts w:ascii="Arial" w:hAnsi="Arial" w:cs="Arial"/>
          <w:sz w:val="20"/>
        </w:rPr>
        <w:tab/>
        <w:t>Klient výslovně přijímá oprávnění Banky Produktové obchodní podmínky jednostranně měnit za podmínek a postupem stanoveným pro tento účel v </w:t>
      </w:r>
      <w:proofErr w:type="spellStart"/>
      <w:r>
        <w:rPr>
          <w:rFonts w:ascii="Arial" w:hAnsi="Arial" w:cs="Arial"/>
          <w:sz w:val="20"/>
        </w:rPr>
        <w:t>ust</w:t>
      </w:r>
      <w:proofErr w:type="spellEnd"/>
      <w:r>
        <w:rPr>
          <w:rFonts w:ascii="Arial" w:hAnsi="Arial" w:cs="Arial"/>
          <w:sz w:val="20"/>
        </w:rPr>
        <w:t xml:space="preserve">. 2 Produktových obchodních podmínek a dále úpravu obsaženou v následujících </w:t>
      </w:r>
      <w:proofErr w:type="spellStart"/>
      <w:r>
        <w:rPr>
          <w:rFonts w:ascii="Arial" w:hAnsi="Arial" w:cs="Arial"/>
          <w:sz w:val="20"/>
        </w:rPr>
        <w:t>ust</w:t>
      </w:r>
      <w:proofErr w:type="spellEnd"/>
      <w:r>
        <w:rPr>
          <w:rFonts w:ascii="Arial" w:hAnsi="Arial" w:cs="Arial"/>
          <w:sz w:val="20"/>
        </w:rPr>
        <w:t xml:space="preserve">. Produktových obchodních podmínek: 4.3 – právo Banky požadovat úhradu kompenzačního poplatku, 5.9 – stanovení úrokové sazby z úvěru ve zvláštních případech, 5.10 – povinnost hradit poplatky dle Sazebníku, 6.2 – povinnost nevypovědět smlouvu o vedení účtu, 7.2 – právo Banky požadovat úhradu kompenzačního poplatku, 8 – Některé další povinnosti Klienta a kontrola plnění podmínek úvěru, 9 – Závažné porušení smlouvy o úvěru a jiné závažné skutečnosti, 10 – Důsledky závažného porušení smlouvy o úvěru a jiných závažných skutečností, 11.1 – společný a nerozdílný závazek více osob a 11.3 – oprávnění Banky k ochraně její kapitálové přiměřenosti, likvidity nebo úvěrové angažovanosti.  </w:t>
      </w:r>
    </w:p>
    <w:p w:rsidR="0012035D" w:rsidRPr="007A71BB" w:rsidRDefault="0012035D" w:rsidP="00B34C86">
      <w:pPr>
        <w:pStyle w:val="Styl1"/>
        <w:widowControl w:val="0"/>
        <w:spacing w:before="120"/>
        <w:jc w:val="center"/>
        <w:rPr>
          <w:rFonts w:ascii="Arial" w:hAnsi="Arial" w:cs="Arial"/>
        </w:rPr>
      </w:pPr>
    </w:p>
    <w:p w:rsidR="0012035D" w:rsidRPr="007A71BB" w:rsidRDefault="0012035D" w:rsidP="0012035D">
      <w:pPr>
        <w:pStyle w:val="Styl1"/>
        <w:widowControl w:val="0"/>
        <w:spacing w:before="120"/>
        <w:jc w:val="center"/>
        <w:outlineLvl w:val="0"/>
        <w:rPr>
          <w:rFonts w:ascii="Arial" w:hAnsi="Arial" w:cs="Arial"/>
          <w:b/>
        </w:rPr>
      </w:pPr>
      <w:r w:rsidRPr="007A71BB">
        <w:rPr>
          <w:rFonts w:ascii="Arial" w:hAnsi="Arial" w:cs="Arial"/>
          <w:b/>
        </w:rPr>
        <w:t>I</w:t>
      </w:r>
      <w:r w:rsidR="004D565B" w:rsidRPr="007A71BB">
        <w:rPr>
          <w:rFonts w:ascii="Arial" w:hAnsi="Arial" w:cs="Arial"/>
          <w:b/>
        </w:rPr>
        <w:t>I</w:t>
      </w:r>
      <w:r w:rsidRPr="007A71BB">
        <w:rPr>
          <w:rFonts w:ascii="Arial" w:hAnsi="Arial" w:cs="Arial"/>
          <w:b/>
        </w:rPr>
        <w:t>.</w:t>
      </w:r>
    </w:p>
    <w:p w:rsidR="0012035D" w:rsidRPr="007A71BB" w:rsidRDefault="0012035D" w:rsidP="0012035D">
      <w:pPr>
        <w:pStyle w:val="Styl1"/>
        <w:widowControl w:val="0"/>
        <w:rPr>
          <w:rFonts w:ascii="Arial" w:hAnsi="Arial" w:cs="Arial"/>
          <w:b/>
        </w:rPr>
      </w:pPr>
    </w:p>
    <w:p w:rsidR="00895CFF" w:rsidRPr="00451329" w:rsidRDefault="00895CFF" w:rsidP="006738B2">
      <w:pPr>
        <w:pStyle w:val="Styl1"/>
        <w:widowControl w:val="0"/>
        <w:rPr>
          <w:rFonts w:ascii="Arial" w:hAnsi="Arial"/>
          <w:b/>
        </w:rPr>
      </w:pPr>
      <w:r w:rsidRPr="00451329">
        <w:rPr>
          <w:rFonts w:ascii="Arial" w:hAnsi="Arial" w:cs="Arial"/>
        </w:rPr>
        <w:t xml:space="preserve">Smluvní strany konstatují, že Banka jako úvěrující a Dlužník jako úvěrovaný uzavřeli dne </w:t>
      </w:r>
      <w:r w:rsidR="006738B2" w:rsidRPr="006430F2">
        <w:rPr>
          <w:rFonts w:ascii="Arial" w:hAnsi="Arial" w:cs="Arial"/>
          <w:bCs/>
        </w:rPr>
        <w:t>12. března 2013</w:t>
      </w:r>
      <w:r w:rsidR="006738B2">
        <w:rPr>
          <w:rFonts w:ascii="Arial" w:hAnsi="Arial" w:cs="Arial"/>
          <w:bCs/>
        </w:rPr>
        <w:t xml:space="preserve"> </w:t>
      </w:r>
      <w:r w:rsidRPr="00451329">
        <w:rPr>
          <w:rFonts w:ascii="Arial" w:hAnsi="Arial" w:cs="Arial"/>
          <w:b/>
        </w:rPr>
        <w:t xml:space="preserve">smlouvu o úvěru reg. č. </w:t>
      </w:r>
      <w:r w:rsidR="006738B2" w:rsidRPr="006738B2">
        <w:rPr>
          <w:rFonts w:ascii="Arial" w:hAnsi="Arial" w:cs="Arial"/>
          <w:b/>
          <w:bCs/>
          <w:color w:val="000000"/>
        </w:rPr>
        <w:t>128/</w:t>
      </w:r>
      <w:proofErr w:type="gramStart"/>
      <w:r w:rsidR="006738B2" w:rsidRPr="006738B2">
        <w:rPr>
          <w:rFonts w:ascii="Arial" w:hAnsi="Arial" w:cs="Arial"/>
          <w:b/>
          <w:bCs/>
          <w:color w:val="000000"/>
        </w:rPr>
        <w:t>13-D</w:t>
      </w:r>
      <w:proofErr w:type="gramEnd"/>
      <w:r w:rsidR="006738B2" w:rsidRPr="006738B2">
        <w:rPr>
          <w:rFonts w:ascii="Arial" w:hAnsi="Arial" w:cs="Arial"/>
          <w:b/>
          <w:bCs/>
          <w:color w:val="000000"/>
        </w:rPr>
        <w:t xml:space="preserve"> VL</w:t>
      </w:r>
      <w:r w:rsidRPr="00451329">
        <w:rPr>
          <w:rFonts w:ascii="Arial" w:hAnsi="Arial" w:cs="Arial"/>
          <w:b/>
        </w:rPr>
        <w:t xml:space="preserve"> </w:t>
      </w:r>
      <w:r w:rsidRPr="00451329">
        <w:rPr>
          <w:rFonts w:ascii="Arial" w:hAnsi="Arial" w:cs="Arial"/>
        </w:rPr>
        <w:t>(dále jen „</w:t>
      </w:r>
      <w:r w:rsidRPr="00451329">
        <w:rPr>
          <w:rFonts w:ascii="Arial" w:hAnsi="Arial" w:cs="Arial"/>
          <w:b/>
        </w:rPr>
        <w:t>zajištěná smlouva</w:t>
      </w:r>
      <w:r w:rsidRPr="00451329">
        <w:rPr>
          <w:rFonts w:ascii="Arial" w:hAnsi="Arial" w:cs="Arial"/>
        </w:rPr>
        <w:t xml:space="preserve">“), na základě které se Banka zavázala poskytnout Dlužníkovi sjednané plnění do celkové výše </w:t>
      </w:r>
      <w:proofErr w:type="spellStart"/>
      <w:r w:rsidR="00B90E89" w:rsidRPr="00B90E89">
        <w:rPr>
          <w:rFonts w:ascii="Arial" w:hAnsi="Arial" w:cs="Arial"/>
          <w:b/>
          <w:highlight w:val="black"/>
        </w:rPr>
        <w:t>xxxxxxxxxxxxxxxxxxxxxxxxxxxxxxxxxxxxxxxxxxxxxxxxxxxxxxxxx</w:t>
      </w:r>
      <w:proofErr w:type="spellEnd"/>
    </w:p>
    <w:p w:rsidR="006738B2" w:rsidRPr="007A71BB" w:rsidRDefault="006738B2" w:rsidP="006738B2">
      <w:pPr>
        <w:pStyle w:val="Styl1"/>
        <w:widowControl w:val="0"/>
        <w:spacing w:before="120"/>
        <w:jc w:val="center"/>
        <w:rPr>
          <w:rFonts w:ascii="Arial" w:hAnsi="Arial" w:cs="Arial"/>
        </w:rPr>
      </w:pPr>
    </w:p>
    <w:p w:rsidR="0012035D" w:rsidRPr="007A71BB" w:rsidRDefault="0012035D" w:rsidP="0012035D">
      <w:pPr>
        <w:pStyle w:val="Styl1"/>
        <w:widowControl w:val="0"/>
        <w:spacing w:before="120"/>
        <w:jc w:val="center"/>
        <w:outlineLvl w:val="0"/>
        <w:rPr>
          <w:rFonts w:ascii="Arial" w:hAnsi="Arial" w:cs="Arial"/>
          <w:b/>
        </w:rPr>
      </w:pPr>
      <w:r w:rsidRPr="007A71BB">
        <w:rPr>
          <w:rFonts w:ascii="Arial" w:hAnsi="Arial" w:cs="Arial"/>
          <w:b/>
        </w:rPr>
        <w:t>II</w:t>
      </w:r>
      <w:r w:rsidR="004D565B" w:rsidRPr="007A71BB">
        <w:rPr>
          <w:rFonts w:ascii="Arial" w:hAnsi="Arial" w:cs="Arial"/>
          <w:b/>
        </w:rPr>
        <w:t>I</w:t>
      </w:r>
      <w:r w:rsidRPr="007A71BB">
        <w:rPr>
          <w:rFonts w:ascii="Arial" w:hAnsi="Arial" w:cs="Arial"/>
          <w:b/>
        </w:rPr>
        <w:t>.</w:t>
      </w:r>
    </w:p>
    <w:p w:rsidR="0012035D" w:rsidRPr="007A71BB" w:rsidRDefault="0012035D" w:rsidP="00B34C86">
      <w:pPr>
        <w:pStyle w:val="Styl1"/>
        <w:widowControl w:val="0"/>
        <w:jc w:val="center"/>
        <w:outlineLvl w:val="0"/>
        <w:rPr>
          <w:rFonts w:ascii="Arial" w:hAnsi="Arial" w:cs="Arial"/>
          <w:b/>
        </w:rPr>
      </w:pPr>
    </w:p>
    <w:p w:rsidR="006738B2" w:rsidRDefault="006738B2" w:rsidP="006738B2">
      <w:pPr>
        <w:pStyle w:val="Styl1"/>
        <w:widowControl w:val="0"/>
        <w:ind w:left="425" w:hanging="425"/>
        <w:rPr>
          <w:rFonts w:ascii="Arial" w:hAnsi="Arial" w:cs="Arial"/>
        </w:rPr>
      </w:pPr>
      <w:r>
        <w:rPr>
          <w:rFonts w:ascii="Arial" w:hAnsi="Arial" w:cs="Arial"/>
        </w:rPr>
        <w:t>1.</w:t>
      </w:r>
      <w:r>
        <w:rPr>
          <w:rFonts w:ascii="Arial" w:hAnsi="Arial" w:cs="Arial"/>
        </w:rPr>
        <w:tab/>
      </w:r>
      <w:r w:rsidR="00B90E89" w:rsidRPr="00B90E89">
        <w:rPr>
          <w:rFonts w:ascii="Arial" w:hAnsi="Arial" w:cs="Arial"/>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rsidR="006738B2" w:rsidRDefault="006738B2" w:rsidP="006738B2">
      <w:pPr>
        <w:pStyle w:val="Styl1"/>
        <w:widowControl w:val="0"/>
        <w:ind w:left="425" w:hanging="425"/>
        <w:rPr>
          <w:rFonts w:ascii="Arial" w:hAnsi="Arial" w:cs="Arial"/>
        </w:rPr>
      </w:pPr>
    </w:p>
    <w:p w:rsidR="006738B2" w:rsidRDefault="006738B2" w:rsidP="006738B2">
      <w:pPr>
        <w:pStyle w:val="Styl1"/>
        <w:widowControl w:val="0"/>
        <w:ind w:left="425" w:hanging="425"/>
        <w:rPr>
          <w:rFonts w:ascii="Arial" w:hAnsi="Arial" w:cs="Arial"/>
        </w:rPr>
      </w:pPr>
      <w:r>
        <w:rPr>
          <w:rFonts w:ascii="Arial" w:hAnsi="Arial" w:cs="Arial"/>
        </w:rPr>
        <w:t>2.</w:t>
      </w:r>
      <w:r>
        <w:rPr>
          <w:rFonts w:ascii="Arial" w:hAnsi="Arial" w:cs="Arial"/>
        </w:rPr>
        <w:tab/>
        <w:t>Touto smlouvou Výstavce výslovně zmocňuje Banku k tomu, aby v případě, že splatné dluhy Dlužníka vůči Bance vyplývající ze zajištěné smlouvy nebudou v souladu se zajištěnou smlouvou uhrazeny, vyplnila na směnku datum splatnosti a směnečnou sumu a předložila mu ji k zaplacení. Jako datum splatnosti Banka vyplní jakýkoli den následující po dni, ve kterém vzniklo Bance právo směnku vyplnit, jako směnečnou sumu Banka vyplní částku odpovídající výši nezaplacených dluhů včetně příslušenství ze zajištěné smlouvy ke dni splatnosti směnky.</w:t>
      </w:r>
    </w:p>
    <w:p w:rsidR="006738B2" w:rsidRPr="007A71BB" w:rsidRDefault="006738B2" w:rsidP="006738B2">
      <w:pPr>
        <w:pStyle w:val="Styl1"/>
        <w:widowControl w:val="0"/>
        <w:spacing w:before="120"/>
        <w:jc w:val="center"/>
        <w:rPr>
          <w:rFonts w:ascii="Arial" w:hAnsi="Arial" w:cs="Arial"/>
        </w:rPr>
      </w:pPr>
    </w:p>
    <w:p w:rsidR="0012035D" w:rsidRPr="007A71BB" w:rsidRDefault="004D565B" w:rsidP="0012035D">
      <w:pPr>
        <w:pStyle w:val="Styl1"/>
        <w:widowControl w:val="0"/>
        <w:spacing w:before="120"/>
        <w:jc w:val="center"/>
        <w:outlineLvl w:val="0"/>
        <w:rPr>
          <w:rFonts w:ascii="Arial" w:hAnsi="Arial" w:cs="Arial"/>
          <w:b/>
        </w:rPr>
      </w:pPr>
      <w:r w:rsidRPr="007A71BB">
        <w:rPr>
          <w:rFonts w:ascii="Arial" w:hAnsi="Arial" w:cs="Arial"/>
          <w:b/>
        </w:rPr>
        <w:t>IV.</w:t>
      </w:r>
    </w:p>
    <w:p w:rsidR="0012035D" w:rsidRPr="007A71BB" w:rsidRDefault="0012035D" w:rsidP="0012035D">
      <w:pPr>
        <w:pStyle w:val="Styl1"/>
        <w:widowControl w:val="0"/>
        <w:rPr>
          <w:rFonts w:ascii="Arial" w:hAnsi="Arial" w:cs="Arial"/>
        </w:rPr>
      </w:pPr>
    </w:p>
    <w:p w:rsidR="006738B2" w:rsidRDefault="006738B2" w:rsidP="006738B2">
      <w:pPr>
        <w:pStyle w:val="Styl1"/>
        <w:widowControl w:val="0"/>
        <w:rPr>
          <w:rFonts w:ascii="Arial" w:hAnsi="Arial" w:cs="Arial"/>
        </w:rPr>
      </w:pPr>
      <w:r>
        <w:rPr>
          <w:rFonts w:ascii="Arial" w:hAnsi="Arial" w:cs="Arial"/>
        </w:rPr>
        <w:t>V případě, že Dlužník řádně a včas uhradí dluhy vyplývající ze zajištěné smlouvy, je Banka povinna Výstavci na základě jeho výzvy směnku bez zbytečného odkladu vydat, a to proti písemnému potvrzení o jejím převzetí. Nepožádá-li Výstavce o vydání vystavené směnky nejpozději do 15 dnů po uhrazení všech dluhů Dlužníka vůči Bance vyplývajících ze zajištěné smlouvy, nebo nedostaví-li se ve stejné lhůtě k vyzvednutí směnky v místě a čase předem s Bankou dohodnutých, sepíše Banka protokol o zničení směnky a směnku zničí.</w:t>
      </w:r>
    </w:p>
    <w:p w:rsidR="006738B2" w:rsidRPr="007A71BB" w:rsidRDefault="006738B2" w:rsidP="006738B2">
      <w:pPr>
        <w:pStyle w:val="Styl1"/>
        <w:widowControl w:val="0"/>
        <w:spacing w:before="120"/>
        <w:jc w:val="center"/>
        <w:rPr>
          <w:rFonts w:ascii="Arial" w:hAnsi="Arial" w:cs="Arial"/>
        </w:rPr>
      </w:pPr>
    </w:p>
    <w:p w:rsidR="002E4425" w:rsidRDefault="002E4425" w:rsidP="002E4425">
      <w:pPr>
        <w:pStyle w:val="Styl1"/>
        <w:widowControl w:val="0"/>
        <w:spacing w:before="120"/>
        <w:jc w:val="center"/>
        <w:outlineLvl w:val="0"/>
        <w:rPr>
          <w:rFonts w:ascii="Arial" w:hAnsi="Arial" w:cs="Arial"/>
          <w:b/>
        </w:rPr>
      </w:pPr>
      <w:r>
        <w:rPr>
          <w:rFonts w:ascii="Arial" w:hAnsi="Arial" w:cs="Arial"/>
          <w:b/>
        </w:rPr>
        <w:t>V.</w:t>
      </w:r>
    </w:p>
    <w:p w:rsidR="006738B2" w:rsidRPr="007A71BB" w:rsidRDefault="006738B2" w:rsidP="006738B2">
      <w:pPr>
        <w:pStyle w:val="Styl1"/>
        <w:widowControl w:val="0"/>
        <w:rPr>
          <w:rFonts w:ascii="Arial" w:hAnsi="Arial" w:cs="Arial"/>
        </w:rPr>
      </w:pPr>
    </w:p>
    <w:p w:rsidR="002E4425" w:rsidRDefault="002E4425" w:rsidP="002E4425">
      <w:pPr>
        <w:rPr>
          <w:rFonts w:ascii="Arial" w:hAnsi="Arial" w:cs="Arial"/>
          <w:sz w:val="20"/>
        </w:rPr>
      </w:pPr>
      <w:r>
        <w:rPr>
          <w:rFonts w:ascii="Arial" w:hAnsi="Arial" w:cs="Arial"/>
          <w:sz w:val="20"/>
        </w:rPr>
        <w:t xml:space="preserve">Výstavce se </w:t>
      </w:r>
      <w:r>
        <w:rPr>
          <w:rFonts w:ascii="Arial" w:eastAsia="Arial" w:hAnsi="Arial" w:cs="Arial"/>
          <w:sz w:val="20"/>
        </w:rPr>
        <w:t xml:space="preserve">v souladu se </w:t>
      </w:r>
      <w:r>
        <w:rPr>
          <w:rFonts w:ascii="Arial" w:hAnsi="Arial" w:cs="Arial"/>
          <w:sz w:val="20"/>
        </w:rPr>
        <w:t>zákonem č. 340/2015 Sb., o zvláštních podmínkách účinnosti některých smluv, uveřejňování těchto smluv a o registru smluv (zákon o registru smluv), ve znění pozdějších předpisů, (dále jen „</w:t>
      </w:r>
      <w:r>
        <w:rPr>
          <w:rFonts w:ascii="Arial" w:hAnsi="Arial" w:cs="Arial"/>
          <w:b/>
          <w:sz w:val="20"/>
        </w:rPr>
        <w:t>Zákon o registru smluv</w:t>
      </w:r>
      <w:r>
        <w:rPr>
          <w:rFonts w:ascii="Arial" w:hAnsi="Arial" w:cs="Arial"/>
          <w:sz w:val="20"/>
        </w:rPr>
        <w:t xml:space="preserve">“) zavazuje, že zajistí uveřejnění této smlouvy, a to bez odkladu po jejím uzavření. Vyloučí-li </w:t>
      </w:r>
      <w:r w:rsidR="009547EB">
        <w:rPr>
          <w:rFonts w:ascii="Arial" w:hAnsi="Arial" w:cs="Arial"/>
          <w:sz w:val="20"/>
        </w:rPr>
        <w:t xml:space="preserve">Výstavce </w:t>
      </w:r>
      <w:r>
        <w:rPr>
          <w:rFonts w:ascii="Arial" w:hAnsi="Arial" w:cs="Arial"/>
          <w:sz w:val="20"/>
        </w:rPr>
        <w:t xml:space="preserve">určité informace z uveřejnění, je povinen Banku o provedení jejich znečitelnění v elektronickém obrazu textového obsahu smlouvy zaslaném správci registru smluv informovat. </w:t>
      </w:r>
    </w:p>
    <w:p w:rsidR="002E4425" w:rsidRDefault="002E4425" w:rsidP="002E4425">
      <w:pPr>
        <w:spacing w:before="60"/>
        <w:rPr>
          <w:rFonts w:ascii="Arial" w:eastAsia="Arial" w:hAnsi="Arial" w:cs="Arial"/>
          <w:sz w:val="20"/>
        </w:rPr>
      </w:pPr>
      <w:r>
        <w:rPr>
          <w:rFonts w:ascii="Arial" w:hAnsi="Arial" w:cs="Arial"/>
          <w:sz w:val="20"/>
        </w:rPr>
        <w:t>Bez ohledu na výše uvedené Výstavce souhlasí s tím, aby Banka v zájmu nezrušení smlouvy uveřejnila podle § 7 odst. 2 Zákona o registru smluv celou smlouvu včetně všech příloh, i kdyby šlo (i) o dokumenty, údaje či informace podle § 3 Zákona o registru smluv, (</w:t>
      </w:r>
      <w:proofErr w:type="spellStart"/>
      <w:r>
        <w:rPr>
          <w:rFonts w:ascii="Arial" w:hAnsi="Arial" w:cs="Arial"/>
          <w:sz w:val="20"/>
        </w:rPr>
        <w:t>ii</w:t>
      </w:r>
      <w:proofErr w:type="spellEnd"/>
      <w:r>
        <w:rPr>
          <w:rFonts w:ascii="Arial" w:hAnsi="Arial" w:cs="Arial"/>
          <w:sz w:val="20"/>
        </w:rPr>
        <w:t>) o informace představující bankovní tajemství ve smyslu zákona č. 21/1992 Sb., o bankách, a/nebo (</w:t>
      </w:r>
      <w:proofErr w:type="spellStart"/>
      <w:r>
        <w:rPr>
          <w:rFonts w:ascii="Arial" w:hAnsi="Arial" w:cs="Arial"/>
          <w:sz w:val="20"/>
        </w:rPr>
        <w:t>iii</w:t>
      </w:r>
      <w:proofErr w:type="spellEnd"/>
      <w:r>
        <w:rPr>
          <w:rFonts w:ascii="Arial" w:hAnsi="Arial" w:cs="Arial"/>
          <w:sz w:val="20"/>
        </w:rPr>
        <w:t>) o jakékoliv jiné dokumenty, údaje či informace, byť by byly důvěrné či jinak chráněné, a to i dle zvláštních právních předpisů.</w:t>
      </w:r>
      <w:r>
        <w:rPr>
          <w:sz w:val="20"/>
        </w:rPr>
        <w:t xml:space="preserve"> </w:t>
      </w:r>
    </w:p>
    <w:p w:rsidR="002E4425" w:rsidRDefault="002E4425" w:rsidP="006738B2">
      <w:pPr>
        <w:pStyle w:val="Styl1"/>
        <w:spacing w:before="60"/>
        <w:outlineLvl w:val="0"/>
        <w:rPr>
          <w:rFonts w:ascii="Arial" w:hAnsi="Arial" w:cs="Arial"/>
        </w:rPr>
      </w:pPr>
      <w:r>
        <w:rPr>
          <w:rFonts w:ascii="Arial" w:hAnsi="Arial" w:cs="Arial"/>
        </w:rPr>
        <w:lastRenderedPageBreak/>
        <w:t>Výstavce bere na vědomí, že v případě neuveřejnění této smlouvy či jejích dodatků v rozsahu a kvalitě požadovaných Zákonem o registru smluv nese odpovědnost za případné škody vzniklé Bance v důsledku této skutečnosti.</w:t>
      </w:r>
    </w:p>
    <w:p w:rsidR="006738B2" w:rsidRPr="007A71BB" w:rsidRDefault="006738B2" w:rsidP="006738B2">
      <w:pPr>
        <w:pStyle w:val="Styl1"/>
        <w:widowControl w:val="0"/>
        <w:spacing w:before="120"/>
        <w:jc w:val="center"/>
        <w:rPr>
          <w:rFonts w:ascii="Arial" w:hAnsi="Arial" w:cs="Arial"/>
        </w:rPr>
      </w:pPr>
    </w:p>
    <w:p w:rsidR="002E4425" w:rsidRDefault="002E4425" w:rsidP="002E4425">
      <w:pPr>
        <w:pStyle w:val="Styl1"/>
        <w:widowControl w:val="0"/>
        <w:spacing w:before="120"/>
        <w:jc w:val="center"/>
        <w:outlineLvl w:val="0"/>
        <w:rPr>
          <w:rFonts w:ascii="Arial" w:hAnsi="Arial" w:cs="Arial"/>
          <w:b/>
        </w:rPr>
      </w:pPr>
      <w:r>
        <w:rPr>
          <w:rFonts w:ascii="Arial" w:hAnsi="Arial" w:cs="Arial"/>
          <w:b/>
        </w:rPr>
        <w:t>VI.</w:t>
      </w:r>
    </w:p>
    <w:p w:rsidR="006738B2" w:rsidRPr="007A71BB" w:rsidRDefault="006738B2" w:rsidP="006738B2">
      <w:pPr>
        <w:pStyle w:val="Styl1"/>
        <w:widowControl w:val="0"/>
        <w:rPr>
          <w:rFonts w:ascii="Arial" w:hAnsi="Arial" w:cs="Arial"/>
        </w:rPr>
      </w:pPr>
    </w:p>
    <w:p w:rsidR="002E4425" w:rsidRDefault="002E4425" w:rsidP="002E4425">
      <w:pPr>
        <w:pStyle w:val="Styl1"/>
        <w:widowControl w:val="0"/>
        <w:ind w:left="426" w:hanging="426"/>
        <w:rPr>
          <w:rFonts w:ascii="Arial" w:hAnsi="Arial" w:cs="Arial"/>
        </w:rPr>
      </w:pPr>
      <w:r>
        <w:rPr>
          <w:rFonts w:ascii="Arial" w:hAnsi="Arial" w:cs="Arial"/>
        </w:rPr>
        <w:t xml:space="preserve">1. </w:t>
      </w:r>
      <w:r>
        <w:rPr>
          <w:rFonts w:ascii="Arial" w:hAnsi="Arial" w:cs="Arial"/>
        </w:rPr>
        <w:tab/>
        <w:t xml:space="preserve">Smlouva je sepsána ve dvou vyhotoveních v českém jazyce; každá smluvní strana obdrží po jednom vyhotovení smlouvy opatřeném podpisy obou smluvních stran. </w:t>
      </w:r>
    </w:p>
    <w:p w:rsidR="002E4425" w:rsidRDefault="002E4425" w:rsidP="002E4425">
      <w:pPr>
        <w:pStyle w:val="Styl1"/>
        <w:widowControl w:val="0"/>
        <w:ind w:left="426" w:hanging="426"/>
        <w:rPr>
          <w:rFonts w:ascii="Arial" w:hAnsi="Arial" w:cs="Arial"/>
        </w:rPr>
      </w:pPr>
    </w:p>
    <w:p w:rsidR="00E203D4" w:rsidRDefault="002E4425" w:rsidP="00E203D4">
      <w:pPr>
        <w:pStyle w:val="Styl1"/>
        <w:widowControl w:val="0"/>
        <w:ind w:left="426" w:hanging="426"/>
        <w:rPr>
          <w:rFonts w:ascii="Arial" w:hAnsi="Arial" w:cs="Arial"/>
        </w:rPr>
      </w:pPr>
      <w:r>
        <w:rPr>
          <w:rFonts w:ascii="Arial" w:hAnsi="Arial" w:cs="Arial"/>
        </w:rPr>
        <w:t>2.</w:t>
      </w:r>
      <w:r>
        <w:rPr>
          <w:rFonts w:ascii="Arial" w:hAnsi="Arial" w:cs="Arial"/>
        </w:rPr>
        <w:tab/>
        <w:t xml:space="preserve">Smlouva nabývá </w:t>
      </w:r>
      <w:r>
        <w:rPr>
          <w:rFonts w:ascii="Arial" w:hAnsi="Arial" w:cs="Arial"/>
          <w:spacing w:val="-2"/>
        </w:rPr>
        <w:t xml:space="preserve">platnosti dnem jejího podpisu oběma smluvními stranami a účinnosti dnem jejího uveřejnění v registru smluv v souladu se Zákonem </w:t>
      </w:r>
      <w:r>
        <w:rPr>
          <w:rFonts w:ascii="Arial" w:hAnsi="Arial" w:cs="Arial"/>
          <w:bCs/>
        </w:rPr>
        <w:t>o registru smluv</w:t>
      </w:r>
      <w:r>
        <w:rPr>
          <w:rFonts w:ascii="Arial" w:hAnsi="Arial" w:cs="Arial"/>
        </w:rPr>
        <w:t xml:space="preserve">. </w:t>
      </w:r>
      <w:r w:rsidR="006738B2">
        <w:rPr>
          <w:rFonts w:ascii="Arial" w:hAnsi="Arial" w:cs="Arial"/>
        </w:rPr>
        <w:t>Ustanovení této smlouvy platí pro závazek mezi smluvními stranami v plném rozsahu až do dne, kdy dojde k vyrovnání dluhů Dlužníka vyplývajících ze zajištěné smlouvy, není-li dohodnuto jinak.</w:t>
      </w:r>
    </w:p>
    <w:p w:rsidR="0012035D" w:rsidRPr="007A71BB" w:rsidRDefault="0012035D" w:rsidP="00E203D4">
      <w:pPr>
        <w:pStyle w:val="Styl1"/>
        <w:widowControl w:val="0"/>
        <w:ind w:left="426" w:hanging="426"/>
        <w:rPr>
          <w:rFonts w:ascii="Arial" w:hAnsi="Arial" w:cs="Arial"/>
        </w:rPr>
      </w:pPr>
    </w:p>
    <w:p w:rsidR="0012035D" w:rsidRPr="007A71BB" w:rsidRDefault="004D565B" w:rsidP="0012035D">
      <w:pPr>
        <w:pStyle w:val="Styl1"/>
        <w:widowControl w:val="0"/>
        <w:ind w:left="426" w:hanging="426"/>
        <w:rPr>
          <w:rFonts w:ascii="Arial" w:hAnsi="Arial" w:cs="Arial"/>
        </w:rPr>
      </w:pPr>
      <w:r w:rsidRPr="007A71BB">
        <w:rPr>
          <w:rFonts w:ascii="Arial" w:hAnsi="Arial" w:cs="Arial"/>
        </w:rPr>
        <w:t>3</w:t>
      </w:r>
      <w:r w:rsidR="0012035D" w:rsidRPr="007A71BB">
        <w:rPr>
          <w:rFonts w:ascii="Arial" w:hAnsi="Arial" w:cs="Arial"/>
        </w:rPr>
        <w:t>.</w:t>
      </w:r>
      <w:r w:rsidR="0012035D" w:rsidRPr="007A71BB">
        <w:rPr>
          <w:rFonts w:ascii="Arial" w:hAnsi="Arial" w:cs="Arial"/>
        </w:rPr>
        <w:tab/>
      </w:r>
      <w:r w:rsidRPr="007A71BB">
        <w:rPr>
          <w:rFonts w:ascii="Arial" w:hAnsi="Arial" w:cs="Arial"/>
        </w:rPr>
        <w:t xml:space="preserve">Prodlení </w:t>
      </w:r>
      <w:r w:rsidR="0012035D" w:rsidRPr="007A71BB">
        <w:rPr>
          <w:rFonts w:ascii="Arial" w:hAnsi="Arial" w:cs="Arial"/>
        </w:rPr>
        <w:t xml:space="preserve">s výkonem práva ze strany Banky nemůže být vykládáno jako </w:t>
      </w:r>
      <w:r w:rsidRPr="007A71BB">
        <w:rPr>
          <w:rFonts w:ascii="Arial" w:hAnsi="Arial" w:cs="Arial"/>
        </w:rPr>
        <w:t xml:space="preserve">vzdání se práva či nároku </w:t>
      </w:r>
      <w:r w:rsidR="0012035D" w:rsidRPr="007A71BB">
        <w:rPr>
          <w:rFonts w:ascii="Arial" w:hAnsi="Arial" w:cs="Arial"/>
        </w:rPr>
        <w:t>ze strany Banky.</w:t>
      </w:r>
    </w:p>
    <w:p w:rsidR="0012035D" w:rsidRPr="007A71BB" w:rsidRDefault="0012035D" w:rsidP="0012035D">
      <w:pPr>
        <w:pStyle w:val="Styl1"/>
        <w:widowControl w:val="0"/>
        <w:rPr>
          <w:rFonts w:ascii="Arial" w:hAnsi="Arial" w:cs="Arial"/>
        </w:rPr>
      </w:pPr>
    </w:p>
    <w:p w:rsidR="0012035D" w:rsidRPr="007A71BB" w:rsidRDefault="004D565B" w:rsidP="004D565B">
      <w:pPr>
        <w:pStyle w:val="Styl1"/>
        <w:widowControl w:val="0"/>
        <w:ind w:left="425" w:hanging="425"/>
        <w:rPr>
          <w:rFonts w:ascii="Arial" w:hAnsi="Arial" w:cs="Arial"/>
        </w:rPr>
      </w:pPr>
      <w:r w:rsidRPr="007A71BB">
        <w:rPr>
          <w:rFonts w:ascii="Arial" w:hAnsi="Arial" w:cs="Arial"/>
        </w:rPr>
        <w:t>4.</w:t>
      </w:r>
      <w:r w:rsidRPr="007A71BB">
        <w:rPr>
          <w:rFonts w:ascii="Arial" w:hAnsi="Arial" w:cs="Arial"/>
        </w:rPr>
        <w:tab/>
      </w:r>
      <w:r w:rsidR="0012035D" w:rsidRPr="007A71BB">
        <w:rPr>
          <w:rFonts w:ascii="Arial" w:hAnsi="Arial" w:cs="Arial"/>
        </w:rPr>
        <w:t>Tato smlouva a jakékoliv její části, změny či doplňky se stanou závaznými pro právní nástupce obou smluvních stran.</w:t>
      </w:r>
    </w:p>
    <w:p w:rsidR="00873C05" w:rsidRPr="007A71BB" w:rsidRDefault="00873C05" w:rsidP="00873C05">
      <w:pPr>
        <w:pStyle w:val="Zkladntext3"/>
        <w:widowControl w:val="0"/>
        <w:ind w:left="425" w:hanging="425"/>
        <w:rPr>
          <w:rFonts w:ascii="Arial" w:hAnsi="Arial" w:cs="Arial"/>
          <w:color w:val="000000"/>
        </w:rPr>
      </w:pPr>
    </w:p>
    <w:p w:rsidR="00602F45" w:rsidRPr="007A71BB" w:rsidRDefault="004D565B" w:rsidP="00602F45">
      <w:pPr>
        <w:pStyle w:val="Zkladntext3"/>
        <w:widowControl w:val="0"/>
        <w:ind w:left="425" w:hanging="425"/>
        <w:rPr>
          <w:rFonts w:ascii="Arial" w:hAnsi="Arial" w:cs="Arial"/>
          <w:b w:val="0"/>
          <w:color w:val="auto"/>
        </w:rPr>
      </w:pPr>
      <w:r w:rsidRPr="007A71BB">
        <w:rPr>
          <w:rFonts w:ascii="Arial" w:hAnsi="Arial" w:cs="Arial"/>
          <w:b w:val="0"/>
          <w:color w:val="auto"/>
        </w:rPr>
        <w:t>5.</w:t>
      </w:r>
      <w:r w:rsidRPr="007A71BB">
        <w:rPr>
          <w:rFonts w:ascii="Arial" w:hAnsi="Arial" w:cs="Arial"/>
          <w:b w:val="0"/>
          <w:color w:val="auto"/>
        </w:rPr>
        <w:tab/>
        <w:t>Pro vyloučení pochybností smluvní strany potvrzují, že na závazek založený touto smlouvou se nepoužijí ustanovení § 1799 a § 1800 občanského zákoníku</w:t>
      </w:r>
      <w:r w:rsidR="00F452DE" w:rsidRPr="007A71BB">
        <w:rPr>
          <w:rFonts w:ascii="Arial" w:hAnsi="Arial" w:cs="Arial"/>
          <w:b w:val="0"/>
          <w:color w:val="auto"/>
        </w:rPr>
        <w:t xml:space="preserve"> týkající se smluv</w:t>
      </w:r>
      <w:r w:rsidR="00602F45" w:rsidRPr="007A71BB">
        <w:rPr>
          <w:rFonts w:ascii="Arial" w:hAnsi="Arial" w:cs="Arial"/>
          <w:b w:val="0"/>
          <w:color w:val="auto"/>
        </w:rPr>
        <w:t xml:space="preserve"> uzavíraných adhezním způsobem.</w:t>
      </w:r>
    </w:p>
    <w:p w:rsidR="002E4425" w:rsidRDefault="002E4425" w:rsidP="002E4425">
      <w:pPr>
        <w:widowControl w:val="0"/>
        <w:tabs>
          <w:tab w:val="left" w:pos="4536"/>
        </w:tabs>
        <w:ind w:left="426" w:hanging="426"/>
        <w:rPr>
          <w:rFonts w:ascii="Arial" w:hAnsi="Arial" w:cs="Arial"/>
          <w:color w:val="000000"/>
          <w:sz w:val="20"/>
        </w:rPr>
      </w:pPr>
    </w:p>
    <w:p w:rsidR="002E4425" w:rsidRDefault="002E4425" w:rsidP="002E4425">
      <w:pPr>
        <w:widowControl w:val="0"/>
        <w:tabs>
          <w:tab w:val="left" w:pos="4536"/>
        </w:tabs>
        <w:ind w:left="426" w:hanging="426"/>
        <w:rPr>
          <w:rFonts w:ascii="Arial" w:hAnsi="Arial" w:cs="Arial"/>
          <w:color w:val="000000"/>
          <w:sz w:val="20"/>
        </w:rPr>
      </w:pPr>
      <w:bookmarkStart w:id="1" w:name="_DV_M380"/>
      <w:bookmarkEnd w:id="1"/>
    </w:p>
    <w:p w:rsidR="00D348F5" w:rsidRPr="00391FAE" w:rsidRDefault="00D348F5" w:rsidP="00D348F5">
      <w:pPr>
        <w:widowControl w:val="0"/>
        <w:tabs>
          <w:tab w:val="left" w:pos="5103"/>
        </w:tabs>
        <w:rPr>
          <w:rFonts w:ascii="Arial" w:hAnsi="Arial" w:cs="Arial"/>
          <w:color w:val="000000"/>
          <w:sz w:val="20"/>
        </w:rPr>
      </w:pPr>
      <w:r w:rsidRPr="009A7F0D">
        <w:rPr>
          <w:rFonts w:ascii="Arial" w:hAnsi="Arial" w:cs="Arial"/>
          <w:color w:val="000000"/>
          <w:sz w:val="20"/>
        </w:rPr>
        <w:t xml:space="preserve">Ve </w:t>
      </w:r>
      <w:r w:rsidRPr="009A7F0D">
        <w:rPr>
          <w:rFonts w:ascii="Arial" w:hAnsi="Arial" w:cs="Arial"/>
          <w:sz w:val="20"/>
        </w:rPr>
        <w:t>Zlíně</w:t>
      </w:r>
      <w:r w:rsidRPr="009A7F0D">
        <w:rPr>
          <w:rFonts w:ascii="Arial" w:hAnsi="Arial" w:cs="Arial"/>
          <w:color w:val="000000"/>
          <w:sz w:val="20"/>
        </w:rPr>
        <w:t xml:space="preserve"> dne </w:t>
      </w:r>
      <w:r w:rsidR="00FE0252">
        <w:rPr>
          <w:rFonts w:ascii="Arial" w:hAnsi="Arial" w:cs="Arial"/>
          <w:color w:val="000000"/>
          <w:sz w:val="20"/>
        </w:rPr>
        <w:t>24. dubna 2020</w:t>
      </w:r>
      <w:r w:rsidRPr="009A7F0D">
        <w:rPr>
          <w:rFonts w:ascii="Arial" w:hAnsi="Arial" w:cs="Arial"/>
          <w:sz w:val="20"/>
        </w:rPr>
        <w:tab/>
      </w:r>
      <w:r w:rsidRPr="009A7F0D">
        <w:rPr>
          <w:rFonts w:ascii="Arial" w:hAnsi="Arial" w:cs="Arial"/>
          <w:color w:val="000000"/>
          <w:sz w:val="20"/>
        </w:rPr>
        <w:t xml:space="preserve">Ve </w:t>
      </w:r>
      <w:r w:rsidRPr="009A7F0D">
        <w:rPr>
          <w:rFonts w:ascii="Arial" w:hAnsi="Arial" w:cs="Arial"/>
          <w:sz w:val="20"/>
        </w:rPr>
        <w:t>Zlíně</w:t>
      </w:r>
      <w:r w:rsidRPr="009A7F0D">
        <w:rPr>
          <w:rFonts w:ascii="Arial" w:hAnsi="Arial" w:cs="Arial"/>
          <w:color w:val="000000"/>
          <w:sz w:val="20"/>
        </w:rPr>
        <w:t xml:space="preserve"> dne </w:t>
      </w:r>
      <w:r w:rsidR="00FE0252">
        <w:rPr>
          <w:rFonts w:ascii="Arial" w:hAnsi="Arial" w:cs="Arial"/>
          <w:color w:val="000000"/>
          <w:sz w:val="20"/>
        </w:rPr>
        <w:t>24. dubna 2020</w:t>
      </w:r>
    </w:p>
    <w:p w:rsidR="00D348F5" w:rsidRPr="00391FAE" w:rsidRDefault="00D348F5" w:rsidP="00D348F5">
      <w:pPr>
        <w:widowControl w:val="0"/>
        <w:tabs>
          <w:tab w:val="left" w:pos="4536"/>
        </w:tabs>
        <w:rPr>
          <w:rFonts w:ascii="Arial" w:hAnsi="Arial" w:cs="Arial"/>
          <w:b/>
          <w:sz w:val="20"/>
        </w:rPr>
      </w:pPr>
    </w:p>
    <w:p w:rsidR="00D348F5" w:rsidRPr="00391FAE" w:rsidRDefault="00D348F5" w:rsidP="00D348F5">
      <w:pPr>
        <w:widowControl w:val="0"/>
        <w:tabs>
          <w:tab w:val="left" w:pos="4536"/>
        </w:tabs>
        <w:rPr>
          <w:rFonts w:ascii="Arial" w:hAnsi="Arial" w:cs="Arial"/>
          <w:b/>
          <w:sz w:val="20"/>
        </w:rPr>
      </w:pPr>
    </w:p>
    <w:p w:rsidR="00D348F5" w:rsidRPr="00391FAE" w:rsidRDefault="00D348F5" w:rsidP="00D348F5">
      <w:pPr>
        <w:widowControl w:val="0"/>
        <w:tabs>
          <w:tab w:val="left" w:pos="5103"/>
        </w:tabs>
        <w:rPr>
          <w:rFonts w:ascii="Arial" w:hAnsi="Arial" w:cs="Arial"/>
          <w:color w:val="000000"/>
          <w:sz w:val="20"/>
        </w:rPr>
      </w:pPr>
      <w:r w:rsidRPr="00391FAE">
        <w:rPr>
          <w:rFonts w:ascii="Arial" w:hAnsi="Arial" w:cs="Arial"/>
          <w:b/>
          <w:sz w:val="20"/>
        </w:rPr>
        <w:t>UniCredit Bank Czech Republic and Slovakia, a.s.</w:t>
      </w:r>
      <w:r w:rsidRPr="00391FAE">
        <w:rPr>
          <w:rFonts w:ascii="Arial" w:hAnsi="Arial" w:cs="Arial"/>
          <w:b/>
          <w:color w:val="000000"/>
          <w:sz w:val="20"/>
        </w:rPr>
        <w:tab/>
      </w:r>
      <w:r w:rsidRPr="00391FAE">
        <w:rPr>
          <w:rFonts w:ascii="Arial" w:hAnsi="Arial" w:cs="Arial"/>
          <w:b/>
          <w:sz w:val="20"/>
        </w:rPr>
        <w:t>Krajská nemocnice T. Bati, a. s.</w:t>
      </w:r>
    </w:p>
    <w:p w:rsidR="00D348F5" w:rsidRPr="00391FAE" w:rsidRDefault="00D348F5" w:rsidP="00D348F5">
      <w:pPr>
        <w:widowControl w:val="0"/>
        <w:tabs>
          <w:tab w:val="left" w:pos="4820"/>
        </w:tabs>
        <w:rPr>
          <w:rFonts w:ascii="Arial" w:hAnsi="Arial" w:cs="Arial"/>
          <w:b/>
          <w:sz w:val="20"/>
        </w:rPr>
      </w:pPr>
    </w:p>
    <w:p w:rsidR="00D348F5" w:rsidRPr="00391FAE" w:rsidRDefault="00D348F5" w:rsidP="00D348F5">
      <w:pPr>
        <w:widowControl w:val="0"/>
        <w:tabs>
          <w:tab w:val="left" w:pos="4820"/>
        </w:tabs>
        <w:rPr>
          <w:rFonts w:ascii="Arial" w:hAnsi="Arial" w:cs="Arial"/>
          <w:b/>
          <w:sz w:val="20"/>
        </w:rPr>
      </w:pPr>
    </w:p>
    <w:p w:rsidR="00D348F5" w:rsidRPr="00391FAE" w:rsidRDefault="00D348F5" w:rsidP="00D348F5">
      <w:pPr>
        <w:widowControl w:val="0"/>
        <w:tabs>
          <w:tab w:val="left" w:pos="4820"/>
        </w:tabs>
        <w:rPr>
          <w:rFonts w:ascii="Arial" w:hAnsi="Arial" w:cs="Arial"/>
          <w:b/>
          <w:sz w:val="20"/>
        </w:rPr>
      </w:pPr>
    </w:p>
    <w:p w:rsidR="00D348F5" w:rsidRPr="00391FAE" w:rsidRDefault="00D348F5" w:rsidP="00D348F5">
      <w:pPr>
        <w:widowControl w:val="0"/>
        <w:ind w:left="426" w:hanging="426"/>
        <w:outlineLvl w:val="3"/>
        <w:rPr>
          <w:rFonts w:ascii="Arial" w:hAnsi="Arial" w:cs="Arial"/>
          <w:b/>
          <w:sz w:val="20"/>
        </w:rPr>
      </w:pPr>
    </w:p>
    <w:tbl>
      <w:tblPr>
        <w:tblW w:w="0" w:type="auto"/>
        <w:tblLook w:val="01E0" w:firstRow="1" w:lastRow="1" w:firstColumn="1" w:lastColumn="1" w:noHBand="0" w:noVBand="0"/>
      </w:tblPr>
      <w:tblGrid>
        <w:gridCol w:w="5070"/>
        <w:gridCol w:w="4194"/>
      </w:tblGrid>
      <w:tr w:rsidR="00D348F5" w:rsidRPr="00391FAE" w:rsidTr="00FD2E13">
        <w:trPr>
          <w:trHeight w:val="428"/>
        </w:trPr>
        <w:tc>
          <w:tcPr>
            <w:tcW w:w="5070" w:type="dxa"/>
            <w:shd w:val="clear" w:color="auto" w:fill="auto"/>
          </w:tcPr>
          <w:p w:rsidR="00D348F5" w:rsidRPr="00391FAE" w:rsidRDefault="00D348F5" w:rsidP="00FD2E13">
            <w:pPr>
              <w:widowControl w:val="0"/>
              <w:tabs>
                <w:tab w:val="left" w:pos="4536"/>
              </w:tabs>
              <w:rPr>
                <w:rFonts w:ascii="Arial" w:hAnsi="Arial" w:cs="Arial"/>
                <w:color w:val="000000"/>
                <w:sz w:val="20"/>
              </w:rPr>
            </w:pPr>
            <w:proofErr w:type="gramStart"/>
            <w:r w:rsidRPr="00391FAE">
              <w:rPr>
                <w:rFonts w:ascii="Arial" w:hAnsi="Arial" w:cs="Arial"/>
                <w:color w:val="000000"/>
                <w:sz w:val="20"/>
              </w:rPr>
              <w:t>Podpis:_</w:t>
            </w:r>
            <w:proofErr w:type="gramEnd"/>
            <w:r w:rsidRPr="00391FAE">
              <w:rPr>
                <w:rFonts w:ascii="Arial" w:hAnsi="Arial" w:cs="Arial"/>
                <w:color w:val="000000"/>
                <w:sz w:val="20"/>
              </w:rPr>
              <w:t>_______________________</w:t>
            </w:r>
          </w:p>
          <w:p w:rsidR="00D348F5" w:rsidRPr="00391FAE" w:rsidRDefault="00D348F5" w:rsidP="007E2068">
            <w:pPr>
              <w:widowControl w:val="0"/>
              <w:tabs>
                <w:tab w:val="left" w:pos="4536"/>
              </w:tabs>
              <w:rPr>
                <w:rFonts w:ascii="Arial" w:hAnsi="Arial" w:cs="Arial"/>
                <w:color w:val="000000"/>
                <w:sz w:val="20"/>
              </w:rPr>
            </w:pPr>
            <w:proofErr w:type="gramStart"/>
            <w:r w:rsidRPr="00391FAE">
              <w:rPr>
                <w:rFonts w:ascii="Arial" w:hAnsi="Arial" w:cs="Arial"/>
                <w:color w:val="000000"/>
                <w:sz w:val="20"/>
              </w:rPr>
              <w:t xml:space="preserve">Jméno: </w:t>
            </w:r>
            <w:r w:rsidR="007E2068">
              <w:rPr>
                <w:rFonts w:ascii="Arial" w:hAnsi="Arial" w:cs="Arial"/>
                <w:color w:val="000000"/>
                <w:sz w:val="20"/>
              </w:rPr>
              <w:t xml:space="preserve"> </w:t>
            </w:r>
            <w:proofErr w:type="spellStart"/>
            <w:r w:rsidR="00B90E89" w:rsidRPr="00B90E89">
              <w:rPr>
                <w:rFonts w:ascii="Arial" w:hAnsi="Arial" w:cs="Arial"/>
                <w:color w:val="000000"/>
                <w:sz w:val="20"/>
                <w:highlight w:val="black"/>
              </w:rPr>
              <w:t>xxxxxxxxxxxxxxxxxxxxx</w:t>
            </w:r>
            <w:proofErr w:type="spellEnd"/>
            <w:proofErr w:type="gramEnd"/>
            <w:r w:rsidRPr="00391FAE">
              <w:rPr>
                <w:rFonts w:ascii="Arial" w:hAnsi="Arial" w:cs="Arial"/>
                <w:color w:val="000000"/>
                <w:sz w:val="20"/>
              </w:rPr>
              <w:tab/>
            </w:r>
          </w:p>
        </w:tc>
        <w:tc>
          <w:tcPr>
            <w:tcW w:w="4194" w:type="dxa"/>
            <w:shd w:val="clear" w:color="auto" w:fill="auto"/>
          </w:tcPr>
          <w:p w:rsidR="00D348F5" w:rsidRPr="00391FAE" w:rsidRDefault="00D348F5" w:rsidP="00FD2E13">
            <w:pPr>
              <w:widowControl w:val="0"/>
              <w:tabs>
                <w:tab w:val="left" w:pos="4536"/>
              </w:tabs>
              <w:ind w:left="33"/>
              <w:rPr>
                <w:rFonts w:ascii="Arial" w:hAnsi="Arial" w:cs="Arial"/>
                <w:color w:val="000000"/>
                <w:sz w:val="20"/>
              </w:rPr>
            </w:pPr>
            <w:proofErr w:type="gramStart"/>
            <w:r w:rsidRPr="00391FAE">
              <w:rPr>
                <w:rFonts w:ascii="Arial" w:hAnsi="Arial" w:cs="Arial"/>
                <w:color w:val="000000"/>
                <w:sz w:val="20"/>
              </w:rPr>
              <w:t>Podpis:_</w:t>
            </w:r>
            <w:proofErr w:type="gramEnd"/>
            <w:r w:rsidRPr="00391FAE">
              <w:rPr>
                <w:rFonts w:ascii="Arial" w:hAnsi="Arial" w:cs="Arial"/>
                <w:color w:val="000000"/>
                <w:sz w:val="20"/>
              </w:rPr>
              <w:t>_______________________</w:t>
            </w:r>
          </w:p>
          <w:p w:rsidR="00D348F5" w:rsidRPr="00391FAE" w:rsidRDefault="00D348F5" w:rsidP="00FD2E13">
            <w:pPr>
              <w:widowControl w:val="0"/>
              <w:tabs>
                <w:tab w:val="left" w:pos="4536"/>
              </w:tabs>
              <w:ind w:left="33"/>
              <w:rPr>
                <w:rFonts w:ascii="Arial" w:hAnsi="Arial" w:cs="Arial"/>
                <w:color w:val="000000"/>
                <w:sz w:val="20"/>
              </w:rPr>
            </w:pPr>
            <w:r w:rsidRPr="00391FAE">
              <w:rPr>
                <w:rFonts w:ascii="Arial" w:hAnsi="Arial" w:cs="Arial"/>
                <w:color w:val="000000"/>
                <w:sz w:val="20"/>
              </w:rPr>
              <w:t>Jméno: MUDr. Radomír Maráček</w:t>
            </w:r>
          </w:p>
        </w:tc>
      </w:tr>
      <w:tr w:rsidR="00D348F5" w:rsidRPr="00391FAE" w:rsidTr="00FD2E13">
        <w:trPr>
          <w:trHeight w:val="176"/>
        </w:trPr>
        <w:tc>
          <w:tcPr>
            <w:tcW w:w="5070" w:type="dxa"/>
            <w:shd w:val="clear" w:color="auto" w:fill="auto"/>
          </w:tcPr>
          <w:p w:rsidR="00D348F5" w:rsidRPr="00391FAE" w:rsidRDefault="00D348F5" w:rsidP="00FD2E13">
            <w:pPr>
              <w:widowControl w:val="0"/>
              <w:rPr>
                <w:rFonts w:ascii="Arial" w:hAnsi="Arial" w:cs="Arial"/>
                <w:color w:val="000000"/>
                <w:sz w:val="20"/>
              </w:rPr>
            </w:pPr>
            <w:r w:rsidRPr="00391FAE">
              <w:rPr>
                <w:rFonts w:ascii="Arial" w:hAnsi="Arial" w:cs="Arial"/>
                <w:color w:val="000000"/>
                <w:sz w:val="20"/>
              </w:rPr>
              <w:tab/>
            </w:r>
            <w:r w:rsidRPr="00391FAE">
              <w:rPr>
                <w:rFonts w:ascii="Arial" w:hAnsi="Arial" w:cs="Arial"/>
                <w:color w:val="000000"/>
                <w:sz w:val="20"/>
              </w:rPr>
              <w:tab/>
            </w:r>
            <w:r w:rsidRPr="00391FAE">
              <w:rPr>
                <w:rFonts w:ascii="Arial" w:hAnsi="Arial" w:cs="Arial"/>
                <w:color w:val="000000"/>
                <w:sz w:val="20"/>
              </w:rPr>
              <w:tab/>
            </w:r>
            <w:r w:rsidRPr="00391FAE">
              <w:rPr>
                <w:rFonts w:ascii="Arial" w:hAnsi="Arial" w:cs="Arial"/>
                <w:color w:val="000000"/>
                <w:sz w:val="20"/>
              </w:rPr>
              <w:tab/>
            </w:r>
            <w:r w:rsidRPr="00391FAE">
              <w:rPr>
                <w:rFonts w:ascii="Arial" w:hAnsi="Arial" w:cs="Arial"/>
                <w:color w:val="000000"/>
                <w:sz w:val="20"/>
              </w:rPr>
              <w:tab/>
            </w:r>
            <w:r w:rsidRPr="00391FAE">
              <w:rPr>
                <w:rFonts w:ascii="Arial" w:hAnsi="Arial" w:cs="Arial"/>
                <w:color w:val="000000"/>
                <w:sz w:val="20"/>
              </w:rPr>
              <w:tab/>
            </w:r>
          </w:p>
        </w:tc>
        <w:tc>
          <w:tcPr>
            <w:tcW w:w="4194" w:type="dxa"/>
            <w:shd w:val="clear" w:color="auto" w:fill="auto"/>
          </w:tcPr>
          <w:p w:rsidR="00D348F5" w:rsidRPr="00391FAE" w:rsidRDefault="00D348F5" w:rsidP="00B90E89">
            <w:pPr>
              <w:widowControl w:val="0"/>
              <w:rPr>
                <w:rFonts w:ascii="Arial" w:hAnsi="Arial" w:cs="Arial"/>
                <w:color w:val="000000"/>
                <w:sz w:val="20"/>
              </w:rPr>
            </w:pPr>
          </w:p>
        </w:tc>
      </w:tr>
      <w:tr w:rsidR="00D348F5" w:rsidRPr="00391FAE" w:rsidTr="00FD2E13">
        <w:tc>
          <w:tcPr>
            <w:tcW w:w="5070" w:type="dxa"/>
            <w:shd w:val="clear" w:color="auto" w:fill="auto"/>
          </w:tcPr>
          <w:p w:rsidR="00D348F5" w:rsidRPr="00391FAE" w:rsidRDefault="00D348F5" w:rsidP="00FD2E13">
            <w:pPr>
              <w:widowControl w:val="0"/>
              <w:tabs>
                <w:tab w:val="left" w:pos="4536"/>
              </w:tabs>
              <w:rPr>
                <w:rFonts w:ascii="Arial" w:hAnsi="Arial" w:cs="Arial"/>
                <w:color w:val="000000"/>
                <w:sz w:val="20"/>
              </w:rPr>
            </w:pPr>
            <w:r w:rsidRPr="00391FAE">
              <w:rPr>
                <w:rFonts w:ascii="Arial" w:hAnsi="Arial" w:cs="Arial"/>
                <w:color w:val="000000"/>
                <w:sz w:val="20"/>
              </w:rPr>
              <w:tab/>
            </w:r>
            <w:r w:rsidRPr="00391FAE">
              <w:rPr>
                <w:rFonts w:ascii="Arial" w:hAnsi="Arial" w:cs="Arial"/>
                <w:color w:val="000000"/>
                <w:sz w:val="20"/>
              </w:rPr>
              <w:tab/>
            </w:r>
          </w:p>
        </w:tc>
        <w:tc>
          <w:tcPr>
            <w:tcW w:w="4194" w:type="dxa"/>
            <w:shd w:val="clear" w:color="auto" w:fill="auto"/>
          </w:tcPr>
          <w:p w:rsidR="00D348F5" w:rsidRPr="00391FAE" w:rsidRDefault="00D348F5" w:rsidP="00FD2E13">
            <w:pPr>
              <w:widowControl w:val="0"/>
              <w:tabs>
                <w:tab w:val="left" w:pos="4536"/>
              </w:tabs>
              <w:ind w:left="33"/>
              <w:rPr>
                <w:rFonts w:ascii="Arial" w:hAnsi="Arial" w:cs="Arial"/>
                <w:color w:val="000000"/>
                <w:sz w:val="20"/>
              </w:rPr>
            </w:pPr>
          </w:p>
        </w:tc>
      </w:tr>
      <w:tr w:rsidR="00D348F5" w:rsidRPr="00391FAE" w:rsidTr="00FD2E13">
        <w:trPr>
          <w:trHeight w:val="684"/>
        </w:trPr>
        <w:tc>
          <w:tcPr>
            <w:tcW w:w="5070" w:type="dxa"/>
            <w:shd w:val="clear" w:color="auto" w:fill="auto"/>
          </w:tcPr>
          <w:p w:rsidR="00D348F5" w:rsidRPr="00391FAE" w:rsidRDefault="00D348F5" w:rsidP="00FD2E13">
            <w:pPr>
              <w:widowControl w:val="0"/>
              <w:tabs>
                <w:tab w:val="left" w:pos="4536"/>
              </w:tabs>
              <w:rPr>
                <w:rFonts w:ascii="Arial" w:hAnsi="Arial" w:cs="Arial"/>
                <w:color w:val="000000"/>
                <w:sz w:val="20"/>
              </w:rPr>
            </w:pPr>
          </w:p>
          <w:p w:rsidR="00D348F5" w:rsidRPr="00391FAE" w:rsidRDefault="00D348F5" w:rsidP="00FD2E13">
            <w:pPr>
              <w:widowControl w:val="0"/>
              <w:tabs>
                <w:tab w:val="left" w:pos="4536"/>
              </w:tabs>
              <w:rPr>
                <w:rFonts w:ascii="Arial" w:hAnsi="Arial" w:cs="Arial"/>
                <w:color w:val="000000"/>
                <w:sz w:val="20"/>
              </w:rPr>
            </w:pPr>
            <w:r w:rsidRPr="00391FAE">
              <w:rPr>
                <w:rFonts w:ascii="Arial" w:hAnsi="Arial" w:cs="Arial"/>
                <w:color w:val="000000"/>
                <w:sz w:val="20"/>
              </w:rPr>
              <w:tab/>
            </w:r>
          </w:p>
        </w:tc>
        <w:tc>
          <w:tcPr>
            <w:tcW w:w="4194" w:type="dxa"/>
            <w:shd w:val="clear" w:color="auto" w:fill="auto"/>
          </w:tcPr>
          <w:p w:rsidR="00D348F5" w:rsidRPr="00391FAE" w:rsidRDefault="00D348F5" w:rsidP="00FD2E13">
            <w:pPr>
              <w:widowControl w:val="0"/>
              <w:tabs>
                <w:tab w:val="left" w:pos="4536"/>
              </w:tabs>
              <w:rPr>
                <w:rFonts w:ascii="Arial" w:hAnsi="Arial" w:cs="Arial"/>
                <w:smallCaps/>
                <w:sz w:val="20"/>
              </w:rPr>
            </w:pPr>
          </w:p>
          <w:p w:rsidR="00D348F5" w:rsidRPr="00391FAE" w:rsidRDefault="00D348F5" w:rsidP="00FD2E13">
            <w:pPr>
              <w:widowControl w:val="0"/>
              <w:tabs>
                <w:tab w:val="left" w:pos="4536"/>
              </w:tabs>
              <w:rPr>
                <w:rFonts w:ascii="Arial" w:hAnsi="Arial" w:cs="Arial"/>
                <w:smallCaps/>
                <w:sz w:val="20"/>
              </w:rPr>
            </w:pPr>
          </w:p>
          <w:p w:rsidR="00D348F5" w:rsidRPr="00391FAE" w:rsidRDefault="00D348F5" w:rsidP="00FD2E13">
            <w:pPr>
              <w:widowControl w:val="0"/>
              <w:tabs>
                <w:tab w:val="left" w:pos="4536"/>
              </w:tabs>
              <w:rPr>
                <w:rFonts w:ascii="Arial" w:hAnsi="Arial" w:cs="Arial"/>
                <w:color w:val="000000"/>
                <w:sz w:val="20"/>
              </w:rPr>
            </w:pPr>
          </w:p>
        </w:tc>
      </w:tr>
      <w:tr w:rsidR="00D348F5" w:rsidRPr="00391FAE" w:rsidTr="00FD2E13">
        <w:tc>
          <w:tcPr>
            <w:tcW w:w="5070" w:type="dxa"/>
            <w:shd w:val="clear" w:color="auto" w:fill="auto"/>
          </w:tcPr>
          <w:p w:rsidR="00D348F5" w:rsidRPr="00391FAE" w:rsidRDefault="00D348F5" w:rsidP="00FD2E13">
            <w:pPr>
              <w:widowControl w:val="0"/>
              <w:tabs>
                <w:tab w:val="left" w:pos="4536"/>
              </w:tabs>
              <w:rPr>
                <w:rFonts w:ascii="Arial" w:hAnsi="Arial" w:cs="Arial"/>
                <w:color w:val="000000"/>
                <w:sz w:val="20"/>
              </w:rPr>
            </w:pPr>
            <w:proofErr w:type="gramStart"/>
            <w:r w:rsidRPr="00391FAE">
              <w:rPr>
                <w:rFonts w:ascii="Arial" w:hAnsi="Arial" w:cs="Arial"/>
                <w:color w:val="000000"/>
                <w:sz w:val="20"/>
              </w:rPr>
              <w:t>Podpis:_</w:t>
            </w:r>
            <w:proofErr w:type="gramEnd"/>
            <w:r w:rsidRPr="00391FAE">
              <w:rPr>
                <w:rFonts w:ascii="Arial" w:hAnsi="Arial" w:cs="Arial"/>
                <w:color w:val="000000"/>
                <w:sz w:val="20"/>
              </w:rPr>
              <w:t>_______________________</w:t>
            </w:r>
          </w:p>
          <w:p w:rsidR="00D348F5" w:rsidRPr="00391FAE" w:rsidRDefault="00D348F5" w:rsidP="007E2068">
            <w:pPr>
              <w:widowControl w:val="0"/>
              <w:tabs>
                <w:tab w:val="left" w:pos="4536"/>
              </w:tabs>
              <w:rPr>
                <w:rFonts w:ascii="Arial" w:hAnsi="Arial" w:cs="Arial"/>
                <w:color w:val="000000"/>
                <w:sz w:val="20"/>
              </w:rPr>
            </w:pPr>
            <w:proofErr w:type="gramStart"/>
            <w:r w:rsidRPr="00391FAE">
              <w:rPr>
                <w:rFonts w:ascii="Arial" w:hAnsi="Arial" w:cs="Arial"/>
                <w:color w:val="000000"/>
                <w:sz w:val="20"/>
              </w:rPr>
              <w:t xml:space="preserve">Jméno: </w:t>
            </w:r>
            <w:r w:rsidR="007E2068">
              <w:rPr>
                <w:rFonts w:ascii="Arial" w:hAnsi="Arial" w:cs="Arial"/>
                <w:color w:val="000000"/>
                <w:sz w:val="20"/>
              </w:rPr>
              <w:t xml:space="preserve"> </w:t>
            </w:r>
            <w:proofErr w:type="spellStart"/>
            <w:r w:rsidR="00B90E89" w:rsidRPr="00B90E89">
              <w:rPr>
                <w:rFonts w:ascii="Arial" w:hAnsi="Arial" w:cs="Arial"/>
                <w:color w:val="000000"/>
                <w:sz w:val="20"/>
                <w:highlight w:val="black"/>
              </w:rPr>
              <w:t>xxxxxxxxxxxxxxxxxxxxxx</w:t>
            </w:r>
            <w:proofErr w:type="spellEnd"/>
            <w:proofErr w:type="gramEnd"/>
          </w:p>
        </w:tc>
        <w:tc>
          <w:tcPr>
            <w:tcW w:w="4194" w:type="dxa"/>
            <w:shd w:val="clear" w:color="auto" w:fill="auto"/>
          </w:tcPr>
          <w:p w:rsidR="00D348F5" w:rsidRPr="00391FAE" w:rsidRDefault="00D348F5" w:rsidP="00FD2E13">
            <w:pPr>
              <w:widowControl w:val="0"/>
              <w:tabs>
                <w:tab w:val="left" w:pos="4536"/>
              </w:tabs>
              <w:ind w:left="33"/>
              <w:rPr>
                <w:rFonts w:ascii="Arial" w:hAnsi="Arial" w:cs="Arial"/>
                <w:color w:val="000000"/>
                <w:sz w:val="20"/>
              </w:rPr>
            </w:pPr>
            <w:proofErr w:type="gramStart"/>
            <w:r w:rsidRPr="00391FAE">
              <w:rPr>
                <w:rFonts w:ascii="Arial" w:hAnsi="Arial" w:cs="Arial"/>
                <w:color w:val="000000"/>
                <w:sz w:val="20"/>
              </w:rPr>
              <w:t>Podpis:_</w:t>
            </w:r>
            <w:proofErr w:type="gramEnd"/>
            <w:r w:rsidRPr="00391FAE">
              <w:rPr>
                <w:rFonts w:ascii="Arial" w:hAnsi="Arial" w:cs="Arial"/>
                <w:color w:val="000000"/>
                <w:sz w:val="20"/>
              </w:rPr>
              <w:t>_______________________</w:t>
            </w:r>
          </w:p>
          <w:p w:rsidR="00D348F5" w:rsidRPr="00391FAE" w:rsidRDefault="00D348F5" w:rsidP="00FD2E13">
            <w:pPr>
              <w:widowControl w:val="0"/>
              <w:tabs>
                <w:tab w:val="left" w:pos="4536"/>
              </w:tabs>
              <w:ind w:left="33"/>
              <w:rPr>
                <w:rFonts w:ascii="Arial" w:hAnsi="Arial" w:cs="Arial"/>
                <w:color w:val="000000"/>
                <w:sz w:val="20"/>
              </w:rPr>
            </w:pPr>
            <w:r w:rsidRPr="00391FAE">
              <w:rPr>
                <w:rFonts w:ascii="Arial" w:hAnsi="Arial" w:cs="Arial"/>
                <w:color w:val="000000"/>
                <w:sz w:val="20"/>
              </w:rPr>
              <w:t xml:space="preserve">Jméno: </w:t>
            </w:r>
            <w:r>
              <w:rPr>
                <w:rFonts w:ascii="Arial" w:hAnsi="Arial" w:cs="Arial"/>
                <w:color w:val="000000"/>
                <w:sz w:val="20"/>
              </w:rPr>
              <w:t>Ing. Petr Liškář, MBA</w:t>
            </w:r>
          </w:p>
        </w:tc>
      </w:tr>
      <w:tr w:rsidR="00D348F5" w:rsidRPr="00391FAE" w:rsidTr="00FD2E13">
        <w:trPr>
          <w:trHeight w:val="176"/>
        </w:trPr>
        <w:tc>
          <w:tcPr>
            <w:tcW w:w="5070" w:type="dxa"/>
            <w:shd w:val="clear" w:color="auto" w:fill="auto"/>
          </w:tcPr>
          <w:p w:rsidR="00D348F5" w:rsidRPr="00391FAE" w:rsidRDefault="00D348F5" w:rsidP="00FD2E13">
            <w:pPr>
              <w:widowControl w:val="0"/>
              <w:rPr>
                <w:rFonts w:ascii="Arial" w:hAnsi="Arial" w:cs="Arial"/>
                <w:color w:val="000000"/>
                <w:sz w:val="20"/>
              </w:rPr>
            </w:pPr>
            <w:r w:rsidRPr="00391FAE">
              <w:rPr>
                <w:rFonts w:ascii="Arial" w:hAnsi="Arial" w:cs="Arial"/>
                <w:color w:val="000000"/>
                <w:sz w:val="20"/>
              </w:rPr>
              <w:tab/>
            </w:r>
            <w:r w:rsidRPr="00391FAE">
              <w:rPr>
                <w:rFonts w:ascii="Arial" w:hAnsi="Arial" w:cs="Arial"/>
                <w:color w:val="000000"/>
                <w:sz w:val="20"/>
              </w:rPr>
              <w:tab/>
            </w:r>
            <w:r w:rsidRPr="00391FAE">
              <w:rPr>
                <w:rFonts w:ascii="Arial" w:hAnsi="Arial" w:cs="Arial"/>
                <w:color w:val="000000"/>
                <w:sz w:val="20"/>
              </w:rPr>
              <w:tab/>
            </w:r>
            <w:r w:rsidRPr="00391FAE">
              <w:rPr>
                <w:rFonts w:ascii="Arial" w:hAnsi="Arial" w:cs="Arial"/>
                <w:color w:val="000000"/>
                <w:sz w:val="20"/>
              </w:rPr>
              <w:tab/>
            </w:r>
            <w:r w:rsidRPr="00391FAE">
              <w:rPr>
                <w:rFonts w:ascii="Arial" w:hAnsi="Arial" w:cs="Arial"/>
                <w:color w:val="000000"/>
                <w:sz w:val="20"/>
              </w:rPr>
              <w:tab/>
            </w:r>
            <w:r w:rsidRPr="00391FAE">
              <w:rPr>
                <w:rFonts w:ascii="Arial" w:hAnsi="Arial" w:cs="Arial"/>
                <w:color w:val="000000"/>
                <w:sz w:val="20"/>
              </w:rPr>
              <w:tab/>
            </w:r>
          </w:p>
        </w:tc>
        <w:tc>
          <w:tcPr>
            <w:tcW w:w="4194" w:type="dxa"/>
            <w:shd w:val="clear" w:color="auto" w:fill="auto"/>
          </w:tcPr>
          <w:p w:rsidR="00D348F5" w:rsidRPr="00391FAE" w:rsidRDefault="00D348F5" w:rsidP="00FD2E13">
            <w:pPr>
              <w:widowControl w:val="0"/>
              <w:ind w:left="33"/>
              <w:rPr>
                <w:rFonts w:ascii="Arial" w:hAnsi="Arial" w:cs="Arial"/>
                <w:color w:val="000000"/>
                <w:sz w:val="20"/>
              </w:rPr>
            </w:pPr>
          </w:p>
        </w:tc>
      </w:tr>
      <w:tr w:rsidR="00D348F5" w:rsidRPr="00391FAE" w:rsidTr="00FD2E13">
        <w:tc>
          <w:tcPr>
            <w:tcW w:w="5070" w:type="dxa"/>
            <w:shd w:val="clear" w:color="auto" w:fill="auto"/>
          </w:tcPr>
          <w:p w:rsidR="00D348F5" w:rsidRPr="00391FAE" w:rsidRDefault="00D348F5" w:rsidP="00FD2E13">
            <w:pPr>
              <w:widowControl w:val="0"/>
              <w:tabs>
                <w:tab w:val="left" w:pos="4536"/>
              </w:tabs>
              <w:rPr>
                <w:rFonts w:ascii="Arial" w:hAnsi="Arial" w:cs="Arial"/>
                <w:color w:val="000000"/>
                <w:sz w:val="20"/>
              </w:rPr>
            </w:pPr>
            <w:r w:rsidRPr="00391FAE">
              <w:rPr>
                <w:rFonts w:ascii="Arial" w:hAnsi="Arial" w:cs="Arial"/>
                <w:color w:val="000000"/>
                <w:sz w:val="20"/>
              </w:rPr>
              <w:tab/>
            </w:r>
            <w:r w:rsidRPr="00391FAE">
              <w:rPr>
                <w:rFonts w:ascii="Arial" w:hAnsi="Arial" w:cs="Arial"/>
                <w:color w:val="000000"/>
                <w:sz w:val="20"/>
              </w:rPr>
              <w:tab/>
            </w:r>
          </w:p>
        </w:tc>
        <w:tc>
          <w:tcPr>
            <w:tcW w:w="4194" w:type="dxa"/>
            <w:shd w:val="clear" w:color="auto" w:fill="auto"/>
          </w:tcPr>
          <w:p w:rsidR="00D348F5" w:rsidRPr="00391FAE" w:rsidRDefault="00D348F5" w:rsidP="00B90E89">
            <w:pPr>
              <w:widowControl w:val="0"/>
              <w:tabs>
                <w:tab w:val="left" w:pos="4536"/>
              </w:tabs>
              <w:rPr>
                <w:rFonts w:ascii="Arial" w:hAnsi="Arial" w:cs="Arial"/>
                <w:color w:val="000000"/>
                <w:sz w:val="20"/>
              </w:rPr>
            </w:pPr>
          </w:p>
        </w:tc>
      </w:tr>
    </w:tbl>
    <w:p w:rsidR="00D348F5" w:rsidRPr="00391FAE" w:rsidRDefault="00D348F5" w:rsidP="00D348F5">
      <w:pPr>
        <w:widowControl w:val="0"/>
        <w:tabs>
          <w:tab w:val="left" w:pos="4536"/>
        </w:tabs>
        <w:rPr>
          <w:rFonts w:ascii="Arial" w:hAnsi="Arial" w:cs="Arial"/>
          <w:color w:val="000000"/>
          <w:sz w:val="20"/>
        </w:rPr>
      </w:pPr>
    </w:p>
    <w:p w:rsidR="00D348F5" w:rsidRPr="00391FAE" w:rsidRDefault="00D348F5" w:rsidP="00D348F5">
      <w:pPr>
        <w:widowControl w:val="0"/>
        <w:tabs>
          <w:tab w:val="left" w:pos="4536"/>
        </w:tabs>
        <w:rPr>
          <w:rFonts w:ascii="Arial" w:hAnsi="Arial" w:cs="Arial"/>
          <w:color w:val="000000"/>
          <w:sz w:val="20"/>
        </w:rPr>
      </w:pPr>
    </w:p>
    <w:p w:rsidR="00D348F5" w:rsidRPr="00391FAE" w:rsidRDefault="00D348F5" w:rsidP="00D348F5">
      <w:pPr>
        <w:widowControl w:val="0"/>
        <w:tabs>
          <w:tab w:val="left" w:pos="4536"/>
        </w:tabs>
        <w:rPr>
          <w:rFonts w:ascii="Arial" w:hAnsi="Arial" w:cs="Arial"/>
          <w:color w:val="000000"/>
          <w:sz w:val="20"/>
        </w:rPr>
      </w:pPr>
    </w:p>
    <w:p w:rsidR="00D348F5" w:rsidRPr="00391FAE" w:rsidRDefault="00D348F5" w:rsidP="00D348F5">
      <w:pPr>
        <w:widowControl w:val="0"/>
        <w:tabs>
          <w:tab w:val="left" w:pos="4820"/>
        </w:tabs>
        <w:rPr>
          <w:rFonts w:ascii="Arial" w:hAnsi="Arial" w:cs="Arial"/>
          <w:sz w:val="20"/>
        </w:rPr>
      </w:pPr>
    </w:p>
    <w:p w:rsidR="00D348F5" w:rsidRPr="00391FAE" w:rsidRDefault="00D348F5" w:rsidP="00D348F5">
      <w:pPr>
        <w:widowControl w:val="0"/>
        <w:tabs>
          <w:tab w:val="left" w:pos="4820"/>
        </w:tabs>
        <w:rPr>
          <w:rFonts w:ascii="Arial" w:hAnsi="Arial" w:cs="Arial"/>
          <w:sz w:val="20"/>
        </w:rPr>
      </w:pPr>
      <w:proofErr w:type="gramStart"/>
      <w:r w:rsidRPr="00391FAE">
        <w:rPr>
          <w:rFonts w:ascii="Arial" w:hAnsi="Arial" w:cs="Arial"/>
          <w:sz w:val="20"/>
        </w:rPr>
        <w:t>Podpis</w:t>
      </w:r>
      <w:r w:rsidRPr="00391FAE">
        <w:rPr>
          <w:rFonts w:ascii="Arial" w:hAnsi="Arial" w:cs="Arial"/>
          <w:color w:val="000000"/>
          <w:sz w:val="20"/>
        </w:rPr>
        <w:t>:_</w:t>
      </w:r>
      <w:proofErr w:type="gramEnd"/>
      <w:r w:rsidRPr="00391FAE">
        <w:rPr>
          <w:rFonts w:ascii="Arial" w:hAnsi="Arial" w:cs="Arial"/>
          <w:color w:val="000000"/>
          <w:sz w:val="20"/>
        </w:rPr>
        <w:t>_______________________</w:t>
      </w:r>
    </w:p>
    <w:p w:rsidR="00D348F5" w:rsidRPr="00391FAE" w:rsidRDefault="00D348F5" w:rsidP="00D348F5">
      <w:pPr>
        <w:widowControl w:val="0"/>
        <w:tabs>
          <w:tab w:val="left" w:pos="4820"/>
        </w:tabs>
        <w:rPr>
          <w:rFonts w:ascii="Arial" w:hAnsi="Arial" w:cs="Arial"/>
          <w:sz w:val="20"/>
        </w:rPr>
      </w:pPr>
      <w:r w:rsidRPr="00391FAE">
        <w:rPr>
          <w:rFonts w:ascii="Arial" w:hAnsi="Arial" w:cs="Arial"/>
          <w:sz w:val="20"/>
        </w:rPr>
        <w:t>Jméno pracovníka Banky -</w:t>
      </w:r>
    </w:p>
    <w:p w:rsidR="00424E94" w:rsidRPr="00D94EE0" w:rsidRDefault="00D348F5" w:rsidP="00BF0C8E">
      <w:pPr>
        <w:widowControl w:val="0"/>
        <w:tabs>
          <w:tab w:val="left" w:pos="4820"/>
        </w:tabs>
        <w:rPr>
          <w:rFonts w:ascii="Arial" w:hAnsi="Arial" w:cs="Arial"/>
          <w:sz w:val="20"/>
        </w:rPr>
      </w:pPr>
      <w:r w:rsidRPr="00391FAE">
        <w:rPr>
          <w:rFonts w:ascii="Arial" w:hAnsi="Arial" w:cs="Arial"/>
          <w:sz w:val="20"/>
        </w:rPr>
        <w:t>identifikující osoby:</w:t>
      </w:r>
    </w:p>
    <w:sectPr w:rsidR="00424E94" w:rsidRPr="00D94EE0" w:rsidSect="002A0F69">
      <w:footerReference w:type="even" r:id="rId11"/>
      <w:footerReference w:type="default" r:id="rId12"/>
      <w:headerReference w:type="first" r:id="rId13"/>
      <w:footerReference w:type="first" r:id="rId14"/>
      <w:pgSz w:w="11906" w:h="16838"/>
      <w:pgMar w:top="1418" w:right="110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F5D" w:rsidRDefault="00041F5D">
      <w:r>
        <w:separator/>
      </w:r>
    </w:p>
  </w:endnote>
  <w:endnote w:type="continuationSeparator" w:id="0">
    <w:p w:rsidR="00041F5D" w:rsidRDefault="00041F5D">
      <w:r>
        <w:continuationSeparator/>
      </w:r>
    </w:p>
  </w:endnote>
  <w:endnote w:type="continuationNotice" w:id="1">
    <w:p w:rsidR="00041F5D" w:rsidRDefault="00041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015TEE">
    <w:altName w:val="Times New Roman"/>
    <w:charset w:val="00"/>
    <w:family w:val="auto"/>
    <w:pitch w:val="variable"/>
    <w:sig w:usb0="00000007" w:usb1="00000000" w:usb2="00000000" w:usb3="00000000" w:csb0="00000083" w:csb1="00000000"/>
  </w:font>
  <w:font w:name="NimbusSanDEELig">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D38" w:rsidRDefault="00D55D38" w:rsidP="008B4B0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55D38" w:rsidRDefault="00D55D3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D38" w:rsidRPr="002D40C6" w:rsidRDefault="00D55D38" w:rsidP="002D40C6">
    <w:pPr>
      <w:pStyle w:val="Zpat"/>
      <w:framePr w:wrap="around" w:vAnchor="text" w:hAnchor="page" w:x="6099" w:y="-39"/>
      <w:rPr>
        <w:rStyle w:val="slostrnky"/>
        <w:rFonts w:ascii="Arial" w:hAnsi="Arial" w:cs="Arial"/>
        <w:sz w:val="14"/>
        <w:szCs w:val="14"/>
      </w:rPr>
    </w:pPr>
    <w:r w:rsidRPr="002D40C6">
      <w:rPr>
        <w:rStyle w:val="slostrnky"/>
        <w:rFonts w:ascii="Arial" w:hAnsi="Arial" w:cs="Arial"/>
        <w:sz w:val="14"/>
        <w:szCs w:val="14"/>
      </w:rPr>
      <w:fldChar w:fldCharType="begin"/>
    </w:r>
    <w:r w:rsidRPr="002D40C6">
      <w:rPr>
        <w:rStyle w:val="slostrnky"/>
        <w:rFonts w:ascii="Arial" w:hAnsi="Arial" w:cs="Arial"/>
        <w:sz w:val="14"/>
        <w:szCs w:val="14"/>
      </w:rPr>
      <w:instrText xml:space="preserve">PAGE  </w:instrText>
    </w:r>
    <w:r w:rsidRPr="002D40C6">
      <w:rPr>
        <w:rStyle w:val="slostrnky"/>
        <w:rFonts w:ascii="Arial" w:hAnsi="Arial" w:cs="Arial"/>
        <w:sz w:val="14"/>
        <w:szCs w:val="14"/>
      </w:rPr>
      <w:fldChar w:fldCharType="separate"/>
    </w:r>
    <w:r w:rsidR="00A668CE">
      <w:rPr>
        <w:rStyle w:val="slostrnky"/>
        <w:rFonts w:ascii="Arial" w:hAnsi="Arial" w:cs="Arial"/>
        <w:noProof/>
        <w:sz w:val="14"/>
        <w:szCs w:val="14"/>
      </w:rPr>
      <w:t>3</w:t>
    </w:r>
    <w:r w:rsidRPr="002D40C6">
      <w:rPr>
        <w:rStyle w:val="slostrnky"/>
        <w:rFonts w:ascii="Arial" w:hAnsi="Arial" w:cs="Arial"/>
        <w:sz w:val="14"/>
        <w:szCs w:val="14"/>
      </w:rPr>
      <w:fldChar w:fldCharType="end"/>
    </w:r>
  </w:p>
  <w:p w:rsidR="00D55D38" w:rsidRDefault="00D55D3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D38" w:rsidRPr="00EB4A59" w:rsidRDefault="00D55D38" w:rsidP="00B07A57">
    <w:pPr>
      <w:pStyle w:val="Zpat"/>
      <w:jc w:val="right"/>
      <w:rPr>
        <w:rFonts w:ascii="Tahoma" w:hAnsi="Tahoma"/>
        <w:i/>
        <w:sz w:val="18"/>
      </w:rPr>
    </w:pPr>
    <w:r>
      <w:rPr>
        <w:rFonts w:ascii="Tahoma" w:hAnsi="Tahoma" w:cs="Tahoma"/>
        <w:i/>
        <w:sz w:val="18"/>
        <w:szCs w:val="18"/>
      </w:rPr>
      <w:t xml:space="preserve"> ID 36</w:t>
    </w:r>
  </w:p>
  <w:p w:rsidR="00D55D38" w:rsidRDefault="00D55D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F5D" w:rsidRDefault="00041F5D">
      <w:r>
        <w:separator/>
      </w:r>
    </w:p>
  </w:footnote>
  <w:footnote w:type="continuationSeparator" w:id="0">
    <w:p w:rsidR="00041F5D" w:rsidRDefault="00041F5D">
      <w:r>
        <w:continuationSeparator/>
      </w:r>
    </w:p>
  </w:footnote>
  <w:footnote w:type="continuationNotice" w:id="1">
    <w:p w:rsidR="00041F5D" w:rsidRDefault="00041F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D38" w:rsidRDefault="00D55D38">
    <w:pPr>
      <w:pStyle w:val="Zhlav"/>
    </w:pP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056C3"/>
    <w:multiLevelType w:val="hybridMultilevel"/>
    <w:tmpl w:val="3A5C2640"/>
    <w:lvl w:ilvl="0" w:tplc="597C7DB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EDB7D5E"/>
    <w:multiLevelType w:val="hybridMultilevel"/>
    <w:tmpl w:val="9508C52A"/>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800"/>
    <w:rsid w:val="00000309"/>
    <w:rsid w:val="00002516"/>
    <w:rsid w:val="00027E6F"/>
    <w:rsid w:val="00030EED"/>
    <w:rsid w:val="00031335"/>
    <w:rsid w:val="00041F5D"/>
    <w:rsid w:val="0004536D"/>
    <w:rsid w:val="0004562C"/>
    <w:rsid w:val="000473E0"/>
    <w:rsid w:val="00050F0F"/>
    <w:rsid w:val="0005730E"/>
    <w:rsid w:val="00066229"/>
    <w:rsid w:val="00072746"/>
    <w:rsid w:val="000B109C"/>
    <w:rsid w:val="000B425D"/>
    <w:rsid w:val="000B737B"/>
    <w:rsid w:val="000C7F3B"/>
    <w:rsid w:val="000D00D4"/>
    <w:rsid w:val="000D1A68"/>
    <w:rsid w:val="000E48AE"/>
    <w:rsid w:val="000F726D"/>
    <w:rsid w:val="000F7B2D"/>
    <w:rsid w:val="001135F5"/>
    <w:rsid w:val="0012035D"/>
    <w:rsid w:val="001503E7"/>
    <w:rsid w:val="001523E0"/>
    <w:rsid w:val="00162217"/>
    <w:rsid w:val="0016549D"/>
    <w:rsid w:val="001660D3"/>
    <w:rsid w:val="00166786"/>
    <w:rsid w:val="00193E6B"/>
    <w:rsid w:val="001971DC"/>
    <w:rsid w:val="001D6251"/>
    <w:rsid w:val="001F0C3A"/>
    <w:rsid w:val="001F35D1"/>
    <w:rsid w:val="00202938"/>
    <w:rsid w:val="00202CC8"/>
    <w:rsid w:val="00207880"/>
    <w:rsid w:val="002179DA"/>
    <w:rsid w:val="00224800"/>
    <w:rsid w:val="00262CE0"/>
    <w:rsid w:val="0027178F"/>
    <w:rsid w:val="002736FD"/>
    <w:rsid w:val="00287706"/>
    <w:rsid w:val="00292DD4"/>
    <w:rsid w:val="002A06C0"/>
    <w:rsid w:val="002A0F69"/>
    <w:rsid w:val="002C57B3"/>
    <w:rsid w:val="002D195E"/>
    <w:rsid w:val="002D40C6"/>
    <w:rsid w:val="002E4425"/>
    <w:rsid w:val="002F5758"/>
    <w:rsid w:val="00300FA3"/>
    <w:rsid w:val="00317A9E"/>
    <w:rsid w:val="00325F57"/>
    <w:rsid w:val="0032676F"/>
    <w:rsid w:val="00341010"/>
    <w:rsid w:val="00344074"/>
    <w:rsid w:val="00345DB1"/>
    <w:rsid w:val="00353560"/>
    <w:rsid w:val="00354FDB"/>
    <w:rsid w:val="00355B9E"/>
    <w:rsid w:val="00374DC0"/>
    <w:rsid w:val="0038299A"/>
    <w:rsid w:val="003875EA"/>
    <w:rsid w:val="00390D03"/>
    <w:rsid w:val="003930D5"/>
    <w:rsid w:val="003A0E68"/>
    <w:rsid w:val="003A3548"/>
    <w:rsid w:val="003A63BF"/>
    <w:rsid w:val="003B36BC"/>
    <w:rsid w:val="003D1D34"/>
    <w:rsid w:val="003D7106"/>
    <w:rsid w:val="003F0134"/>
    <w:rsid w:val="003F193C"/>
    <w:rsid w:val="003F38C8"/>
    <w:rsid w:val="0040607E"/>
    <w:rsid w:val="00424E94"/>
    <w:rsid w:val="00435185"/>
    <w:rsid w:val="00447567"/>
    <w:rsid w:val="004772C4"/>
    <w:rsid w:val="004A702B"/>
    <w:rsid w:val="004B663F"/>
    <w:rsid w:val="004C49BB"/>
    <w:rsid w:val="004C648D"/>
    <w:rsid w:val="004D565B"/>
    <w:rsid w:val="004D71BD"/>
    <w:rsid w:val="004D7773"/>
    <w:rsid w:val="00516824"/>
    <w:rsid w:val="00527630"/>
    <w:rsid w:val="0053526E"/>
    <w:rsid w:val="0055246C"/>
    <w:rsid w:val="00556D09"/>
    <w:rsid w:val="00560CA6"/>
    <w:rsid w:val="00567D21"/>
    <w:rsid w:val="00573F3C"/>
    <w:rsid w:val="00584A93"/>
    <w:rsid w:val="005A10F2"/>
    <w:rsid w:val="005A7CEE"/>
    <w:rsid w:val="005D43A0"/>
    <w:rsid w:val="005D5015"/>
    <w:rsid w:val="005D6610"/>
    <w:rsid w:val="005E3427"/>
    <w:rsid w:val="005F44A8"/>
    <w:rsid w:val="005F5ED2"/>
    <w:rsid w:val="005F7942"/>
    <w:rsid w:val="0060187D"/>
    <w:rsid w:val="00602F45"/>
    <w:rsid w:val="00620234"/>
    <w:rsid w:val="00620F77"/>
    <w:rsid w:val="0063000C"/>
    <w:rsid w:val="00644A39"/>
    <w:rsid w:val="006552E1"/>
    <w:rsid w:val="00660450"/>
    <w:rsid w:val="0066077C"/>
    <w:rsid w:val="00667344"/>
    <w:rsid w:val="006738B2"/>
    <w:rsid w:val="0068384A"/>
    <w:rsid w:val="006926F7"/>
    <w:rsid w:val="006A5CCC"/>
    <w:rsid w:val="006B20B1"/>
    <w:rsid w:val="006C64BE"/>
    <w:rsid w:val="006D2C5F"/>
    <w:rsid w:val="006E614B"/>
    <w:rsid w:val="006F1FBC"/>
    <w:rsid w:val="006F2443"/>
    <w:rsid w:val="007045F2"/>
    <w:rsid w:val="007069DE"/>
    <w:rsid w:val="00712A09"/>
    <w:rsid w:val="00716D9F"/>
    <w:rsid w:val="00720987"/>
    <w:rsid w:val="00720B61"/>
    <w:rsid w:val="00726A33"/>
    <w:rsid w:val="00727C9D"/>
    <w:rsid w:val="0073692E"/>
    <w:rsid w:val="00741F3E"/>
    <w:rsid w:val="00764473"/>
    <w:rsid w:val="007724B5"/>
    <w:rsid w:val="007762FB"/>
    <w:rsid w:val="00777D56"/>
    <w:rsid w:val="00795B2B"/>
    <w:rsid w:val="00796660"/>
    <w:rsid w:val="007968B8"/>
    <w:rsid w:val="007A6438"/>
    <w:rsid w:val="007A71BB"/>
    <w:rsid w:val="007B14C1"/>
    <w:rsid w:val="007B7D87"/>
    <w:rsid w:val="007C6790"/>
    <w:rsid w:val="007D0D80"/>
    <w:rsid w:val="007E2068"/>
    <w:rsid w:val="007E60E3"/>
    <w:rsid w:val="007F345B"/>
    <w:rsid w:val="0080481C"/>
    <w:rsid w:val="008229D9"/>
    <w:rsid w:val="00824F85"/>
    <w:rsid w:val="008344B1"/>
    <w:rsid w:val="0084645E"/>
    <w:rsid w:val="008500E0"/>
    <w:rsid w:val="008502B9"/>
    <w:rsid w:val="008724CB"/>
    <w:rsid w:val="00873C05"/>
    <w:rsid w:val="008876C6"/>
    <w:rsid w:val="008910CE"/>
    <w:rsid w:val="00895CFF"/>
    <w:rsid w:val="008A6F0B"/>
    <w:rsid w:val="008B4B0D"/>
    <w:rsid w:val="008B557D"/>
    <w:rsid w:val="008C70FF"/>
    <w:rsid w:val="008D038D"/>
    <w:rsid w:val="00917CA2"/>
    <w:rsid w:val="009212A1"/>
    <w:rsid w:val="00923F74"/>
    <w:rsid w:val="0092513D"/>
    <w:rsid w:val="009315B9"/>
    <w:rsid w:val="0093325D"/>
    <w:rsid w:val="009547EB"/>
    <w:rsid w:val="0096544C"/>
    <w:rsid w:val="00967DF5"/>
    <w:rsid w:val="009817B7"/>
    <w:rsid w:val="009A2200"/>
    <w:rsid w:val="009A4EDB"/>
    <w:rsid w:val="009A56B9"/>
    <w:rsid w:val="009B0CB4"/>
    <w:rsid w:val="009D3A1D"/>
    <w:rsid w:val="00A21569"/>
    <w:rsid w:val="00A30C79"/>
    <w:rsid w:val="00A51085"/>
    <w:rsid w:val="00A64772"/>
    <w:rsid w:val="00A668CE"/>
    <w:rsid w:val="00A900A3"/>
    <w:rsid w:val="00A96002"/>
    <w:rsid w:val="00AA1240"/>
    <w:rsid w:val="00AB2DB8"/>
    <w:rsid w:val="00AC67E7"/>
    <w:rsid w:val="00AC6944"/>
    <w:rsid w:val="00AC7FEA"/>
    <w:rsid w:val="00AD0288"/>
    <w:rsid w:val="00AD1B83"/>
    <w:rsid w:val="00AD4755"/>
    <w:rsid w:val="00B07A57"/>
    <w:rsid w:val="00B208B3"/>
    <w:rsid w:val="00B221B0"/>
    <w:rsid w:val="00B24A1B"/>
    <w:rsid w:val="00B30C89"/>
    <w:rsid w:val="00B34C86"/>
    <w:rsid w:val="00B5446D"/>
    <w:rsid w:val="00B83998"/>
    <w:rsid w:val="00B87B0A"/>
    <w:rsid w:val="00B90E89"/>
    <w:rsid w:val="00B91715"/>
    <w:rsid w:val="00BA4470"/>
    <w:rsid w:val="00BA627B"/>
    <w:rsid w:val="00BD2C8F"/>
    <w:rsid w:val="00BD2EA8"/>
    <w:rsid w:val="00BF0C8E"/>
    <w:rsid w:val="00C050E1"/>
    <w:rsid w:val="00C104C7"/>
    <w:rsid w:val="00C12DD7"/>
    <w:rsid w:val="00C16124"/>
    <w:rsid w:val="00C50A88"/>
    <w:rsid w:val="00C55CCA"/>
    <w:rsid w:val="00C61565"/>
    <w:rsid w:val="00C615E2"/>
    <w:rsid w:val="00C631E0"/>
    <w:rsid w:val="00C70836"/>
    <w:rsid w:val="00C71CD4"/>
    <w:rsid w:val="00C7547F"/>
    <w:rsid w:val="00C75FA3"/>
    <w:rsid w:val="00C75FB3"/>
    <w:rsid w:val="00C81498"/>
    <w:rsid w:val="00C92580"/>
    <w:rsid w:val="00C967C5"/>
    <w:rsid w:val="00CA0BCD"/>
    <w:rsid w:val="00CB592E"/>
    <w:rsid w:val="00CC772C"/>
    <w:rsid w:val="00CF6831"/>
    <w:rsid w:val="00D03182"/>
    <w:rsid w:val="00D23BC8"/>
    <w:rsid w:val="00D348F5"/>
    <w:rsid w:val="00D35A34"/>
    <w:rsid w:val="00D363F3"/>
    <w:rsid w:val="00D4328A"/>
    <w:rsid w:val="00D50629"/>
    <w:rsid w:val="00D52C42"/>
    <w:rsid w:val="00D53E66"/>
    <w:rsid w:val="00D55C71"/>
    <w:rsid w:val="00D55D38"/>
    <w:rsid w:val="00D94EE0"/>
    <w:rsid w:val="00DA1716"/>
    <w:rsid w:val="00DB16D0"/>
    <w:rsid w:val="00DB20F4"/>
    <w:rsid w:val="00DB24A9"/>
    <w:rsid w:val="00DD4F69"/>
    <w:rsid w:val="00DF1C79"/>
    <w:rsid w:val="00DF55EF"/>
    <w:rsid w:val="00E05530"/>
    <w:rsid w:val="00E11394"/>
    <w:rsid w:val="00E1708F"/>
    <w:rsid w:val="00E203D4"/>
    <w:rsid w:val="00E30D5D"/>
    <w:rsid w:val="00E403A3"/>
    <w:rsid w:val="00E44B9C"/>
    <w:rsid w:val="00E55706"/>
    <w:rsid w:val="00E622AE"/>
    <w:rsid w:val="00E84A6A"/>
    <w:rsid w:val="00E8618D"/>
    <w:rsid w:val="00EB6381"/>
    <w:rsid w:val="00ED0C68"/>
    <w:rsid w:val="00ED5593"/>
    <w:rsid w:val="00EE4192"/>
    <w:rsid w:val="00EF22A6"/>
    <w:rsid w:val="00F047ED"/>
    <w:rsid w:val="00F14D87"/>
    <w:rsid w:val="00F257EA"/>
    <w:rsid w:val="00F25B90"/>
    <w:rsid w:val="00F25CAC"/>
    <w:rsid w:val="00F26FD2"/>
    <w:rsid w:val="00F37968"/>
    <w:rsid w:val="00F42362"/>
    <w:rsid w:val="00F43ED1"/>
    <w:rsid w:val="00F452DE"/>
    <w:rsid w:val="00F54B7E"/>
    <w:rsid w:val="00F5710A"/>
    <w:rsid w:val="00F635A3"/>
    <w:rsid w:val="00F719DC"/>
    <w:rsid w:val="00F727A0"/>
    <w:rsid w:val="00F832A8"/>
    <w:rsid w:val="00FA6FC9"/>
    <w:rsid w:val="00FA7593"/>
    <w:rsid w:val="00FB07D5"/>
    <w:rsid w:val="00FB4C77"/>
    <w:rsid w:val="00FB51ED"/>
    <w:rsid w:val="00FB6175"/>
    <w:rsid w:val="00FC66E0"/>
    <w:rsid w:val="00FD6BCF"/>
    <w:rsid w:val="00FE0252"/>
    <w:rsid w:val="00FE33D3"/>
    <w:rsid w:val="00FF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C7422"/>
  <w15:docId w15:val="{F2A8AAEF-1712-41C5-8980-41C22CC9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96002"/>
    <w:pPr>
      <w:jc w:val="both"/>
    </w:pPr>
    <w:rPr>
      <w:sz w:val="24"/>
      <w:lang w:val="cs-CZ" w:eastAsia="cs-CZ"/>
    </w:rPr>
  </w:style>
  <w:style w:type="paragraph" w:styleId="Nadpis1">
    <w:name w:val="heading 1"/>
    <w:basedOn w:val="Normln"/>
    <w:next w:val="Normln"/>
    <w:qFormat/>
    <w:rsid w:val="004D565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12035D"/>
    <w:pPr>
      <w:spacing w:before="240" w:after="60"/>
      <w:outlineLvl w:val="1"/>
    </w:pPr>
    <w:rPr>
      <w:u w:val="single"/>
    </w:rPr>
  </w:style>
  <w:style w:type="paragraph" w:styleId="Nadpis5">
    <w:name w:val="heading 5"/>
    <w:basedOn w:val="Normln"/>
    <w:next w:val="Normln"/>
    <w:qFormat/>
    <w:rsid w:val="0012035D"/>
    <w:pPr>
      <w:keepNext/>
      <w:outlineLvl w:val="4"/>
    </w:pPr>
    <w:rPr>
      <w:rFonts w:ascii="F015TEE" w:hAnsi="F015TEE"/>
      <w:b/>
      <w:vanish/>
      <w:color w:val="0000FF"/>
      <w:sz w:val="20"/>
    </w:rPr>
  </w:style>
  <w:style w:type="paragraph" w:styleId="Nadpis7">
    <w:name w:val="heading 7"/>
    <w:basedOn w:val="Normln"/>
    <w:next w:val="Normln"/>
    <w:qFormat/>
    <w:rsid w:val="0012035D"/>
    <w:pPr>
      <w:keepNext/>
      <w:outlineLvl w:val="6"/>
    </w:pPr>
    <w:rPr>
      <w:rFonts w:ascii="F015TEE" w:hAnsi="F015TEE"/>
      <w:b/>
      <w:smallCaps/>
      <w:vanish/>
      <w:color w:val="FF00FF"/>
      <w:sz w:val="20"/>
    </w:rPr>
  </w:style>
  <w:style w:type="paragraph" w:styleId="Nadpis8">
    <w:name w:val="heading 8"/>
    <w:basedOn w:val="Normln"/>
    <w:next w:val="Normln"/>
    <w:qFormat/>
    <w:rsid w:val="00FB6175"/>
    <w:pPr>
      <w:spacing w:before="240" w:after="60"/>
      <w:outlineLvl w:val="7"/>
    </w:pPr>
    <w:rPr>
      <w:i/>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12035D"/>
    <w:pPr>
      <w:spacing w:before="120"/>
    </w:pPr>
    <w:rPr>
      <w:rFonts w:ascii="Arial" w:hAnsi="Arial"/>
      <w:sz w:val="22"/>
    </w:rPr>
  </w:style>
  <w:style w:type="paragraph" w:customStyle="1" w:styleId="Styl1">
    <w:name w:val="Styl1"/>
    <w:basedOn w:val="Normln"/>
    <w:rsid w:val="0012035D"/>
    <w:rPr>
      <w:rFonts w:ascii="NimbusSanDEELig" w:hAnsi="NimbusSanDEELig"/>
      <w:sz w:val="20"/>
    </w:rPr>
  </w:style>
  <w:style w:type="paragraph" w:customStyle="1" w:styleId="BodyTextIndent21">
    <w:name w:val="Body Text Indent 21"/>
    <w:basedOn w:val="Normln"/>
    <w:rsid w:val="0012035D"/>
    <w:pPr>
      <w:ind w:left="450" w:hanging="450"/>
    </w:pPr>
    <w:rPr>
      <w:rFonts w:ascii="F015TEE" w:hAnsi="F015TEE"/>
      <w:color w:val="FF0000"/>
      <w:sz w:val="20"/>
    </w:rPr>
  </w:style>
  <w:style w:type="paragraph" w:styleId="Zkladntextodsazen">
    <w:name w:val="Body Text Indent"/>
    <w:basedOn w:val="Normln"/>
    <w:rsid w:val="0012035D"/>
    <w:pPr>
      <w:spacing w:before="120"/>
      <w:ind w:left="426"/>
    </w:pPr>
    <w:rPr>
      <w:rFonts w:ascii="F015TEE" w:hAnsi="F015TEE"/>
      <w:sz w:val="20"/>
    </w:rPr>
  </w:style>
  <w:style w:type="paragraph" w:styleId="Zkladntext3">
    <w:name w:val="Body Text 3"/>
    <w:basedOn w:val="Normln"/>
    <w:link w:val="Zkladntext3Char"/>
    <w:rsid w:val="0012035D"/>
    <w:rPr>
      <w:rFonts w:ascii="F015TEE" w:hAnsi="F015TEE"/>
      <w:b/>
      <w:color w:val="FF0000"/>
      <w:sz w:val="20"/>
    </w:rPr>
  </w:style>
  <w:style w:type="paragraph" w:styleId="Zhlav">
    <w:name w:val="header"/>
    <w:basedOn w:val="Normln"/>
    <w:rsid w:val="00000309"/>
    <w:pPr>
      <w:tabs>
        <w:tab w:val="center" w:pos="4536"/>
        <w:tab w:val="right" w:pos="9072"/>
      </w:tabs>
    </w:pPr>
  </w:style>
  <w:style w:type="paragraph" w:styleId="Zpat">
    <w:name w:val="footer"/>
    <w:basedOn w:val="Normln"/>
    <w:rsid w:val="00000309"/>
    <w:pPr>
      <w:tabs>
        <w:tab w:val="center" w:pos="4536"/>
        <w:tab w:val="right" w:pos="9072"/>
      </w:tabs>
    </w:pPr>
  </w:style>
  <w:style w:type="character" w:styleId="slostrnky">
    <w:name w:val="page number"/>
    <w:basedOn w:val="Standardnpsmoodstavce"/>
    <w:rsid w:val="002D40C6"/>
  </w:style>
  <w:style w:type="table" w:styleId="Mkatabulky">
    <w:name w:val="Table Grid"/>
    <w:basedOn w:val="Normlntabulka"/>
    <w:rsid w:val="00355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66077C"/>
    <w:rPr>
      <w:rFonts w:ascii="Tahoma" w:hAnsi="Tahoma" w:cs="Tahoma"/>
      <w:sz w:val="16"/>
      <w:szCs w:val="16"/>
    </w:rPr>
  </w:style>
  <w:style w:type="character" w:customStyle="1" w:styleId="DeltaViewInsertion">
    <w:name w:val="DeltaView Insertion"/>
    <w:uiPriority w:val="99"/>
    <w:rsid w:val="00390D03"/>
    <w:rPr>
      <w:color w:val="0000FF"/>
      <w:u w:val="double"/>
    </w:rPr>
  </w:style>
  <w:style w:type="character" w:customStyle="1" w:styleId="DeltaViewDeletion">
    <w:name w:val="DeltaView Deletion"/>
    <w:uiPriority w:val="99"/>
    <w:rsid w:val="00390D03"/>
    <w:rPr>
      <w:strike/>
      <w:color w:val="FF0000"/>
    </w:rPr>
  </w:style>
  <w:style w:type="character" w:customStyle="1" w:styleId="Zkladntext3Char">
    <w:name w:val="Základní text 3 Char"/>
    <w:link w:val="Zkladntext3"/>
    <w:rsid w:val="00602F45"/>
    <w:rPr>
      <w:rFonts w:ascii="F015TEE" w:hAnsi="F015TEE"/>
      <w:b/>
      <w:color w:val="FF0000"/>
      <w:lang w:val="cs-CZ" w:eastAsia="cs-CZ"/>
    </w:rPr>
  </w:style>
  <w:style w:type="character" w:styleId="Siln">
    <w:name w:val="Strong"/>
    <w:uiPriority w:val="22"/>
    <w:qFormat/>
    <w:rsid w:val="00F25CAC"/>
    <w:rPr>
      <w:b/>
      <w:bCs/>
    </w:rPr>
  </w:style>
  <w:style w:type="character" w:customStyle="1" w:styleId="platne1">
    <w:name w:val="platne1"/>
    <w:rsid w:val="00F25CAC"/>
  </w:style>
  <w:style w:type="character" w:styleId="Odkaznakoment">
    <w:name w:val="annotation reference"/>
    <w:basedOn w:val="Standardnpsmoodstavce"/>
    <w:rsid w:val="00E203D4"/>
    <w:rPr>
      <w:sz w:val="16"/>
      <w:szCs w:val="16"/>
    </w:rPr>
  </w:style>
  <w:style w:type="paragraph" w:styleId="Textkomente">
    <w:name w:val="annotation text"/>
    <w:basedOn w:val="Normln"/>
    <w:link w:val="TextkomenteChar"/>
    <w:rsid w:val="00E203D4"/>
    <w:rPr>
      <w:sz w:val="20"/>
    </w:rPr>
  </w:style>
  <w:style w:type="character" w:customStyle="1" w:styleId="TextkomenteChar">
    <w:name w:val="Text komentáře Char"/>
    <w:basedOn w:val="Standardnpsmoodstavce"/>
    <w:link w:val="Textkomente"/>
    <w:rsid w:val="00E203D4"/>
    <w:rPr>
      <w:lang w:val="cs-CZ" w:eastAsia="cs-CZ"/>
    </w:rPr>
  </w:style>
  <w:style w:type="paragraph" w:styleId="Pedmtkomente">
    <w:name w:val="annotation subject"/>
    <w:basedOn w:val="Textkomente"/>
    <w:next w:val="Textkomente"/>
    <w:link w:val="PedmtkomenteChar"/>
    <w:rsid w:val="00E203D4"/>
    <w:rPr>
      <w:b/>
      <w:bCs/>
    </w:rPr>
  </w:style>
  <w:style w:type="character" w:customStyle="1" w:styleId="PedmtkomenteChar">
    <w:name w:val="Předmět komentáře Char"/>
    <w:basedOn w:val="TextkomenteChar"/>
    <w:link w:val="Pedmtkomente"/>
    <w:rsid w:val="00E203D4"/>
    <w:rPr>
      <w:b/>
      <w:bCs/>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1721">
      <w:bodyDiv w:val="1"/>
      <w:marLeft w:val="0"/>
      <w:marRight w:val="0"/>
      <w:marTop w:val="0"/>
      <w:marBottom w:val="0"/>
      <w:divBdr>
        <w:top w:val="none" w:sz="0" w:space="0" w:color="auto"/>
        <w:left w:val="none" w:sz="0" w:space="0" w:color="auto"/>
        <w:bottom w:val="none" w:sz="0" w:space="0" w:color="auto"/>
        <w:right w:val="none" w:sz="0" w:space="0" w:color="auto"/>
      </w:divBdr>
    </w:div>
    <w:div w:id="19747371">
      <w:bodyDiv w:val="1"/>
      <w:marLeft w:val="0"/>
      <w:marRight w:val="0"/>
      <w:marTop w:val="0"/>
      <w:marBottom w:val="0"/>
      <w:divBdr>
        <w:top w:val="none" w:sz="0" w:space="0" w:color="auto"/>
        <w:left w:val="none" w:sz="0" w:space="0" w:color="auto"/>
        <w:bottom w:val="none" w:sz="0" w:space="0" w:color="auto"/>
        <w:right w:val="none" w:sz="0" w:space="0" w:color="auto"/>
      </w:divBdr>
    </w:div>
    <w:div w:id="180050678">
      <w:bodyDiv w:val="1"/>
      <w:marLeft w:val="0"/>
      <w:marRight w:val="0"/>
      <w:marTop w:val="0"/>
      <w:marBottom w:val="0"/>
      <w:divBdr>
        <w:top w:val="none" w:sz="0" w:space="0" w:color="auto"/>
        <w:left w:val="none" w:sz="0" w:space="0" w:color="auto"/>
        <w:bottom w:val="none" w:sz="0" w:space="0" w:color="auto"/>
        <w:right w:val="none" w:sz="0" w:space="0" w:color="auto"/>
      </w:divBdr>
    </w:div>
    <w:div w:id="223033628">
      <w:bodyDiv w:val="1"/>
      <w:marLeft w:val="0"/>
      <w:marRight w:val="0"/>
      <w:marTop w:val="0"/>
      <w:marBottom w:val="0"/>
      <w:divBdr>
        <w:top w:val="none" w:sz="0" w:space="0" w:color="auto"/>
        <w:left w:val="none" w:sz="0" w:space="0" w:color="auto"/>
        <w:bottom w:val="none" w:sz="0" w:space="0" w:color="auto"/>
        <w:right w:val="none" w:sz="0" w:space="0" w:color="auto"/>
      </w:divBdr>
    </w:div>
    <w:div w:id="549149634">
      <w:bodyDiv w:val="1"/>
      <w:marLeft w:val="0"/>
      <w:marRight w:val="0"/>
      <w:marTop w:val="0"/>
      <w:marBottom w:val="0"/>
      <w:divBdr>
        <w:top w:val="none" w:sz="0" w:space="0" w:color="auto"/>
        <w:left w:val="none" w:sz="0" w:space="0" w:color="auto"/>
        <w:bottom w:val="none" w:sz="0" w:space="0" w:color="auto"/>
        <w:right w:val="none" w:sz="0" w:space="0" w:color="auto"/>
      </w:divBdr>
    </w:div>
    <w:div w:id="558440653">
      <w:bodyDiv w:val="1"/>
      <w:marLeft w:val="0"/>
      <w:marRight w:val="0"/>
      <w:marTop w:val="0"/>
      <w:marBottom w:val="0"/>
      <w:divBdr>
        <w:top w:val="none" w:sz="0" w:space="0" w:color="auto"/>
        <w:left w:val="none" w:sz="0" w:space="0" w:color="auto"/>
        <w:bottom w:val="none" w:sz="0" w:space="0" w:color="auto"/>
        <w:right w:val="none" w:sz="0" w:space="0" w:color="auto"/>
      </w:divBdr>
    </w:div>
    <w:div w:id="564146805">
      <w:bodyDiv w:val="1"/>
      <w:marLeft w:val="0"/>
      <w:marRight w:val="0"/>
      <w:marTop w:val="0"/>
      <w:marBottom w:val="0"/>
      <w:divBdr>
        <w:top w:val="none" w:sz="0" w:space="0" w:color="auto"/>
        <w:left w:val="none" w:sz="0" w:space="0" w:color="auto"/>
        <w:bottom w:val="none" w:sz="0" w:space="0" w:color="auto"/>
        <w:right w:val="none" w:sz="0" w:space="0" w:color="auto"/>
      </w:divBdr>
    </w:div>
    <w:div w:id="636645455">
      <w:bodyDiv w:val="1"/>
      <w:marLeft w:val="0"/>
      <w:marRight w:val="0"/>
      <w:marTop w:val="0"/>
      <w:marBottom w:val="0"/>
      <w:divBdr>
        <w:top w:val="none" w:sz="0" w:space="0" w:color="auto"/>
        <w:left w:val="none" w:sz="0" w:space="0" w:color="auto"/>
        <w:bottom w:val="none" w:sz="0" w:space="0" w:color="auto"/>
        <w:right w:val="none" w:sz="0" w:space="0" w:color="auto"/>
      </w:divBdr>
    </w:div>
    <w:div w:id="74510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CE2E610CC27EC4DBB7C50C3E7091646" ma:contentTypeVersion="0" ma:contentTypeDescription="Ein neues Dokument erstellen." ma:contentTypeScope="" ma:versionID="52c169c5cac276510220e6a151d18325">
  <xsd:schema xmlns:xsd="http://www.w3.org/2001/XMLSchema" xmlns:p="http://schemas.microsoft.com/office/2006/metadata/properties" targetNamespace="http://schemas.microsoft.com/office/2006/metadata/properties" ma:root="true" ma:fieldsID="246f02dd96380beb4f7cdcce14d77f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B0C22-E3B0-4E82-802A-EBCA229FF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AB071CC-EB1B-4E52-8E85-442AEF8B183B}">
  <ds:schemaRefs>
    <ds:schemaRef ds:uri="http://schemas.microsoft.com/office/2006/metadata/properties"/>
  </ds:schemaRefs>
</ds:datastoreItem>
</file>

<file path=customXml/itemProps3.xml><?xml version="1.0" encoding="utf-8"?>
<ds:datastoreItem xmlns:ds="http://schemas.openxmlformats.org/officeDocument/2006/customXml" ds:itemID="{44BE9C93-69C3-411C-8ADA-4935A6DE162D}">
  <ds:schemaRefs>
    <ds:schemaRef ds:uri="http://schemas.microsoft.com/sharepoint/v3/contenttype/forms"/>
  </ds:schemaRefs>
</ds:datastoreItem>
</file>

<file path=customXml/itemProps4.xml><?xml version="1.0" encoding="utf-8"?>
<ds:datastoreItem xmlns:ds="http://schemas.openxmlformats.org/officeDocument/2006/customXml" ds:itemID="{6C31F680-A22F-498E-AF51-A95720D3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1161</Words>
  <Characters>6851</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POZOR: Před zpracováním tohoto textu je třeba nastavit: Nástroje (Tools) / Možnosti (Options) / Zobrazení (View) / ¬a [x] u skrytého textu (Hidden text); v opačném případě se nezobrazí instrukce k vyplnění, které se netisknou</vt:lpstr>
    </vt:vector>
  </TitlesOfParts>
  <Company>UGIS</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POZOR: Před zpracováním tohoto textu je třeba nastavit: Nástroje (Tools) / Možnosti (Options) / Zobrazení (View) / ¬a [x] u skrytého textu (Hidden text); v opačném případě se nezobrazí instrukce k vyplnění, které se netisknou</dc:title>
  <dc:creator>Václav Gargulák</dc:creator>
  <cp:lastModifiedBy>Vinklerová Gabriela</cp:lastModifiedBy>
  <cp:revision>10</cp:revision>
  <cp:lastPrinted>2020-04-21T07:38:00Z</cp:lastPrinted>
  <dcterms:created xsi:type="dcterms:W3CDTF">2020-03-08T22:21:00Z</dcterms:created>
  <dcterms:modified xsi:type="dcterms:W3CDTF">2020-04-27T09:25:00Z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0x010100DCE2E610CC27EC4DBB7C50C3E7091646</vt:lpwstr>
  </property>
  <property fmtid="{D5CDD505-2E9C-101B-9397-08002B2CF9AE}" pid="3" name="MSIP_Label_5111ee20-ba8c-422d-b0e4-95eb7a91cab4_Enabled">
    <vt:lpwstr>true</vt:lpwstr>
  </property>
  <property fmtid="{D5CDD505-2E9C-101B-9397-08002B2CF9AE}" pid="4" name="MSIP_Label_5111ee20-ba8c-422d-b0e4-95eb7a91cab4_SetDate">
    <vt:lpwstr>2020-03-08T22:21:22Z</vt:lpwstr>
  </property>
  <property fmtid="{D5CDD505-2E9C-101B-9397-08002B2CF9AE}" pid="5" name="MSIP_Label_5111ee20-ba8c-422d-b0e4-95eb7a91cab4_Method">
    <vt:lpwstr>Privileged</vt:lpwstr>
  </property>
  <property fmtid="{D5CDD505-2E9C-101B-9397-08002B2CF9AE}" pid="6" name="MSIP_Label_5111ee20-ba8c-422d-b0e4-95eb7a91cab4_Name">
    <vt:lpwstr>in UniCredit Group - no visual markings_1</vt:lpwstr>
  </property>
  <property fmtid="{D5CDD505-2E9C-101B-9397-08002B2CF9AE}" pid="7" name="MSIP_Label_5111ee20-ba8c-422d-b0e4-95eb7a91cab4_SiteId">
    <vt:lpwstr>2cc49ce9-66a1-41ac-a96b-bdc54247696a</vt:lpwstr>
  </property>
  <property fmtid="{D5CDD505-2E9C-101B-9397-08002B2CF9AE}" pid="8" name="MSIP_Label_5111ee20-ba8c-422d-b0e4-95eb7a91cab4_ActionId">
    <vt:lpwstr>8a955f87-61c2-45cc-8207-0000f75163dd</vt:lpwstr>
  </property>
  <property fmtid="{D5CDD505-2E9C-101B-9397-08002B2CF9AE}" pid="9" name="MSIP_Label_5111ee20-ba8c-422d-b0e4-95eb7a91cab4_ContentBits">
    <vt:lpwstr>0</vt:lpwstr>
  </property>
</Properties>
</file>