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870" w:rsidRDefault="00810870">
      <w:pPr>
        <w:pStyle w:val="Heading120"/>
        <w:framePr w:wrap="none" w:vAnchor="page" w:hAnchor="page" w:x="399" w:y="31"/>
        <w:shd w:val="clear" w:color="auto" w:fill="auto"/>
        <w:spacing w:after="0"/>
        <w:ind w:left="9940"/>
      </w:pPr>
      <w:bookmarkStart w:id="0" w:name="bookmark0"/>
      <w:r>
        <w:rPr>
          <w:vertAlign w:val="superscript"/>
        </w:rPr>
        <w:t>T</w:t>
      </w:r>
      <w:bookmarkEnd w:id="0"/>
    </w:p>
    <w:p w:rsidR="00810870" w:rsidRDefault="00810870">
      <w:pPr>
        <w:pStyle w:val="Bodytext20"/>
        <w:framePr w:w="10891" w:h="1859" w:hRule="exact" w:wrap="none" w:vAnchor="page" w:hAnchor="page" w:x="399" w:y="2138"/>
        <w:shd w:val="clear" w:color="auto" w:fill="auto"/>
        <w:spacing w:before="0"/>
        <w:ind w:firstLine="340"/>
      </w:pPr>
      <w:r>
        <w:t xml:space="preserve">Cenu za distribuci a související služby (jako cenu pevnou) a další podmínky distribučních tarifu stanoví ERÚ v Cenovém rozhodnutí, které zveřejňuje v Energetickém regulačním věstníku a na webových stránkách ERÚ (ke dni vydání těchto podmínek </w:t>
      </w:r>
      <w:hyperlink r:id="rId7" w:history="1">
        <w:r>
          <w:rPr>
            <w:lang w:val="en-US" w:eastAsia="en-US"/>
          </w:rPr>
          <w:t>http://www.eru.cz</w:t>
        </w:r>
      </w:hyperlink>
      <w:r>
        <w:rPr>
          <w:lang w:val="en-US" w:eastAsia="en-US"/>
        </w:rPr>
        <w:t>).</w:t>
      </w:r>
    </w:p>
    <w:p w:rsidR="00810870" w:rsidRDefault="00810870">
      <w:pPr>
        <w:pStyle w:val="Bodytext20"/>
        <w:framePr w:w="10891" w:h="1859" w:hRule="exact" w:wrap="none" w:vAnchor="page" w:hAnchor="page" w:x="399" w:y="2138"/>
        <w:shd w:val="clear" w:color="auto" w:fill="auto"/>
        <w:spacing w:before="0"/>
        <w:ind w:firstLine="340"/>
      </w:pPr>
      <w:r>
        <w:t>Cenu za silovou elektřinu a určené podmínky stanoví Dodavatel ve svém ceníku.</w:t>
      </w:r>
    </w:p>
    <w:p w:rsidR="00810870" w:rsidRDefault="00810870">
      <w:pPr>
        <w:pStyle w:val="Bodytext20"/>
        <w:framePr w:w="10891" w:h="1859" w:hRule="exact" w:wrap="none" w:vAnchor="page" w:hAnchor="page" w:x="399" w:y="2138"/>
        <w:shd w:val="clear" w:color="auto" w:fill="auto"/>
        <w:spacing w:before="0"/>
        <w:ind w:firstLine="340"/>
      </w:pPr>
      <w:r>
        <w:t>Změny cen a určených podmínek je Dodavatel oprávněn provádět postupem stanoveným v čl. Vil OPD.</w:t>
      </w:r>
    </w:p>
    <w:p w:rsidR="00810870" w:rsidRDefault="00810870">
      <w:pPr>
        <w:pStyle w:val="Bodytext30"/>
        <w:framePr w:w="10891" w:h="1859" w:hRule="exact" w:wrap="none" w:vAnchor="page" w:hAnchor="page" w:x="399" w:y="2138"/>
        <w:shd w:val="clear" w:color="auto" w:fill="auto"/>
        <w:spacing w:after="0"/>
      </w:pPr>
      <w:r>
        <w:t>Při dodáni elektrické energie na daňovém území České republiky, bude v souladu s příslušnými ustanoveními Zákona 261/2007 Sb. o stabilizaci veřejných rozpočtů uplatněna daň z elektřiny (tzv. ekologická daň), pokud odběratel není oprávněn nabýt elektřinu bez daně. Oprávněni nabývat elektřinu bez daně nebo osvobozenou od daně vydává na základě podmínek, stanovených Zákonem 261/2007 Sb. Celní úřad. odběratel je povinen písemně předložit příslušné povoleni (ověřenou kopii) nejpozději při realizaci první dodávky. Dojde -li k zániku a nebo změně povoleni k nabyti elektřiny bez daně, připadne osvobozené od daně, je odběratel povinen neprodleně informovat o této skutečnosti dodavatele. V případě, že tak neučiní, je povinen uhradit veškeré škody a sankce vzniklé dodavateli v souvislosti s neoprávněným dodáním elektřiny bez daně nebo osvobozené od daně.</w:t>
      </w:r>
    </w:p>
    <w:p w:rsidR="00810870" w:rsidRDefault="00810870">
      <w:pPr>
        <w:pStyle w:val="Bodytext20"/>
        <w:framePr w:w="10891" w:h="7852" w:hRule="exact" w:wrap="none" w:vAnchor="page" w:hAnchor="page" w:x="399" w:y="4425"/>
        <w:shd w:val="clear" w:color="auto" w:fill="auto"/>
        <w:spacing w:before="0" w:after="113"/>
        <w:ind w:left="340"/>
        <w:jc w:val="left"/>
      </w:pPr>
      <w:r>
        <w:t>Dodavatel pravidelně provádí vyhodnocení dodávky elektřiny a její vyúčtování po uplynutí fakturačního období. Délka fakturačního období činí zpravidla 12 měsíců, tj. období mezi pravidelnými odečty. Neumožní-li odběratel Provozovateli DS přístup k měřícímu zařízení za účelem provedení odečtu nebo nebyl-li proveden odečet z jiného důvodu, pak je Dodavatel oprávněn určit množství dodané elektřiny podle množství dodaného v minulém srovnatelném období, není-li právním předpisem stanoveno jinak, případně nedojde-li k určení množství dodané elektřiny dohodou účastníků Smlouvy.</w:t>
      </w:r>
    </w:p>
    <w:p w:rsidR="00810870" w:rsidRDefault="00810870">
      <w:pPr>
        <w:pStyle w:val="Bodytext20"/>
        <w:framePr w:w="10891" w:h="7852" w:hRule="exact" w:wrap="none" w:vAnchor="page" w:hAnchor="page" w:x="399" w:y="4425"/>
        <w:shd w:val="clear" w:color="auto" w:fill="auto"/>
        <w:spacing w:before="0" w:line="187" w:lineRule="exact"/>
        <w:ind w:left="340"/>
      </w:pPr>
      <w:r>
        <w:t>Odběratel platí za dodávku elektřiny zálohy (nedohodnou-li se obě smluvní strany jinak) a to měsíčně ve výši 1/12 předpokládaného ročního odběru. Výše záloh je uvedena - Příloha č.3</w:t>
      </w:r>
    </w:p>
    <w:p w:rsidR="00810870" w:rsidRDefault="00810870">
      <w:pPr>
        <w:pStyle w:val="Bodytext20"/>
        <w:framePr w:w="10891" w:h="7852" w:hRule="exact" w:wrap="none" w:vAnchor="page" w:hAnchor="page" w:x="399" w:y="4425"/>
        <w:shd w:val="clear" w:color="auto" w:fill="auto"/>
        <w:spacing w:before="0" w:after="111" w:line="166" w:lineRule="exact"/>
        <w:ind w:firstLine="340"/>
      </w:pPr>
      <w:r>
        <w:t>Platby jsou hrazeny bezhotovostně, ve prospěch účtu Dodavatele uvedeného ve Smlouvě a na daňovém dokladu, pokud se odběratel s Dodavatelem nedohodnou jinak.</w:t>
      </w:r>
    </w:p>
    <w:p w:rsidR="00810870" w:rsidRDefault="00810870">
      <w:pPr>
        <w:pStyle w:val="Bodytext20"/>
        <w:framePr w:w="10891" w:h="7852" w:hRule="exact" w:wrap="none" w:vAnchor="page" w:hAnchor="page" w:x="399" w:y="4425"/>
        <w:shd w:val="clear" w:color="auto" w:fill="auto"/>
        <w:spacing w:before="0"/>
        <w:ind w:firstLine="340"/>
      </w:pPr>
      <w:r>
        <w:t>Vyúčtování provádí Dodavatel daňovým dokladem - fakturou, která obsahuje náležitosti daňového dokladu podle platného zákona o DPH.</w:t>
      </w:r>
    </w:p>
    <w:p w:rsidR="00810870" w:rsidRDefault="00810870">
      <w:pPr>
        <w:pStyle w:val="Bodytext20"/>
        <w:framePr w:w="10891" w:h="7852" w:hRule="exact" w:wrap="none" w:vAnchor="page" w:hAnchor="page" w:x="399" w:y="4425"/>
        <w:shd w:val="clear" w:color="auto" w:fill="auto"/>
        <w:spacing w:before="0"/>
        <w:ind w:firstLine="340"/>
      </w:pPr>
      <w:r>
        <w:t>Daňový doklad - fakturu předloží Dodavatel odběrateli neprodleně po jejím vystavení. Faktura je splatná do 14 dnů od jejího vystavení, odběratel je povinen při platbách ve prospěch Dodavatele používat variabilní symboly stanovené Dodavatelem; nedoplatek faktury zaplacený pod nesprávným variabilním symbolem bude považován za neuhrazený až do doby, kdy obběratel objasní Dodavateli účel platby. Přeplatek vrátí Dodavatel odběrateli do doby splatnosti faktury, a to ve prospěch účtu, který odběratel uvedl ve Smlouvě o dodávce elektřiny, popř. účtu později oznámeného odběratelem. Za den vrácení přeplatku je považován den vydání příkazu bance Dodavatele. V případě, že má Dodavatel vůči odběrateli splatnou pohledávku, je oprávněn použít přeplatek na započtení proti této pohledávce. O této skutečnosti odběratele písemně vyrozumí. Přeplatek do výše 100 Kč nemusí být odběrateli vrácen a může být převeden na následující fakturační období.</w:t>
      </w:r>
    </w:p>
    <w:p w:rsidR="00810870" w:rsidRDefault="00810870">
      <w:pPr>
        <w:pStyle w:val="Bodytext20"/>
        <w:framePr w:w="10891" w:h="7852" w:hRule="exact" w:wrap="none" w:vAnchor="page" w:hAnchor="page" w:x="399" w:y="4425"/>
        <w:shd w:val="clear" w:color="auto" w:fill="auto"/>
        <w:spacing w:before="0"/>
        <w:ind w:firstLine="340"/>
      </w:pPr>
      <w:r>
        <w:t>Faktura vystavená prostředky výpočetní techniky nemusi obsahovat razítko a podpis Dodavatele, odběratel je povinen obdržené vyúčtování nebo jinou fakturu a údaje v nich uvedené řádně zkontrolovat.</w:t>
      </w:r>
    </w:p>
    <w:p w:rsidR="00810870" w:rsidRDefault="00810870">
      <w:pPr>
        <w:pStyle w:val="Bodytext20"/>
        <w:framePr w:w="10891" w:h="7852" w:hRule="exact" w:wrap="none" w:vAnchor="page" w:hAnchor="page" w:x="399" w:y="4425"/>
        <w:shd w:val="clear" w:color="auto" w:fill="auto"/>
        <w:spacing w:before="0"/>
        <w:ind w:firstLine="340"/>
      </w:pPr>
      <w:r>
        <w:t>Závazek k zaplacení je splněn řádně a včas připsáním celé částky na účet Dodavatele nejpozději v termínu splatnosti. Připadne-li poslední den splatnosti na den pracovního volna (sobota), posouvá se splatnost na nejbližší předcházející pracovní den; připadne-li poslední den splatnosti na den pracovního klidu (neděle a státní svátek nebo ostatní svátek podle zákona č. 245/2000 Sb., o státních svátcích, o ostatních svátcích, o významných dnech a o dnech pracovního klidu, ve znění pozdějších předpisů), posouvá se splatnost na nejbližší následující pracovní den.</w:t>
      </w:r>
    </w:p>
    <w:p w:rsidR="00810870" w:rsidRDefault="00810870">
      <w:pPr>
        <w:pStyle w:val="Bodytext20"/>
        <w:framePr w:w="10891" w:h="7852" w:hRule="exact" w:wrap="none" w:vAnchor="page" w:hAnchor="page" w:x="399" w:y="4425"/>
        <w:shd w:val="clear" w:color="auto" w:fill="auto"/>
        <w:spacing w:before="0"/>
        <w:ind w:right="620" w:firstLine="340"/>
        <w:jc w:val="left"/>
      </w:pPr>
      <w:r>
        <w:t>Dodavatel má právo požadovat od odběratele, je-li odběratel v prodlení s úhradou faktury nebo její části, úrok z prodlení ve smyslu ust § 1970 Občanského zákoníku.</w:t>
      </w:r>
    </w:p>
    <w:p w:rsidR="00810870" w:rsidRDefault="00810870">
      <w:pPr>
        <w:pStyle w:val="Bodytext20"/>
        <w:framePr w:w="10891" w:h="7852" w:hRule="exact" w:wrap="none" w:vAnchor="page" w:hAnchor="page" w:x="399" w:y="4425"/>
        <w:shd w:val="clear" w:color="auto" w:fill="auto"/>
        <w:spacing w:before="0" w:after="240"/>
        <w:ind w:firstLine="340"/>
      </w:pPr>
      <w:r>
        <w:t>Odběratel je povinen zaplatit Dodavateli smluvní pokutu ve výši 100 Kč za první písemnou upomínku v kalendářním roce.</w:t>
      </w:r>
    </w:p>
    <w:p w:rsidR="00810870" w:rsidRDefault="00810870">
      <w:pPr>
        <w:pStyle w:val="Heading20"/>
        <w:framePr w:w="10891" w:h="7852" w:hRule="exact" w:wrap="none" w:vAnchor="page" w:hAnchor="page" w:x="399" w:y="4425"/>
        <w:shd w:val="clear" w:color="auto" w:fill="auto"/>
        <w:spacing w:before="0"/>
        <w:ind w:left="5120"/>
      </w:pPr>
      <w:bookmarkStart w:id="1" w:name="bookmark1"/>
      <w:r>
        <w:rPr>
          <w:rStyle w:val="Heading2NotBold"/>
        </w:rPr>
        <w:t xml:space="preserve">V. </w:t>
      </w:r>
      <w:r>
        <w:t>Reklamace</w:t>
      </w:r>
      <w:bookmarkEnd w:id="1"/>
    </w:p>
    <w:p w:rsidR="00810870" w:rsidRDefault="00810870">
      <w:pPr>
        <w:pStyle w:val="Bodytext20"/>
        <w:framePr w:w="10891" w:h="7852" w:hRule="exact" w:wrap="none" w:vAnchor="page" w:hAnchor="page" w:x="399" w:y="4425"/>
        <w:shd w:val="clear" w:color="auto" w:fill="auto"/>
        <w:spacing w:before="0"/>
        <w:ind w:firstLine="340"/>
      </w:pPr>
      <w:r>
        <w:t>Zjistí-li kterýkoli z účastníků právního vztahu chyby nebo omyly při vyúčtování plateb podle Smlouvy, vzniklých nesprávným odečtem elektroměru, použitím nesprávné konstanty (násobitele) měřícího zařízení oproti skutečně technicky možné konstantě, chybou měřícího zařízení, použitím nesprávné ceny (sazby), početní nebo tiskovou chybou, apod., mají účastníci nárok na vzájemné vypořádání.</w:t>
      </w:r>
    </w:p>
    <w:p w:rsidR="00810870" w:rsidRDefault="00810870">
      <w:pPr>
        <w:pStyle w:val="Bodytext20"/>
        <w:framePr w:w="10891" w:h="7852" w:hRule="exact" w:wrap="none" w:vAnchor="page" w:hAnchor="page" w:x="399" w:y="4425"/>
        <w:shd w:val="clear" w:color="auto" w:fill="auto"/>
        <w:spacing w:before="0"/>
        <w:ind w:firstLine="340"/>
      </w:pPr>
      <w:r>
        <w:t>Zjistí-li kterýkoliv účastník některý z uvedených případů, předá druhému účastníku písemnou výzvu k odstranění vady a k její nápravě (tzv. reklamace).</w:t>
      </w:r>
    </w:p>
    <w:p w:rsidR="00810870" w:rsidRDefault="00810870">
      <w:pPr>
        <w:pStyle w:val="Bodytext20"/>
        <w:framePr w:w="10891" w:h="7852" w:hRule="exact" w:wrap="none" w:vAnchor="page" w:hAnchor="page" w:x="399" w:y="4425"/>
        <w:shd w:val="clear" w:color="auto" w:fill="auto"/>
        <w:spacing w:before="0"/>
        <w:ind w:firstLine="340"/>
      </w:pPr>
      <w:r>
        <w:t>Reklamace bude obsahovat zejména:</w:t>
      </w:r>
    </w:p>
    <w:p w:rsidR="00810870" w:rsidRDefault="00810870">
      <w:pPr>
        <w:pStyle w:val="Bodytext20"/>
        <w:framePr w:w="10891" w:h="7852" w:hRule="exact" w:wrap="none" w:vAnchor="page" w:hAnchor="page" w:x="399" w:y="4425"/>
        <w:numPr>
          <w:ilvl w:val="0"/>
          <w:numId w:val="1"/>
        </w:numPr>
        <w:shd w:val="clear" w:color="auto" w:fill="auto"/>
        <w:tabs>
          <w:tab w:val="left" w:pos="538"/>
        </w:tabs>
        <w:spacing w:before="0"/>
        <w:ind w:firstLine="340"/>
      </w:pPr>
      <w:r>
        <w:t>číslo reklamované faktury, vč. Variabilního symbolu,</w:t>
      </w:r>
    </w:p>
    <w:p w:rsidR="00810870" w:rsidRDefault="00810870">
      <w:pPr>
        <w:pStyle w:val="Bodytext20"/>
        <w:framePr w:w="10891" w:h="7852" w:hRule="exact" w:wrap="none" w:vAnchor="page" w:hAnchor="page" w:x="399" w:y="4425"/>
        <w:numPr>
          <w:ilvl w:val="0"/>
          <w:numId w:val="1"/>
        </w:numPr>
        <w:shd w:val="clear" w:color="auto" w:fill="auto"/>
        <w:tabs>
          <w:tab w:val="left" w:pos="538"/>
        </w:tabs>
        <w:spacing w:before="0"/>
        <w:ind w:firstLine="340"/>
      </w:pPr>
      <w:r>
        <w:t>číslo a název odběrného místa,</w:t>
      </w:r>
    </w:p>
    <w:p w:rsidR="00810870" w:rsidRDefault="00810870">
      <w:pPr>
        <w:pStyle w:val="Bodytext20"/>
        <w:framePr w:w="10891" w:h="7852" w:hRule="exact" w:wrap="none" w:vAnchor="page" w:hAnchor="page" w:x="399" w:y="4425"/>
        <w:numPr>
          <w:ilvl w:val="0"/>
          <w:numId w:val="1"/>
        </w:numPr>
        <w:shd w:val="clear" w:color="auto" w:fill="auto"/>
        <w:tabs>
          <w:tab w:val="left" w:pos="538"/>
        </w:tabs>
        <w:spacing w:before="0"/>
        <w:ind w:firstLine="340"/>
      </w:pPr>
      <w:r>
        <w:t>číslo elektroměru a stav elektroměru ke dni podání reklamace,</w:t>
      </w:r>
    </w:p>
    <w:p w:rsidR="00810870" w:rsidRDefault="00810870">
      <w:pPr>
        <w:pStyle w:val="Bodytext20"/>
        <w:framePr w:w="10891" w:h="7852" w:hRule="exact" w:wrap="none" w:vAnchor="page" w:hAnchor="page" w:x="399" w:y="4425"/>
        <w:numPr>
          <w:ilvl w:val="0"/>
          <w:numId w:val="1"/>
        </w:numPr>
        <w:shd w:val="clear" w:color="auto" w:fill="auto"/>
        <w:tabs>
          <w:tab w:val="left" w:pos="538"/>
        </w:tabs>
        <w:spacing w:before="0"/>
        <w:ind w:firstLine="340"/>
      </w:pPr>
      <w:r>
        <w:t>odůvodnění reklamace,</w:t>
      </w:r>
    </w:p>
    <w:p w:rsidR="00810870" w:rsidRDefault="00810870">
      <w:pPr>
        <w:pStyle w:val="Bodytext20"/>
        <w:framePr w:w="10891" w:h="7852" w:hRule="exact" w:wrap="none" w:vAnchor="page" w:hAnchor="page" w:x="399" w:y="4425"/>
        <w:numPr>
          <w:ilvl w:val="0"/>
          <w:numId w:val="1"/>
        </w:numPr>
        <w:shd w:val="clear" w:color="auto" w:fill="auto"/>
        <w:tabs>
          <w:tab w:val="left" w:pos="538"/>
        </w:tabs>
        <w:spacing w:before="0"/>
        <w:ind w:firstLine="340"/>
      </w:pPr>
      <w:r>
        <w:t>další skutečnosti rozhodné pro posouzení reklamace,</w:t>
      </w:r>
    </w:p>
    <w:p w:rsidR="00810870" w:rsidRDefault="00810870">
      <w:pPr>
        <w:pStyle w:val="Bodytext20"/>
        <w:framePr w:w="10891" w:h="7852" w:hRule="exact" w:wrap="none" w:vAnchor="page" w:hAnchor="page" w:x="399" w:y="4425"/>
        <w:numPr>
          <w:ilvl w:val="0"/>
          <w:numId w:val="1"/>
        </w:numPr>
        <w:shd w:val="clear" w:color="auto" w:fill="auto"/>
        <w:tabs>
          <w:tab w:val="left" w:pos="538"/>
        </w:tabs>
        <w:spacing w:before="0"/>
        <w:ind w:firstLine="340"/>
      </w:pPr>
      <w:r>
        <w:t>označení reklamujícího účastníka a jeho podpis nebo podpis oprávněného zástupce.</w:t>
      </w:r>
    </w:p>
    <w:p w:rsidR="00810870" w:rsidRDefault="00810870">
      <w:pPr>
        <w:pStyle w:val="Bodytext20"/>
        <w:framePr w:w="10891" w:h="7852" w:hRule="exact" w:wrap="none" w:vAnchor="page" w:hAnchor="page" w:x="399" w:y="4425"/>
        <w:shd w:val="clear" w:color="auto" w:fill="auto"/>
        <w:spacing w:before="0"/>
        <w:ind w:firstLine="340"/>
      </w:pPr>
      <w:r>
        <w:t>Odběratel uplatní reklamaci u Dodavatele nejpozději do patnácti (15) dnů od doručení vyúčtování, faktury v níž se reklamovaná skutečnost vyskytla, jinak se má za to, že údaje uvedené Dodavatelem ve vyúčtování, faktuře jsou správné a že se odběratel práva vznášet vůči jejich správnosti jakékoliv námitky vzdává. K reklamacím uplatněným později nemusí Dodavatel přihlížet</w:t>
      </w:r>
    </w:p>
    <w:p w:rsidR="00810870" w:rsidRDefault="00810870">
      <w:pPr>
        <w:pStyle w:val="Bodytext20"/>
        <w:framePr w:w="10891" w:h="7852" w:hRule="exact" w:wrap="none" w:vAnchor="page" w:hAnchor="page" w:x="399" w:y="4425"/>
        <w:shd w:val="clear" w:color="auto" w:fill="auto"/>
        <w:spacing w:before="0"/>
        <w:ind w:firstLine="340"/>
      </w:pPr>
      <w:r>
        <w:t>Uplatněná reklamace nemá odkladný účinek na splatnost vyúčtování.</w:t>
      </w:r>
    </w:p>
    <w:p w:rsidR="00810870" w:rsidRDefault="00810870">
      <w:pPr>
        <w:pStyle w:val="Bodytext20"/>
        <w:framePr w:w="10891" w:h="7852" w:hRule="exact" w:wrap="none" w:vAnchor="page" w:hAnchor="page" w:x="399" w:y="4425"/>
        <w:shd w:val="clear" w:color="auto" w:fill="auto"/>
        <w:spacing w:before="0"/>
        <w:ind w:firstLine="340"/>
      </w:pPr>
      <w:r>
        <w:t>Dodavatel reklamaci prošetří ve lhůtě dle Vyhlášky č.540/2005 Sb. Byla-li reklamace oprávněná, bude provedeno vzájemné vypořádání nejpozději do třiceti (30) dnů ode dne doručení reklamace.</w:t>
      </w:r>
    </w:p>
    <w:p w:rsidR="00810870" w:rsidRDefault="00810870">
      <w:pPr>
        <w:pStyle w:val="Heading20"/>
        <w:framePr w:w="10891" w:h="2203" w:hRule="exact" w:wrap="none" w:vAnchor="page" w:hAnchor="page" w:x="399" w:y="12465"/>
        <w:shd w:val="clear" w:color="auto" w:fill="auto"/>
        <w:spacing w:before="0"/>
        <w:ind w:left="5120"/>
      </w:pPr>
      <w:bookmarkStart w:id="2" w:name="bookmark2"/>
      <w:r>
        <w:t>VI. Doručování</w:t>
      </w:r>
      <w:bookmarkEnd w:id="2"/>
    </w:p>
    <w:p w:rsidR="00810870" w:rsidRDefault="00810870">
      <w:pPr>
        <w:pStyle w:val="Bodytext20"/>
        <w:framePr w:w="10891" w:h="2203" w:hRule="exact" w:wrap="none" w:vAnchor="page" w:hAnchor="page" w:x="399" w:y="12465"/>
        <w:shd w:val="clear" w:color="auto" w:fill="auto"/>
        <w:spacing w:before="0"/>
        <w:ind w:firstLine="340"/>
      </w:pPr>
      <w:r>
        <w:t>Veškeré informace, oznámení, faktury, upomínky, výzvy, apod. činěné podle Smlouvy nebo OPD [dále jen „Podání"] se považuje (-ují) za doručené (-á) Dodavateli nebo odběrateli, pokud je (jsou) prokazatelně doručené alespoň jedním z následujících způsobů:</w:t>
      </w:r>
    </w:p>
    <w:p w:rsidR="00810870" w:rsidRDefault="00810870">
      <w:pPr>
        <w:pStyle w:val="Bodytext20"/>
        <w:framePr w:w="10891" w:h="2203" w:hRule="exact" w:wrap="none" w:vAnchor="page" w:hAnchor="page" w:x="399" w:y="12465"/>
        <w:numPr>
          <w:ilvl w:val="0"/>
          <w:numId w:val="2"/>
        </w:numPr>
        <w:shd w:val="clear" w:color="auto" w:fill="auto"/>
        <w:tabs>
          <w:tab w:val="left" w:pos="690"/>
        </w:tabs>
        <w:spacing w:before="0"/>
        <w:ind w:firstLine="340"/>
      </w:pPr>
      <w:r>
        <w:t>osobním doručením</w:t>
      </w:r>
    </w:p>
    <w:p w:rsidR="00810870" w:rsidRDefault="00810870">
      <w:pPr>
        <w:pStyle w:val="Bodytext20"/>
        <w:framePr w:w="10891" w:h="2203" w:hRule="exact" w:wrap="none" w:vAnchor="page" w:hAnchor="page" w:x="399" w:y="12465"/>
        <w:numPr>
          <w:ilvl w:val="0"/>
          <w:numId w:val="2"/>
        </w:numPr>
        <w:shd w:val="clear" w:color="auto" w:fill="auto"/>
        <w:tabs>
          <w:tab w:val="left" w:pos="690"/>
        </w:tabs>
        <w:spacing w:before="0"/>
        <w:ind w:firstLine="340"/>
      </w:pPr>
      <w:r>
        <w:t>prostřednictvím kurýra</w:t>
      </w:r>
    </w:p>
    <w:p w:rsidR="00810870" w:rsidRDefault="00810870">
      <w:pPr>
        <w:pStyle w:val="Bodytext20"/>
        <w:framePr w:w="10891" w:h="2203" w:hRule="exact" w:wrap="none" w:vAnchor="page" w:hAnchor="page" w:x="399" w:y="12465"/>
        <w:numPr>
          <w:ilvl w:val="0"/>
          <w:numId w:val="2"/>
        </w:numPr>
        <w:shd w:val="clear" w:color="auto" w:fill="auto"/>
        <w:tabs>
          <w:tab w:val="left" w:pos="690"/>
        </w:tabs>
        <w:spacing w:before="0"/>
        <w:ind w:firstLine="340"/>
      </w:pPr>
      <w:r>
        <w:t>doporučeným dopisem</w:t>
      </w:r>
    </w:p>
    <w:p w:rsidR="00810870" w:rsidRDefault="00810870">
      <w:pPr>
        <w:pStyle w:val="Bodytext20"/>
        <w:framePr w:w="10891" w:h="2203" w:hRule="exact" w:wrap="none" w:vAnchor="page" w:hAnchor="page" w:x="399" w:y="12465"/>
        <w:numPr>
          <w:ilvl w:val="0"/>
          <w:numId w:val="2"/>
        </w:numPr>
        <w:shd w:val="clear" w:color="auto" w:fill="auto"/>
        <w:tabs>
          <w:tab w:val="left" w:pos="690"/>
        </w:tabs>
        <w:spacing w:before="0"/>
        <w:ind w:firstLine="340"/>
      </w:pPr>
      <w:r>
        <w:t>dopisem</w:t>
      </w:r>
    </w:p>
    <w:p w:rsidR="00810870" w:rsidRDefault="00810870">
      <w:pPr>
        <w:pStyle w:val="Bodytext20"/>
        <w:framePr w:w="10891" w:h="2203" w:hRule="exact" w:wrap="none" w:vAnchor="page" w:hAnchor="page" w:x="399" w:y="12465"/>
        <w:numPr>
          <w:ilvl w:val="0"/>
          <w:numId w:val="2"/>
        </w:numPr>
        <w:shd w:val="clear" w:color="auto" w:fill="auto"/>
        <w:tabs>
          <w:tab w:val="left" w:pos="690"/>
        </w:tabs>
        <w:spacing w:before="0"/>
        <w:ind w:firstLine="340"/>
      </w:pPr>
      <w:r>
        <w:t>faxem, se zpětným potvrzením doručení</w:t>
      </w:r>
    </w:p>
    <w:p w:rsidR="00810870" w:rsidRDefault="00810870">
      <w:pPr>
        <w:pStyle w:val="Bodytext20"/>
        <w:framePr w:w="10891" w:h="2203" w:hRule="exact" w:wrap="none" w:vAnchor="page" w:hAnchor="page" w:x="399" w:y="12465"/>
        <w:numPr>
          <w:ilvl w:val="0"/>
          <w:numId w:val="2"/>
        </w:numPr>
        <w:shd w:val="clear" w:color="auto" w:fill="auto"/>
        <w:tabs>
          <w:tab w:val="left" w:pos="690"/>
        </w:tabs>
        <w:spacing w:before="0"/>
        <w:ind w:firstLine="340"/>
      </w:pPr>
      <w:r>
        <w:t>elektronickou poštou, se zpětným potvrzením doručení</w:t>
      </w:r>
    </w:p>
    <w:p w:rsidR="00810870" w:rsidRDefault="00810870">
      <w:pPr>
        <w:pStyle w:val="Bodytext20"/>
        <w:framePr w:w="10891" w:h="2203" w:hRule="exact" w:wrap="none" w:vAnchor="page" w:hAnchor="page" w:x="399" w:y="12465"/>
        <w:shd w:val="clear" w:color="auto" w:fill="auto"/>
        <w:spacing w:before="0"/>
        <w:ind w:firstLine="340"/>
      </w:pPr>
      <w:r>
        <w:t>V případě oznamování skutečností závažnější povahy (zejména upomínky nebo oznámení o přerušení nebo ukončení dodávky elektřiny apod.) jsou Účastníci Smlouvy povinni, aby dosáhli pracovních účinků doručení Podání, provádět vždy alespoň jedním ze způsobů dle bodů a, b nebo c.</w:t>
      </w:r>
    </w:p>
    <w:p w:rsidR="00810870" w:rsidRDefault="00810870">
      <w:pPr>
        <w:pStyle w:val="Bodytext20"/>
        <w:framePr w:w="10891" w:h="2203" w:hRule="exact" w:wrap="none" w:vAnchor="page" w:hAnchor="page" w:x="399" w:y="12465"/>
        <w:shd w:val="clear" w:color="auto" w:fill="auto"/>
        <w:spacing w:before="0"/>
        <w:ind w:firstLine="340"/>
      </w:pPr>
      <w:r>
        <w:t>Podání provedené (-á) způsobem dle bodů c) a d) se považují za doručená 5. pracovním dnem ode dne odeslání Podání prostřednictvím držitele poštovní licence.</w:t>
      </w:r>
    </w:p>
    <w:p w:rsidR="00810870" w:rsidRDefault="00810870">
      <w:pPr>
        <w:pStyle w:val="Heading10"/>
        <w:framePr w:w="10891" w:h="307" w:hRule="exact" w:wrap="none" w:vAnchor="page" w:hAnchor="page" w:x="399" w:y="14922"/>
        <w:shd w:val="clear" w:color="auto" w:fill="auto"/>
        <w:spacing w:before="0"/>
      </w:pPr>
      <w:bookmarkStart w:id="3" w:name="bookmark3"/>
      <w:r>
        <w:t>Stránka 6</w:t>
      </w:r>
      <w:bookmarkEnd w:id="3"/>
    </w:p>
    <w:p w:rsidR="00810870" w:rsidRDefault="00810870">
      <w:pPr>
        <w:rPr>
          <w:sz w:val="2"/>
          <w:szCs w:val="2"/>
        </w:rPr>
      </w:pPr>
    </w:p>
    <w:sectPr w:rsidR="00810870" w:rsidSect="00D75EBA">
      <w:pgSz w:w="11900" w:h="16840"/>
      <w:pgMar w:top="360" w:right="360" w:bottom="360" w:left="360" w:header="0" w:footer="3"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870" w:rsidRDefault="00810870" w:rsidP="00D75EBA">
      <w:r>
        <w:separator/>
      </w:r>
    </w:p>
  </w:endnote>
  <w:endnote w:type="continuationSeparator" w:id="0">
    <w:p w:rsidR="00810870" w:rsidRDefault="00810870" w:rsidP="00D75E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870" w:rsidRDefault="00810870"/>
  </w:footnote>
  <w:footnote w:type="continuationSeparator" w:id="0">
    <w:p w:rsidR="00810870" w:rsidRDefault="0081087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C0AFE"/>
    <w:multiLevelType w:val="multilevel"/>
    <w:tmpl w:val="FFFFFFFF"/>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31C4EA6"/>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1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5EBA"/>
    <w:rsid w:val="002F0051"/>
    <w:rsid w:val="00467521"/>
    <w:rsid w:val="00810870"/>
    <w:rsid w:val="00D75EBA"/>
    <w:rsid w:val="00F953BC"/>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EBA"/>
    <w:pPr>
      <w:widowControl w:val="0"/>
    </w:pPr>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2">
    <w:name w:val="Heading #1 (2)_"/>
    <w:basedOn w:val="DefaultParagraphFont"/>
    <w:link w:val="Heading120"/>
    <w:uiPriority w:val="99"/>
    <w:locked/>
    <w:rsid w:val="00D75EBA"/>
    <w:rPr>
      <w:rFonts w:cs="Times New Roman"/>
      <w:sz w:val="20"/>
      <w:szCs w:val="20"/>
      <w:u w:val="none"/>
    </w:rPr>
  </w:style>
  <w:style w:type="character" w:customStyle="1" w:styleId="Bodytext2">
    <w:name w:val="Body text (2)_"/>
    <w:basedOn w:val="DefaultParagraphFont"/>
    <w:link w:val="Bodytext20"/>
    <w:uiPriority w:val="99"/>
    <w:locked/>
    <w:rsid w:val="00D75EBA"/>
    <w:rPr>
      <w:rFonts w:cs="Times New Roman"/>
      <w:sz w:val="15"/>
      <w:szCs w:val="15"/>
      <w:u w:val="none"/>
    </w:rPr>
  </w:style>
  <w:style w:type="character" w:customStyle="1" w:styleId="Bodytext3">
    <w:name w:val="Body text (3)_"/>
    <w:basedOn w:val="DefaultParagraphFont"/>
    <w:link w:val="Bodytext30"/>
    <w:uiPriority w:val="99"/>
    <w:locked/>
    <w:rsid w:val="00D75EBA"/>
    <w:rPr>
      <w:rFonts w:cs="Times New Roman"/>
      <w:b/>
      <w:bCs/>
      <w:i/>
      <w:iCs/>
      <w:sz w:val="15"/>
      <w:szCs w:val="15"/>
      <w:u w:val="none"/>
    </w:rPr>
  </w:style>
  <w:style w:type="character" w:customStyle="1" w:styleId="Heading2">
    <w:name w:val="Heading #2_"/>
    <w:basedOn w:val="DefaultParagraphFont"/>
    <w:link w:val="Heading20"/>
    <w:uiPriority w:val="99"/>
    <w:locked/>
    <w:rsid w:val="00D75EBA"/>
    <w:rPr>
      <w:rFonts w:cs="Times New Roman"/>
      <w:b/>
      <w:bCs/>
      <w:sz w:val="15"/>
      <w:szCs w:val="15"/>
      <w:u w:val="none"/>
    </w:rPr>
  </w:style>
  <w:style w:type="character" w:customStyle="1" w:styleId="Heading2NotBold">
    <w:name w:val="Heading #2 + Not Bold"/>
    <w:basedOn w:val="Heading2"/>
    <w:uiPriority w:val="99"/>
    <w:rsid w:val="00D75EBA"/>
    <w:rPr>
      <w:rFonts w:ascii="Times New Roman" w:hAnsi="Times New Roman"/>
      <w:color w:val="000000"/>
      <w:spacing w:val="0"/>
      <w:w w:val="100"/>
      <w:position w:val="0"/>
      <w:lang w:val="cs-CZ" w:eastAsia="cs-CZ"/>
    </w:rPr>
  </w:style>
  <w:style w:type="character" w:customStyle="1" w:styleId="Heading1">
    <w:name w:val="Heading #1_"/>
    <w:basedOn w:val="DefaultParagraphFont"/>
    <w:link w:val="Heading10"/>
    <w:uiPriority w:val="99"/>
    <w:locked/>
    <w:rsid w:val="00D75EBA"/>
    <w:rPr>
      <w:rFonts w:cs="Times New Roman"/>
      <w:sz w:val="22"/>
      <w:szCs w:val="22"/>
      <w:u w:val="none"/>
    </w:rPr>
  </w:style>
  <w:style w:type="paragraph" w:customStyle="1" w:styleId="Heading120">
    <w:name w:val="Heading #1 (2)"/>
    <w:basedOn w:val="Normal"/>
    <w:link w:val="Heading12"/>
    <w:uiPriority w:val="99"/>
    <w:rsid w:val="00D75EBA"/>
    <w:pPr>
      <w:shd w:val="clear" w:color="auto" w:fill="FFFFFF"/>
      <w:spacing w:after="1860" w:line="222" w:lineRule="exact"/>
      <w:outlineLvl w:val="0"/>
    </w:pPr>
    <w:rPr>
      <w:sz w:val="20"/>
      <w:szCs w:val="20"/>
    </w:rPr>
  </w:style>
  <w:style w:type="paragraph" w:customStyle="1" w:styleId="Bodytext20">
    <w:name w:val="Body text (2)"/>
    <w:basedOn w:val="Normal"/>
    <w:link w:val="Bodytext2"/>
    <w:uiPriority w:val="99"/>
    <w:rsid w:val="00D75EBA"/>
    <w:pPr>
      <w:shd w:val="clear" w:color="auto" w:fill="FFFFFF"/>
      <w:spacing w:before="1860" w:line="178" w:lineRule="exact"/>
      <w:jc w:val="both"/>
    </w:pPr>
    <w:rPr>
      <w:sz w:val="15"/>
      <w:szCs w:val="15"/>
    </w:rPr>
  </w:style>
  <w:style w:type="paragraph" w:customStyle="1" w:styleId="Bodytext30">
    <w:name w:val="Body text (3)"/>
    <w:basedOn w:val="Normal"/>
    <w:link w:val="Bodytext3"/>
    <w:uiPriority w:val="99"/>
    <w:rsid w:val="00D75EBA"/>
    <w:pPr>
      <w:shd w:val="clear" w:color="auto" w:fill="FFFFFF"/>
      <w:spacing w:after="480" w:line="178" w:lineRule="exact"/>
      <w:ind w:firstLine="340"/>
      <w:jc w:val="both"/>
    </w:pPr>
    <w:rPr>
      <w:b/>
      <w:bCs/>
      <w:i/>
      <w:iCs/>
      <w:sz w:val="15"/>
      <w:szCs w:val="15"/>
    </w:rPr>
  </w:style>
  <w:style w:type="paragraph" w:customStyle="1" w:styleId="Heading20">
    <w:name w:val="Heading #2"/>
    <w:basedOn w:val="Normal"/>
    <w:link w:val="Heading2"/>
    <w:uiPriority w:val="99"/>
    <w:rsid w:val="00D75EBA"/>
    <w:pPr>
      <w:shd w:val="clear" w:color="auto" w:fill="FFFFFF"/>
      <w:spacing w:before="240" w:line="178" w:lineRule="exact"/>
      <w:outlineLvl w:val="1"/>
    </w:pPr>
    <w:rPr>
      <w:b/>
      <w:bCs/>
      <w:sz w:val="15"/>
      <w:szCs w:val="15"/>
    </w:rPr>
  </w:style>
  <w:style w:type="paragraph" w:customStyle="1" w:styleId="Heading10">
    <w:name w:val="Heading #1"/>
    <w:basedOn w:val="Normal"/>
    <w:link w:val="Heading1"/>
    <w:uiPriority w:val="99"/>
    <w:rsid w:val="00D75EBA"/>
    <w:pPr>
      <w:shd w:val="clear" w:color="auto" w:fill="FFFFFF"/>
      <w:spacing w:before="360" w:line="244" w:lineRule="exact"/>
      <w:jc w:val="center"/>
      <w:outlineLvl w:val="0"/>
    </w:pPr>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ru.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977</Words>
  <Characters>5765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
  <cp:keywords/>
  <dc:description/>
  <cp:lastModifiedBy>Spisovna</cp:lastModifiedBy>
  <cp:revision>2</cp:revision>
  <dcterms:created xsi:type="dcterms:W3CDTF">2017-01-24T07:53:00Z</dcterms:created>
  <dcterms:modified xsi:type="dcterms:W3CDTF">2017-01-24T07:53:00Z</dcterms:modified>
</cp:coreProperties>
</file>