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8D0" w:rsidRDefault="007808D0">
      <w:pPr>
        <w:pStyle w:val="Heading10"/>
        <w:framePr w:w="10925" w:h="3931" w:hRule="exact" w:wrap="none" w:vAnchor="page" w:hAnchor="page" w:x="414" w:y="2117"/>
        <w:shd w:val="clear" w:color="auto" w:fill="auto"/>
      </w:pPr>
      <w:bookmarkStart w:id="0" w:name="bookmark0"/>
      <w:r>
        <w:t xml:space="preserve">Příloha </w:t>
      </w:r>
      <w:r>
        <w:rPr>
          <w:rStyle w:val="Heading113pt"/>
          <w:b/>
          <w:bCs/>
        </w:rPr>
        <w:t xml:space="preserve">č. </w:t>
      </w:r>
      <w:r>
        <w:t>1</w:t>
      </w:r>
      <w:bookmarkEnd w:id="0"/>
    </w:p>
    <w:p w:rsidR="007808D0" w:rsidRDefault="007808D0">
      <w:pPr>
        <w:pStyle w:val="Heading20"/>
        <w:framePr w:w="10925" w:h="3931" w:hRule="exact" w:wrap="none" w:vAnchor="page" w:hAnchor="page" w:x="414" w:y="2117"/>
        <w:shd w:val="clear" w:color="auto" w:fill="auto"/>
        <w:spacing w:after="232"/>
      </w:pPr>
      <w:bookmarkStart w:id="1" w:name="bookmark1"/>
      <w:r>
        <w:t>Obchodní podmínky dodávky elektřiny</w:t>
      </w:r>
      <w:r>
        <w:br/>
        <w:t>pro napěťovou úroveň NN - odběratelé kategorie C</w:t>
      </w:r>
      <w:bookmarkEnd w:id="1"/>
    </w:p>
    <w:p w:rsidR="007808D0" w:rsidRDefault="007808D0">
      <w:pPr>
        <w:pStyle w:val="Bodytext20"/>
        <w:framePr w:w="10925" w:h="3931" w:hRule="exact" w:wrap="none" w:vAnchor="page" w:hAnchor="page" w:x="414" w:y="2117"/>
        <w:shd w:val="clear" w:color="auto" w:fill="auto"/>
        <w:spacing w:before="0"/>
      </w:pPr>
      <w:r>
        <w:t>Vydává dodavatel elektřiny za účelem podrobnější úpravy smluvního vztahu vzniklého na základě § 50 zákona č. 458/2000 Sb. (dále jen Energetický zákon) ve znění změn a doplňků.</w:t>
      </w:r>
    </w:p>
    <w:p w:rsidR="007808D0" w:rsidRDefault="007808D0">
      <w:pPr>
        <w:pStyle w:val="Heading40"/>
        <w:framePr w:w="10925" w:h="3931" w:hRule="exact" w:wrap="none" w:vAnchor="page" w:hAnchor="page" w:x="414" w:y="2117"/>
        <w:numPr>
          <w:ilvl w:val="0"/>
          <w:numId w:val="1"/>
        </w:numPr>
        <w:shd w:val="clear" w:color="auto" w:fill="auto"/>
        <w:tabs>
          <w:tab w:val="left" w:pos="5206"/>
        </w:tabs>
        <w:ind w:left="4980"/>
      </w:pPr>
      <w:bookmarkStart w:id="2" w:name="bookmark2"/>
      <w:r>
        <w:t>Úvodní ustanovení</w:t>
      </w:r>
      <w:bookmarkEnd w:id="2"/>
    </w:p>
    <w:p w:rsidR="007808D0" w:rsidRDefault="007808D0">
      <w:pPr>
        <w:pStyle w:val="Bodytext20"/>
        <w:framePr w:w="10925" w:h="3931" w:hRule="exact" w:wrap="none" w:vAnchor="page" w:hAnchor="page" w:x="414" w:y="2117"/>
        <w:shd w:val="clear" w:color="auto" w:fill="auto"/>
        <w:spacing w:before="0"/>
      </w:pPr>
      <w:r>
        <w:t>Tyto Obchodní podmínky dodávky elektřiny (dále jen OPD) upravují vztahy pro dodávku elektřiny v napěťové úrovni NN mezi obchodníkem s elektřinou jako dodavatelem (dále jen Dodavatel) a oprávněným odběratelem (dále jen odběratel) a jsou nedílnou součástí Smlouvy o dodávce elektřiny.</w:t>
      </w:r>
    </w:p>
    <w:p w:rsidR="007808D0" w:rsidRDefault="007808D0">
      <w:pPr>
        <w:pStyle w:val="Bodytext20"/>
        <w:framePr w:w="10925" w:h="3931" w:hRule="exact" w:wrap="none" w:vAnchor="page" w:hAnchor="page" w:x="414" w:y="2117"/>
        <w:shd w:val="clear" w:color="auto" w:fill="auto"/>
        <w:spacing w:before="0"/>
      </w:pPr>
      <w:r>
        <w:t>Pro účely těchto OPD se použité pojmy vykládají ve smyslu Energetického zákona a předpisů jej provádějících.</w:t>
      </w:r>
    </w:p>
    <w:p w:rsidR="007808D0" w:rsidRDefault="007808D0">
      <w:pPr>
        <w:pStyle w:val="Bodytext20"/>
        <w:framePr w:w="10925" w:h="3931" w:hRule="exact" w:wrap="none" w:vAnchor="page" w:hAnchor="page" w:x="414" w:y="2117"/>
        <w:shd w:val="clear" w:color="auto" w:fill="auto"/>
        <w:spacing w:before="0"/>
      </w:pPr>
      <w:r>
        <w:t>Dodávka elektřiny se uskutečňuje na základě Smlouvy o dodávce elektřiny. Smlouvou o dodávce elektřiny se pro účely těchto obchodních podmínek rozumí Smlouva o dodávce elektřiny oprávněnému odběrateli nebo Smlouva o sdružených službách dodávky elektřiny oprávněnému odběrateli, která zahrnuje také přenos, distribuci a systémové služby a to v režimu přenesené odpovědnosti za odchylku; a převzetí závazku oprávněného odběratele dodavatelem odebrat elektřinu z elektrizační soustavy (spolu s odpovědností za odchylku).</w:t>
      </w:r>
    </w:p>
    <w:p w:rsidR="007808D0" w:rsidRDefault="007808D0">
      <w:pPr>
        <w:pStyle w:val="Bodytext20"/>
        <w:framePr w:w="10925" w:h="3931" w:hRule="exact" w:wrap="none" w:vAnchor="page" w:hAnchor="page" w:x="414" w:y="2117"/>
        <w:shd w:val="clear" w:color="auto" w:fill="auto"/>
        <w:spacing w:before="0"/>
      </w:pPr>
      <w:r>
        <w:t>Smlouva o dodávce elektřiny (dále jen Smlouva) může být s odběratelem sjednávána v kontaktním místě (sídlo společnosti) písemnou formou. Není-li ve Smlouvě dohodnuto datum ukončení dodávky, je Smlouva sjednávána na dobu neurčitou.</w:t>
      </w:r>
    </w:p>
    <w:p w:rsidR="007808D0" w:rsidRDefault="007808D0">
      <w:pPr>
        <w:pStyle w:val="Bodytext20"/>
        <w:framePr w:w="10925" w:h="3931" w:hRule="exact" w:wrap="none" w:vAnchor="page" w:hAnchor="page" w:x="414" w:y="2117"/>
        <w:shd w:val="clear" w:color="auto" w:fill="auto"/>
        <w:spacing w:before="0"/>
      </w:pPr>
      <w:r>
        <w:t>Podle těchto OPD se rovněž uskutečňuje dodávka elektřiny odběrateli, který poté, kdy získal oprávnění k regulovanému přístupu k distribuční soustavě podle § 21 odst. 2 Energetického zákona nadále odebírá elektřinu z distribuční soustavy, nezměnil dodavatele elektřiny a neuzavřel s dosavadním dodavatelem elektřiny, který je současně držitelem licence na obchod s elektřinou smlouvu novou.</w:t>
      </w:r>
    </w:p>
    <w:p w:rsidR="007808D0" w:rsidRDefault="007808D0">
      <w:pPr>
        <w:pStyle w:val="Heading40"/>
        <w:framePr w:w="10925" w:h="7046" w:hRule="exact" w:wrap="none" w:vAnchor="page" w:hAnchor="page" w:x="414" w:y="6235"/>
        <w:numPr>
          <w:ilvl w:val="0"/>
          <w:numId w:val="1"/>
        </w:numPr>
        <w:shd w:val="clear" w:color="auto" w:fill="auto"/>
        <w:tabs>
          <w:tab w:val="left" w:pos="4244"/>
        </w:tabs>
        <w:ind w:left="3960"/>
      </w:pPr>
      <w:bookmarkStart w:id="3" w:name="bookmark3"/>
      <w:r>
        <w:t>Zahájení, průběh a ukončení dodávky elektřiny</w:t>
      </w:r>
      <w:bookmarkEnd w:id="3"/>
    </w:p>
    <w:p w:rsidR="007808D0" w:rsidRDefault="007808D0">
      <w:pPr>
        <w:pStyle w:val="Bodytext20"/>
        <w:framePr w:w="10925" w:h="7046" w:hRule="exact" w:wrap="none" w:vAnchor="page" w:hAnchor="page" w:x="414" w:y="6235"/>
        <w:shd w:val="clear" w:color="auto" w:fill="auto"/>
        <w:spacing w:before="0"/>
      </w:pPr>
      <w:r>
        <w:rPr>
          <w:rStyle w:val="Bodytext2Bold"/>
        </w:rPr>
        <w:t xml:space="preserve">Zahájení dodávky: </w:t>
      </w:r>
      <w:r>
        <w:t>Odběratel může uplatnit svůj požadavek na dodávku elektřiny písemně v kontaktním místě.</w:t>
      </w:r>
    </w:p>
    <w:p w:rsidR="007808D0" w:rsidRDefault="007808D0">
      <w:pPr>
        <w:pStyle w:val="Bodytext20"/>
        <w:framePr w:w="10925" w:h="7046" w:hRule="exact" w:wrap="none" w:vAnchor="page" w:hAnchor="page" w:x="414" w:y="6235"/>
        <w:shd w:val="clear" w:color="auto" w:fill="auto"/>
        <w:spacing w:before="0"/>
      </w:pPr>
      <w:r>
        <w:t>Před uzavřením Smlouvy musí Odběratel sjednat s Provozovatelem distribuční soustavy nebo s Provozovatelem lokální distribuční soustavy, ke které je odběrné místo připojeno (dále jen Provozovatel DS), Smlouvu o připojení. Dodávku elektřiny zahájí Dodavatel po uzavření Smlouvy o dodávce elektřiny ve sjednaném terminu. Dodavatel není povinen sjednat termín zahájení dodávky dříve, než stanoví Energetický zákon nebo jeho prováděcí předpis.</w:t>
      </w:r>
    </w:p>
    <w:p w:rsidR="007808D0" w:rsidRDefault="007808D0">
      <w:pPr>
        <w:pStyle w:val="Bodytext20"/>
        <w:framePr w:w="10925" w:h="7046" w:hRule="exact" w:wrap="none" w:vAnchor="page" w:hAnchor="page" w:x="414" w:y="6235"/>
        <w:shd w:val="clear" w:color="auto" w:fill="auto"/>
        <w:spacing w:before="0"/>
      </w:pPr>
      <w:r>
        <w:rPr>
          <w:rStyle w:val="Bodytext2Bold"/>
        </w:rPr>
        <w:t xml:space="preserve">Průběh dodávky: </w:t>
      </w:r>
      <w:r>
        <w:t>Dodávka a odběr elektřiny se uskutečňuje podle potřeb Odběratele po dobu účinnosti Smlouvy v souladu s hodnotou hlavního jističe před elektroměrem sjednaného s Provozovatelem DS ve smlouvě o připojení a v souladu s Pravidly provozování DS.</w:t>
      </w:r>
    </w:p>
    <w:p w:rsidR="007808D0" w:rsidRDefault="007808D0">
      <w:pPr>
        <w:pStyle w:val="Bodytext20"/>
        <w:framePr w:w="10925" w:h="7046" w:hRule="exact" w:wrap="none" w:vAnchor="page" w:hAnchor="page" w:x="414" w:y="6235"/>
        <w:shd w:val="clear" w:color="auto" w:fill="auto"/>
        <w:spacing w:before="0"/>
      </w:pPr>
      <w:r>
        <w:t>Dodávka je splněna přechodem elektřiny přes měřící zařízení, kterým je měřena, do odběrného zařízení odběratele. Tímto okamžikem přechází elektřina do vlastnictví odběratele a odběratel je povinen zaplatit její cenu.</w:t>
      </w:r>
    </w:p>
    <w:p w:rsidR="007808D0" w:rsidRDefault="007808D0">
      <w:pPr>
        <w:pStyle w:val="Bodytext20"/>
        <w:framePr w:w="10925" w:h="7046" w:hRule="exact" w:wrap="none" w:vAnchor="page" w:hAnchor="page" w:x="414" w:y="6235"/>
        <w:shd w:val="clear" w:color="auto" w:fill="auto"/>
        <w:spacing w:before="0"/>
      </w:pPr>
      <w:r>
        <w:t>Dodávka elektřiny v případě stavu nouze je upravena zvláštním právním předpisem.</w:t>
      </w:r>
    </w:p>
    <w:p w:rsidR="007808D0" w:rsidRDefault="007808D0">
      <w:pPr>
        <w:pStyle w:val="Bodytext20"/>
        <w:framePr w:w="10925" w:h="7046" w:hRule="exact" w:wrap="none" w:vAnchor="page" w:hAnchor="page" w:x="414" w:y="6235"/>
        <w:shd w:val="clear" w:color="auto" w:fill="auto"/>
        <w:spacing w:before="0"/>
      </w:pPr>
      <w:r>
        <w:t>Dodržování garantovaných standardů dodávek elektřiny se zajišťuje dle Vyhlášky Energetického regulačního úřadu č. 540/2005 Sb., o kvalitě dodávek elektřiny a</w:t>
      </w:r>
    </w:p>
    <w:p w:rsidR="007808D0" w:rsidRDefault="007808D0">
      <w:pPr>
        <w:pStyle w:val="Bodytext20"/>
        <w:framePr w:w="10925" w:h="7046" w:hRule="exact" w:wrap="none" w:vAnchor="page" w:hAnchor="page" w:x="414" w:y="6235"/>
        <w:shd w:val="clear" w:color="auto" w:fill="auto"/>
        <w:spacing w:before="0" w:after="120"/>
      </w:pPr>
      <w:r>
        <w:t>souvisejících služeb v elektroenergetice, v platném znění (dále jen „Vyhláška č.540/2005 Sb.“).</w:t>
      </w:r>
    </w:p>
    <w:p w:rsidR="007808D0" w:rsidRDefault="007808D0">
      <w:pPr>
        <w:pStyle w:val="Bodytext20"/>
        <w:framePr w:w="10925" w:h="7046" w:hRule="exact" w:wrap="none" w:vAnchor="page" w:hAnchor="page" w:x="414" w:y="6235"/>
        <w:shd w:val="clear" w:color="auto" w:fill="auto"/>
        <w:spacing w:before="0"/>
      </w:pPr>
      <w:r>
        <w:rPr>
          <w:rStyle w:val="Bodytext2Bold"/>
        </w:rPr>
        <w:t xml:space="preserve">Přerušení dodávky: </w:t>
      </w:r>
      <w:r>
        <w:t>Dodavatel má podle ust. § 30 odst. 1. písm. d) Energetického zákona právo přerušit dodávku elektřiny odběrateli při neoprávněném odběru podle ust. § 51 Energetického zákona a v případech, kdy Dodavatel je oprávněn odstoupit od Smlouvy. Přerušení dodávky elektřiny je Dodavatel oprávněn provést i ve více odběrných místech odběratele, jsou-li součástí Smlouvy. Přerušení dodávky elektřiny je Dodavatel povinen odběrateli oznámit doporučeným dopisem. Odběratel bere na vědomí, že přerušení dodávky elektřiny provede příslušný provozovatel DS na žádost Dodavatele a na náklady odběratele. Při postupu Dodavatele podle ust. § 30 odst. 1. písm. d) Energetického zákona není právo na náhradu škody a ušlého zisku. Odběratel je povinen uhradit Dodavateli náklady spojené se zjišťováním neoprávněného odběru a s přerušením nebo obnovením dodávky.</w:t>
      </w:r>
    </w:p>
    <w:p w:rsidR="007808D0" w:rsidRDefault="007808D0">
      <w:pPr>
        <w:pStyle w:val="Bodytext20"/>
        <w:framePr w:w="10925" w:h="7046" w:hRule="exact" w:wrap="none" w:vAnchor="page" w:hAnchor="page" w:x="414" w:y="6235"/>
        <w:shd w:val="clear" w:color="auto" w:fill="auto"/>
        <w:spacing w:before="0"/>
      </w:pPr>
      <w:r>
        <w:rPr>
          <w:rStyle w:val="Bodytext2Bold"/>
        </w:rPr>
        <w:t xml:space="preserve">Ukončení dodávky: </w:t>
      </w:r>
      <w:r>
        <w:t>Dodavatel ukončí dodávku elektřiny jen v případech, kdy dojde k vypovězení Smlouvy o dodávce elektřiny neboje od ní odstoupeno a neboje Smlouva ukončena dohodou účastníků.</w:t>
      </w:r>
    </w:p>
    <w:p w:rsidR="007808D0" w:rsidRDefault="007808D0">
      <w:pPr>
        <w:pStyle w:val="Bodytext20"/>
        <w:framePr w:w="10925" w:h="7046" w:hRule="exact" w:wrap="none" w:vAnchor="page" w:hAnchor="page" w:x="414" w:y="6235"/>
        <w:shd w:val="clear" w:color="auto" w:fill="auto"/>
        <w:spacing w:before="0"/>
      </w:pPr>
      <w:r>
        <w:t>Dodavatel má podle ust. § 30 odst. 1 písm. d) Energetického zákona právo ukončit dodávku elektřiny při neoprávněném odběru podle ust. § 51 Energetického zákona. Ukončení dodávky elektřiny Dodavatel provede odstoupením od Smlouvy.</w:t>
      </w:r>
    </w:p>
    <w:p w:rsidR="007808D0" w:rsidRDefault="007808D0">
      <w:pPr>
        <w:pStyle w:val="Bodytext20"/>
        <w:framePr w:w="10925" w:h="7046" w:hRule="exact" w:wrap="none" w:vAnchor="page" w:hAnchor="page" w:x="414" w:y="6235"/>
        <w:shd w:val="clear" w:color="auto" w:fill="auto"/>
        <w:spacing w:before="0" w:after="240"/>
      </w:pPr>
      <w:r>
        <w:t>Dodávka elektřiny je vždy ukončena provedením odečtu, který zajišťuje Provozovatel DS podle zvláštního právního předpisu, v požadovaném termínu, není-li dohodnuto jinak. Odběratel je povinen zaplatit cenu dodané elektřiny do ukončení dodávky.</w:t>
      </w:r>
    </w:p>
    <w:p w:rsidR="007808D0" w:rsidRDefault="007808D0">
      <w:pPr>
        <w:pStyle w:val="Heading40"/>
        <w:framePr w:w="10925" w:h="7046" w:hRule="exact" w:wrap="none" w:vAnchor="page" w:hAnchor="page" w:x="414" w:y="6235"/>
        <w:numPr>
          <w:ilvl w:val="0"/>
          <w:numId w:val="1"/>
        </w:numPr>
        <w:shd w:val="clear" w:color="auto" w:fill="auto"/>
        <w:tabs>
          <w:tab w:val="left" w:pos="4982"/>
        </w:tabs>
        <w:ind w:left="4640"/>
      </w:pPr>
      <w:bookmarkStart w:id="4" w:name="bookmark4"/>
      <w:r>
        <w:t>Měření dodávek elektřiny</w:t>
      </w:r>
      <w:bookmarkEnd w:id="4"/>
    </w:p>
    <w:p w:rsidR="007808D0" w:rsidRDefault="007808D0">
      <w:pPr>
        <w:pStyle w:val="Bodytext20"/>
        <w:framePr w:w="10925" w:h="7046" w:hRule="exact" w:wrap="none" w:vAnchor="page" w:hAnchor="page" w:x="414" w:y="6235"/>
        <w:shd w:val="clear" w:color="auto" w:fill="auto"/>
        <w:spacing w:before="0"/>
      </w:pPr>
      <w:r>
        <w:t>Způsob měření, typ a umístění, jakož i další podmínky měření jsou předmětem smlouvy o připojení mezi odběratelem a příslušným Provozovatelem DS.</w:t>
      </w:r>
    </w:p>
    <w:p w:rsidR="007808D0" w:rsidRDefault="007808D0">
      <w:pPr>
        <w:pStyle w:val="Bodytext20"/>
        <w:framePr w:w="10925" w:h="7046" w:hRule="exact" w:wrap="none" w:vAnchor="page" w:hAnchor="page" w:x="414" w:y="6235"/>
        <w:shd w:val="clear" w:color="auto" w:fill="auto"/>
        <w:spacing w:before="0"/>
      </w:pPr>
      <w:r>
        <w:t>Měření jakož i předávání výsledků měření je Provozovatel DS povinen provádět v souladu s ustanoveními obecně závazných právních předpisů, zejména § 49 Energetického zákona.</w:t>
      </w:r>
    </w:p>
    <w:p w:rsidR="007808D0" w:rsidRDefault="007808D0">
      <w:pPr>
        <w:pStyle w:val="Bodytext20"/>
        <w:framePr w:w="10925" w:h="7046" w:hRule="exact" w:wrap="none" w:vAnchor="page" w:hAnchor="page" w:x="414" w:y="6235"/>
        <w:shd w:val="clear" w:color="auto" w:fill="auto"/>
        <w:spacing w:before="0"/>
      </w:pPr>
      <w:r>
        <w:t xml:space="preserve">Odběrné místo je osazeno měřením typu C nebo B a skutečný odběr naměřené činné elektrické energie je vykazován v </w:t>
      </w:r>
      <w:r>
        <w:rPr>
          <w:lang w:val="en-US" w:eastAsia="en-US"/>
        </w:rPr>
        <w:t xml:space="preserve">kWh. </w:t>
      </w:r>
      <w:r>
        <w:t>Měření a odečty měřícího zařízení a předávání naměřených hodnot účastníkům trhu s elektřinou zajišťuje v souladu s Energetickým zákonem a zvláštními právními předpisy Provozovatel DS.</w:t>
      </w:r>
    </w:p>
    <w:p w:rsidR="007808D0" w:rsidRDefault="007808D0">
      <w:pPr>
        <w:pStyle w:val="Bodytext20"/>
        <w:framePr w:w="10925" w:h="7046" w:hRule="exact" w:wrap="none" w:vAnchor="page" w:hAnchor="page" w:x="414" w:y="6235"/>
        <w:shd w:val="clear" w:color="auto" w:fill="auto"/>
        <w:spacing w:before="0"/>
      </w:pPr>
      <w:r>
        <w:t>Odečet (pravidelný odečet), je prováděn:</w:t>
      </w:r>
    </w:p>
    <w:p w:rsidR="007808D0" w:rsidRDefault="007808D0">
      <w:pPr>
        <w:pStyle w:val="Bodytext20"/>
        <w:framePr w:w="10925" w:h="7046" w:hRule="exact" w:wrap="none" w:vAnchor="page" w:hAnchor="page" w:x="414" w:y="6235"/>
        <w:shd w:val="clear" w:color="auto" w:fill="auto"/>
        <w:spacing w:before="0"/>
      </w:pPr>
      <w:r>
        <w:t>u měření typu B: jednou měsíčně nejpozději 5. pracovní den do 18.00 hod následujícího kalendářního měsíce</w:t>
      </w:r>
    </w:p>
    <w:p w:rsidR="007808D0" w:rsidRDefault="007808D0">
      <w:pPr>
        <w:pStyle w:val="Bodytext20"/>
        <w:framePr w:w="10925" w:h="7046" w:hRule="exact" w:wrap="none" w:vAnchor="page" w:hAnchor="page" w:x="414" w:y="6235"/>
        <w:shd w:val="clear" w:color="auto" w:fill="auto"/>
        <w:spacing w:before="0"/>
      </w:pPr>
      <w:r>
        <w:t>u měření typu C. minimálně jednou ročně</w:t>
      </w:r>
    </w:p>
    <w:p w:rsidR="007808D0" w:rsidRDefault="007808D0">
      <w:pPr>
        <w:pStyle w:val="Bodytext20"/>
        <w:framePr w:w="10925" w:h="7046" w:hRule="exact" w:wrap="none" w:vAnchor="page" w:hAnchor="page" w:x="414" w:y="6235"/>
        <w:shd w:val="clear" w:color="auto" w:fill="auto"/>
        <w:spacing w:before="0"/>
      </w:pPr>
      <w:r>
        <w:t>V případě změny cen nemusí být prováděn zvláštní odečet. Výpočet rozdělení spotřeby je uveden v Cenovém rozhodnutí ERÚ.</w:t>
      </w:r>
    </w:p>
    <w:p w:rsidR="007808D0" w:rsidRDefault="007808D0">
      <w:pPr>
        <w:pStyle w:val="Bodytext20"/>
        <w:framePr w:w="10925" w:h="7046" w:hRule="exact" w:wrap="none" w:vAnchor="page" w:hAnchor="page" w:x="414" w:y="6235"/>
        <w:shd w:val="clear" w:color="auto" w:fill="auto"/>
        <w:spacing w:before="0"/>
      </w:pPr>
      <w:r>
        <w:t>Má-li odběratel pochybnosti o správnosti hodnot získávaných z měřícího zařízení pro účely vyhodnocení plnění Smlouvy o dodávce elektřiny (dále jen naměřené hodnoty), nebo zjistí-li na měřícím zařízení závadu, je povinen toto neprodleně oznámit Provozovateli DS a Dodavateli nebojím pověřené osobě Postup pro přezkoušeni měření, náhradu nákladů s ním spojených je upraven Energetickým zákonem.</w:t>
      </w:r>
    </w:p>
    <w:p w:rsidR="007808D0" w:rsidRDefault="007808D0">
      <w:pPr>
        <w:pStyle w:val="Heading40"/>
        <w:framePr w:w="10925" w:h="1127" w:hRule="exact" w:wrap="none" w:vAnchor="page" w:hAnchor="page" w:x="414" w:y="13469"/>
        <w:numPr>
          <w:ilvl w:val="0"/>
          <w:numId w:val="1"/>
        </w:numPr>
        <w:shd w:val="clear" w:color="auto" w:fill="auto"/>
        <w:tabs>
          <w:tab w:val="left" w:pos="4707"/>
        </w:tabs>
        <w:ind w:left="4380"/>
      </w:pPr>
      <w:bookmarkStart w:id="5" w:name="bookmark5"/>
      <w:r>
        <w:t>Cena elektřiny, účtování a úhrada</w:t>
      </w:r>
      <w:bookmarkEnd w:id="5"/>
    </w:p>
    <w:p w:rsidR="007808D0" w:rsidRDefault="007808D0">
      <w:pPr>
        <w:pStyle w:val="Bodytext20"/>
        <w:framePr w:w="10925" w:h="1127" w:hRule="exact" w:wrap="none" w:vAnchor="page" w:hAnchor="page" w:x="414" w:y="13469"/>
        <w:shd w:val="clear" w:color="auto" w:fill="auto"/>
        <w:spacing w:before="0"/>
      </w:pPr>
      <w:r>
        <w:t>Cena za dodávku elektřiny je určena sazbou sjednanou ve Smlouvě o dodávce elektřiny, odběratel si může prostřednictvím písemného oznámení zvolit jinou sazbu, pokud splní podmínky pro její přiznání uvedené v ceníku Dodavatele i Cenovém rozhodnutí Energetického regulačního úřadu (ERÚ). Změnu sazby může provádět nejdříve po uplynutí dvanácti (12) měsíců od poslední změny pokud se s Dodavatelem nedohodne jinak. Dodavatel má právo odběrateli změnit sazbu v případě zjištění, že zvolená sazba odběratelem není v souladu s přiřazením dle Cenového rozhodnutí ERÚ.</w:t>
      </w:r>
    </w:p>
    <w:p w:rsidR="007808D0" w:rsidRDefault="007808D0">
      <w:pPr>
        <w:pStyle w:val="Bodytext20"/>
        <w:framePr w:w="10925" w:h="1127" w:hRule="exact" w:wrap="none" w:vAnchor="page" w:hAnchor="page" w:x="414" w:y="13469"/>
        <w:shd w:val="clear" w:color="auto" w:fill="auto"/>
        <w:spacing w:before="0"/>
      </w:pPr>
      <w:r>
        <w:t>Cena za dodanou a odebranou elektřinu je tvořena dvěma částmi a to cenou za distribuci (a související služby) a cenou za silovou elektřinu.</w:t>
      </w:r>
    </w:p>
    <w:p w:rsidR="007808D0" w:rsidRDefault="007808D0">
      <w:pPr>
        <w:pStyle w:val="Heading30"/>
        <w:framePr w:wrap="none" w:vAnchor="page" w:hAnchor="page" w:x="414" w:y="14871"/>
        <w:shd w:val="clear" w:color="auto" w:fill="auto"/>
        <w:spacing w:before="0"/>
        <w:ind w:left="4980"/>
      </w:pPr>
      <w:bookmarkStart w:id="6" w:name="bookmark6"/>
      <w:r>
        <w:t>Stránka 5</w:t>
      </w:r>
      <w:bookmarkEnd w:id="6"/>
    </w:p>
    <w:p w:rsidR="007808D0" w:rsidRDefault="007808D0">
      <w:pPr>
        <w:rPr>
          <w:sz w:val="2"/>
          <w:szCs w:val="2"/>
        </w:rPr>
      </w:pPr>
    </w:p>
    <w:sectPr w:rsidR="007808D0" w:rsidSect="009C4F38">
      <w:pgSz w:w="11900" w:h="16840"/>
      <w:pgMar w:top="360" w:right="360" w:bottom="360" w:left="360" w:header="0" w:footer="3" w:gutter="0"/>
      <w:cols w:space="708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08D0" w:rsidRDefault="007808D0" w:rsidP="009C4F38">
      <w:r>
        <w:separator/>
      </w:r>
    </w:p>
  </w:endnote>
  <w:endnote w:type="continuationSeparator" w:id="0">
    <w:p w:rsidR="007808D0" w:rsidRDefault="007808D0" w:rsidP="009C4F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08D0" w:rsidRDefault="007808D0"/>
  </w:footnote>
  <w:footnote w:type="continuationSeparator" w:id="0">
    <w:p w:rsidR="007808D0" w:rsidRDefault="007808D0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194C87"/>
    <w:multiLevelType w:val="multilevel"/>
    <w:tmpl w:val="FFFFFFFF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4F38"/>
    <w:rsid w:val="00172289"/>
    <w:rsid w:val="007808D0"/>
    <w:rsid w:val="009C4F38"/>
    <w:rsid w:val="00E21BDC"/>
    <w:rsid w:val="00F85F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F38"/>
    <w:pPr>
      <w:widowControl w:val="0"/>
    </w:pPr>
    <w:rPr>
      <w:color w:val="000000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">
    <w:name w:val="Heading #1_"/>
    <w:basedOn w:val="DefaultParagraphFont"/>
    <w:link w:val="Heading10"/>
    <w:uiPriority w:val="99"/>
    <w:locked/>
    <w:rsid w:val="009C4F38"/>
    <w:rPr>
      <w:rFonts w:cs="Times New Roman"/>
      <w:b/>
      <w:bCs/>
      <w:sz w:val="30"/>
      <w:szCs w:val="30"/>
      <w:u w:val="none"/>
    </w:rPr>
  </w:style>
  <w:style w:type="character" w:customStyle="1" w:styleId="Heading113pt">
    <w:name w:val="Heading #1 + 13 pt"/>
    <w:basedOn w:val="Heading1"/>
    <w:uiPriority w:val="99"/>
    <w:rsid w:val="009C4F38"/>
    <w:rPr>
      <w:rFonts w:ascii="Times New Roman" w:hAnsi="Times New Roman"/>
      <w:color w:val="000000"/>
      <w:spacing w:val="0"/>
      <w:w w:val="100"/>
      <w:position w:val="0"/>
      <w:sz w:val="26"/>
      <w:szCs w:val="26"/>
      <w:lang w:val="cs-CZ" w:eastAsia="cs-CZ"/>
    </w:rPr>
  </w:style>
  <w:style w:type="character" w:customStyle="1" w:styleId="Heading2">
    <w:name w:val="Heading #2_"/>
    <w:basedOn w:val="DefaultParagraphFont"/>
    <w:link w:val="Heading20"/>
    <w:uiPriority w:val="99"/>
    <w:locked/>
    <w:rsid w:val="009C4F38"/>
    <w:rPr>
      <w:rFonts w:cs="Times New Roman"/>
      <w:b/>
      <w:bCs/>
      <w:sz w:val="26"/>
      <w:szCs w:val="26"/>
      <w:u w:val="none"/>
    </w:rPr>
  </w:style>
  <w:style w:type="character" w:customStyle="1" w:styleId="Bodytext2">
    <w:name w:val="Body text (2)_"/>
    <w:basedOn w:val="DefaultParagraphFont"/>
    <w:link w:val="Bodytext20"/>
    <w:uiPriority w:val="99"/>
    <w:locked/>
    <w:rsid w:val="009C4F38"/>
    <w:rPr>
      <w:rFonts w:cs="Times New Roman"/>
      <w:sz w:val="15"/>
      <w:szCs w:val="15"/>
      <w:u w:val="none"/>
    </w:rPr>
  </w:style>
  <w:style w:type="character" w:customStyle="1" w:styleId="Heading4">
    <w:name w:val="Heading #4_"/>
    <w:basedOn w:val="DefaultParagraphFont"/>
    <w:link w:val="Heading40"/>
    <w:uiPriority w:val="99"/>
    <w:locked/>
    <w:rsid w:val="009C4F38"/>
    <w:rPr>
      <w:rFonts w:cs="Times New Roman"/>
      <w:b/>
      <w:bCs/>
      <w:sz w:val="15"/>
      <w:szCs w:val="15"/>
      <w:u w:val="none"/>
    </w:rPr>
  </w:style>
  <w:style w:type="character" w:customStyle="1" w:styleId="Bodytext2Bold">
    <w:name w:val="Body text (2) + Bold"/>
    <w:basedOn w:val="Bodytext2"/>
    <w:uiPriority w:val="99"/>
    <w:rsid w:val="009C4F38"/>
    <w:rPr>
      <w:rFonts w:ascii="Times New Roman" w:hAnsi="Times New Roman"/>
      <w:b/>
      <w:bCs/>
      <w:color w:val="000000"/>
      <w:spacing w:val="0"/>
      <w:w w:val="100"/>
      <w:position w:val="0"/>
      <w:lang w:val="cs-CZ" w:eastAsia="cs-CZ"/>
    </w:rPr>
  </w:style>
  <w:style w:type="character" w:customStyle="1" w:styleId="Heading3">
    <w:name w:val="Heading #3_"/>
    <w:basedOn w:val="DefaultParagraphFont"/>
    <w:link w:val="Heading30"/>
    <w:uiPriority w:val="99"/>
    <w:locked/>
    <w:rsid w:val="009C4F38"/>
    <w:rPr>
      <w:rFonts w:cs="Times New Roman"/>
      <w:sz w:val="22"/>
      <w:szCs w:val="22"/>
      <w:u w:val="none"/>
    </w:rPr>
  </w:style>
  <w:style w:type="paragraph" w:customStyle="1" w:styleId="Heading10">
    <w:name w:val="Heading #1"/>
    <w:basedOn w:val="Normal"/>
    <w:link w:val="Heading1"/>
    <w:uiPriority w:val="99"/>
    <w:rsid w:val="009C4F38"/>
    <w:pPr>
      <w:shd w:val="clear" w:color="auto" w:fill="FFFFFF"/>
      <w:spacing w:line="317" w:lineRule="exact"/>
      <w:jc w:val="center"/>
      <w:outlineLvl w:val="0"/>
    </w:pPr>
    <w:rPr>
      <w:b/>
      <w:bCs/>
      <w:sz w:val="30"/>
      <w:szCs w:val="30"/>
    </w:rPr>
  </w:style>
  <w:style w:type="paragraph" w:customStyle="1" w:styleId="Heading20">
    <w:name w:val="Heading #2"/>
    <w:basedOn w:val="Normal"/>
    <w:link w:val="Heading2"/>
    <w:uiPriority w:val="99"/>
    <w:rsid w:val="009C4F38"/>
    <w:pPr>
      <w:shd w:val="clear" w:color="auto" w:fill="FFFFFF"/>
      <w:spacing w:after="120" w:line="317" w:lineRule="exact"/>
      <w:jc w:val="center"/>
      <w:outlineLvl w:val="1"/>
    </w:pPr>
    <w:rPr>
      <w:b/>
      <w:bCs/>
      <w:sz w:val="26"/>
      <w:szCs w:val="26"/>
    </w:rPr>
  </w:style>
  <w:style w:type="paragraph" w:customStyle="1" w:styleId="Bodytext20">
    <w:name w:val="Body text (2)"/>
    <w:basedOn w:val="Normal"/>
    <w:link w:val="Bodytext2"/>
    <w:uiPriority w:val="99"/>
    <w:rsid w:val="009C4F38"/>
    <w:pPr>
      <w:shd w:val="clear" w:color="auto" w:fill="FFFFFF"/>
      <w:spacing w:before="120" w:line="178" w:lineRule="exact"/>
      <w:ind w:firstLine="360"/>
      <w:jc w:val="both"/>
    </w:pPr>
    <w:rPr>
      <w:sz w:val="15"/>
      <w:szCs w:val="15"/>
    </w:rPr>
  </w:style>
  <w:style w:type="paragraph" w:customStyle="1" w:styleId="Heading40">
    <w:name w:val="Heading #4"/>
    <w:basedOn w:val="Normal"/>
    <w:link w:val="Heading4"/>
    <w:uiPriority w:val="99"/>
    <w:rsid w:val="009C4F38"/>
    <w:pPr>
      <w:shd w:val="clear" w:color="auto" w:fill="FFFFFF"/>
      <w:spacing w:line="178" w:lineRule="exact"/>
      <w:outlineLvl w:val="3"/>
    </w:pPr>
    <w:rPr>
      <w:b/>
      <w:bCs/>
      <w:sz w:val="15"/>
      <w:szCs w:val="15"/>
    </w:rPr>
  </w:style>
  <w:style w:type="paragraph" w:customStyle="1" w:styleId="Heading30">
    <w:name w:val="Heading #3"/>
    <w:basedOn w:val="Normal"/>
    <w:link w:val="Heading3"/>
    <w:uiPriority w:val="99"/>
    <w:rsid w:val="009C4F38"/>
    <w:pPr>
      <w:shd w:val="clear" w:color="auto" w:fill="FFFFFF"/>
      <w:spacing w:before="380" w:line="244" w:lineRule="exact"/>
      <w:outlineLvl w:val="2"/>
    </w:pPr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990</Words>
  <Characters>5842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/>
  <cp:keywords/>
  <dc:description/>
  <cp:lastModifiedBy>Spisovna</cp:lastModifiedBy>
  <cp:revision>2</cp:revision>
  <dcterms:created xsi:type="dcterms:W3CDTF">2017-01-24T07:53:00Z</dcterms:created>
  <dcterms:modified xsi:type="dcterms:W3CDTF">2017-01-24T07:53:00Z</dcterms:modified>
</cp:coreProperties>
</file>