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0F" w:rsidRDefault="00796D0F">
      <w:pPr>
        <w:pStyle w:val="Bodytext21"/>
        <w:framePr w:w="10915" w:h="1781" w:hRule="exact" w:wrap="none" w:vAnchor="page" w:hAnchor="page" w:x="417" w:y="2083"/>
        <w:shd w:val="clear" w:color="auto" w:fill="auto"/>
        <w:ind w:left="380" w:firstLine="0"/>
      </w:pPr>
      <w:r>
        <w:t>platby na základě samoodečtu. Změny v tomto případě budou platné od prvního dne následujícího měsíce následující po doručení žádosti odběratele dodavateli.</w:t>
      </w:r>
    </w:p>
    <w:p w:rsidR="00796D0F" w:rsidRDefault="00796D0F">
      <w:pPr>
        <w:pStyle w:val="Bodytext21"/>
        <w:framePr w:w="10915" w:h="1781" w:hRule="exact" w:wrap="none" w:vAnchor="page" w:hAnchor="page" w:x="417" w:y="2083"/>
        <w:numPr>
          <w:ilvl w:val="0"/>
          <w:numId w:val="1"/>
        </w:numPr>
        <w:shd w:val="clear" w:color="auto" w:fill="auto"/>
        <w:tabs>
          <w:tab w:val="left" w:pos="346"/>
        </w:tabs>
        <w:ind w:left="380"/>
      </w:pPr>
      <w:r>
        <w:t>Odběratel si dále vyhrazuje právo, že může po dodavateli požadovat vč. souhrnné faktury také dílčí fakturu, a to vystavenou na každé jednotlivé odběrné místo odběratele. V případě tohoto požadavku odběratel odešle požadavek dodavateli poštou nebo emailem.</w:t>
      </w:r>
    </w:p>
    <w:p w:rsidR="00796D0F" w:rsidRDefault="00796D0F">
      <w:pPr>
        <w:pStyle w:val="Bodytext21"/>
        <w:framePr w:w="10915" w:h="1781" w:hRule="exact" w:wrap="none" w:vAnchor="page" w:hAnchor="page" w:x="417" w:y="2083"/>
        <w:numPr>
          <w:ilvl w:val="0"/>
          <w:numId w:val="2"/>
        </w:numPr>
        <w:shd w:val="clear" w:color="auto" w:fill="auto"/>
        <w:tabs>
          <w:tab w:val="left" w:pos="346"/>
        </w:tabs>
        <w:ind w:left="380"/>
      </w:pPr>
      <w:r>
        <w:t>Dodavatel si nebude nárokovat jakékoliv sankce, poplatky či plnění ze strany odběratele za překročení či neodebrání předpokládaného množství odběru silové elektřiny.</w:t>
      </w:r>
    </w:p>
    <w:p w:rsidR="00796D0F" w:rsidRDefault="00796D0F">
      <w:pPr>
        <w:pStyle w:val="Heading10"/>
        <w:framePr w:w="10915" w:h="9643" w:hRule="exact" w:wrap="none" w:vAnchor="page" w:hAnchor="page" w:x="417" w:y="4431"/>
        <w:shd w:val="clear" w:color="auto" w:fill="auto"/>
        <w:spacing w:before="0" w:after="250"/>
      </w:pPr>
      <w:bookmarkStart w:id="0" w:name="bookmark0"/>
      <w:r>
        <w:t>V. Platnost a účinnost smlouvy</w:t>
      </w:r>
      <w:bookmarkEnd w:id="0"/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3"/>
        </w:numPr>
        <w:shd w:val="clear" w:color="auto" w:fill="auto"/>
        <w:tabs>
          <w:tab w:val="left" w:pos="691"/>
        </w:tabs>
        <w:ind w:left="380"/>
      </w:pPr>
      <w:r>
        <w:t>Tato „Smlouva</w:t>
      </w:r>
      <w:r>
        <w:rPr>
          <w:vertAlign w:val="superscript"/>
        </w:rPr>
        <w:t>11</w:t>
      </w:r>
      <w:r>
        <w:t xml:space="preserve"> nabývá platnosti dnem podpisu oběma smluvními stranami.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3"/>
        </w:numPr>
        <w:shd w:val="clear" w:color="auto" w:fill="auto"/>
        <w:tabs>
          <w:tab w:val="left" w:pos="691"/>
        </w:tabs>
        <w:ind w:left="380"/>
      </w:pPr>
      <w:r>
        <w:t>Účinnost této „Smlouvy</w:t>
      </w:r>
      <w:r>
        <w:rPr>
          <w:vertAlign w:val="superscript"/>
        </w:rPr>
        <w:t>11</w:t>
      </w:r>
      <w:r>
        <w:t xml:space="preserve"> nastává od 1.1.2017 od 00:00 hod.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3"/>
        </w:numPr>
        <w:shd w:val="clear" w:color="auto" w:fill="auto"/>
        <w:tabs>
          <w:tab w:val="left" w:pos="346"/>
        </w:tabs>
        <w:ind w:left="380"/>
      </w:pPr>
      <w:r>
        <w:t>Tato smlouva se uzavírána dobu určitou od 1.1.2017 00:00 hod. do 31.12.2017 24:00 hod.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3"/>
        </w:numPr>
        <w:shd w:val="clear" w:color="auto" w:fill="auto"/>
        <w:tabs>
          <w:tab w:val="left" w:pos="346"/>
        </w:tabs>
        <w:spacing w:after="270"/>
        <w:ind w:left="380"/>
      </w:pPr>
      <w:r>
        <w:t>V případě, že dojde ke zrušení odběrného místa u „Odběratele</w:t>
      </w:r>
      <w:r>
        <w:rPr>
          <w:vertAlign w:val="superscript"/>
        </w:rPr>
        <w:t>11</w:t>
      </w:r>
      <w:r>
        <w:t>, zejména z důvodu převodu vlastnických práv k odběrnému místu, odstranění odběrného místa, demolice, zničení živelnou pohromou, je „Odběratel</w:t>
      </w:r>
      <w:r>
        <w:rPr>
          <w:vertAlign w:val="superscript"/>
        </w:rPr>
        <w:t>11</w:t>
      </w:r>
      <w:r>
        <w:t xml:space="preserve"> oprávněn ukončit smluvní vztah s „Dodavatelem</w:t>
      </w:r>
      <w:r>
        <w:rPr>
          <w:vertAlign w:val="superscript"/>
        </w:rPr>
        <w:t>11</w:t>
      </w:r>
      <w:r>
        <w:t xml:space="preserve"> k danému odběrnému místu nejpozději 30 dnů ode dne oznámení „Dodavateli</w:t>
      </w:r>
      <w:r>
        <w:rPr>
          <w:vertAlign w:val="superscript"/>
        </w:rPr>
        <w:t>11</w:t>
      </w:r>
      <w:r>
        <w:t xml:space="preserve"> o zrušení odběrného místa, a to bez nároku na finanční kompenzaci.</w:t>
      </w:r>
    </w:p>
    <w:p w:rsidR="00796D0F" w:rsidRDefault="00796D0F">
      <w:pPr>
        <w:pStyle w:val="Heading10"/>
        <w:framePr w:w="10915" w:h="9643" w:hRule="exact" w:wrap="none" w:vAnchor="page" w:hAnchor="page" w:x="417" w:y="4431"/>
        <w:shd w:val="clear" w:color="auto" w:fill="auto"/>
        <w:spacing w:before="0" w:after="250"/>
      </w:pPr>
      <w:bookmarkStart w:id="1" w:name="bookmark1"/>
      <w:r>
        <w:t>VI. Společná a závěrečná ustanovení</w:t>
      </w:r>
      <w:bookmarkEnd w:id="1"/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„Odběratel</w:t>
      </w:r>
      <w:r>
        <w:rPr>
          <w:vertAlign w:val="superscript"/>
        </w:rPr>
        <w:t>11</w:t>
      </w:r>
      <w:r>
        <w:t xml:space="preserve"> podpisem této „Smlouvy</w:t>
      </w:r>
      <w:r>
        <w:rPr>
          <w:vertAlign w:val="superscript"/>
        </w:rPr>
        <w:t>11</w:t>
      </w:r>
      <w:r>
        <w:t xml:space="preserve"> potvrzuje, že převzal „Obchodní podmínky dodávek elektřiny oprávněnému odběrateli</w:t>
      </w:r>
      <w:r>
        <w:rPr>
          <w:vertAlign w:val="superscript"/>
        </w:rPr>
        <w:t>11</w:t>
      </w:r>
      <w:r>
        <w:t>, které tvoří Přílohu č. 1 této „Smlouvy</w:t>
      </w:r>
      <w:r>
        <w:rPr>
          <w:vertAlign w:val="superscript"/>
        </w:rPr>
        <w:t>11</w:t>
      </w:r>
      <w:r>
        <w:t>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„Odběratel</w:t>
      </w:r>
      <w:r>
        <w:rPr>
          <w:vertAlign w:val="superscript"/>
        </w:rPr>
        <w:t>11</w:t>
      </w:r>
      <w:r>
        <w:t xml:space="preserve"> prohlašuje, že mu jsou známa Pravidla provozování distribuční soustavy ČEZ Distribuce, a.s. platná ke dni podpisu této „Smlouvy</w:t>
      </w:r>
      <w:r>
        <w:rPr>
          <w:vertAlign w:val="superscript"/>
        </w:rPr>
        <w:t>11</w:t>
      </w:r>
      <w:r>
        <w:t xml:space="preserve">, které jsou zveřejněna na internetových stránkách </w:t>
      </w:r>
      <w:hyperlink r:id="rId7" w:history="1">
        <w:r>
          <w:rPr>
            <w:rStyle w:val="Bodytext20"/>
          </w:rPr>
          <w:t>http://www.cezdistribuce.cz</w:t>
        </w:r>
      </w:hyperlink>
      <w:r>
        <w:rPr>
          <w:rStyle w:val="Bodytext22"/>
        </w:rPr>
        <w:t>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Z důvodu provozních potřeb se může v průběhu smluvního období počet měřících nebo odběrných míst odběratele 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Dodavatel poskytne po skončení této smlouvy odběrateli na základě jeho požadavku soubor dat v elektronické podobě, obsahující kompletní údaje o realizované dodávce elektřiny v rozsahu fakturačních dokladů za celé období dodávky.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Změny této „Smlouvy</w:t>
      </w:r>
      <w:r>
        <w:rPr>
          <w:vertAlign w:val="superscript"/>
        </w:rPr>
        <w:t>11</w:t>
      </w:r>
      <w:r>
        <w:t xml:space="preserve"> a její případné „Dodatky</w:t>
      </w:r>
      <w:r>
        <w:rPr>
          <w:vertAlign w:val="superscript"/>
        </w:rPr>
        <w:t>11</w:t>
      </w:r>
      <w:r>
        <w:t>, lze přijmout výhradně jen písemnou formou a musí být podepsány oprávněnými zástupci smluvních stran.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„Smlouva</w:t>
      </w:r>
      <w:r>
        <w:rPr>
          <w:vertAlign w:val="superscript"/>
        </w:rPr>
        <w:t>11</w:t>
      </w:r>
      <w:r>
        <w:t xml:space="preserve"> je vyhotovena ve dvou (2x) stejnopisech s platností originálu, z nichž každá smluvní strana obdrží po jednom z nich.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Smluvní strany prohlašují, že k této „Smlouvě</w:t>
      </w:r>
      <w:r>
        <w:rPr>
          <w:vertAlign w:val="superscript"/>
        </w:rPr>
        <w:t>11</w:t>
      </w:r>
      <w:r>
        <w:t xml:space="preserve"> přistoupily po vzájemném vážném, srozumitelném a určitém jednání, a že její obsah odpovídá skutečnému stavu věci a je výrazem jejich pravé a svobodné vůle, což potvrzují podpisy svých oprávněných zástupců.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 xml:space="preserve">Doložka schválení právního úkonu dle § 41 Zákona č. 128/2000 Sb., o obcích/obecní zřijzení), ve znění pozdějších předpisů: O uzavření této smlouvy rozhodla rada^Á*/?. </w:t>
      </w:r>
      <w:r>
        <w:rPr>
          <w:rStyle w:val="Bodytext2Gabriola"/>
        </w:rPr>
        <w:t>P.i</w:t>
      </w:r>
      <w:r>
        <w:rPr>
          <w:rStyle w:val="Bodytext217pt"/>
        </w:rPr>
        <w:t xml:space="preserve"> </w:t>
      </w:r>
      <w:r>
        <w:t xml:space="preserve">{fť^vým usnesením č.^V.^T/.íiff že Sne </w:t>
      </w:r>
      <w:r>
        <w:rPr>
          <w:rStyle w:val="Bodytext2MalgunGothicSemilight"/>
        </w:rPr>
        <w:t>[...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46"/>
        </w:tabs>
        <w:ind w:left="380"/>
      </w:pPr>
      <w:r>
        <w:t>Dodavatel se zavazuje jménem a na účet odběratele učinit veškeré potřebné právní kroky vedoucí k ukončení všech stávajících smluvních vztahů týkajících se sdružených služeb dodávek elektrické energie do odběrných míst, a to tak, aby odběr elektrické energie od stávajícího dodavatele skončil dne 1.1.2017 do 00:00 hod. Podmínkou splnění povinnosti uvedené v tomto ustanovení bude vystavení písemného zplnomocnění ze strany odběratele, a to neprodleně po podpisu této dodavatelské smlouvy.</w:t>
      </w:r>
    </w:p>
    <w:p w:rsidR="00796D0F" w:rsidRDefault="00796D0F">
      <w:pPr>
        <w:pStyle w:val="Bodytext21"/>
        <w:framePr w:w="10915" w:h="9643" w:hRule="exact" w:wrap="none" w:vAnchor="page" w:hAnchor="page" w:x="417" w:y="4431"/>
        <w:numPr>
          <w:ilvl w:val="0"/>
          <w:numId w:val="4"/>
        </w:numPr>
        <w:shd w:val="clear" w:color="auto" w:fill="auto"/>
        <w:tabs>
          <w:tab w:val="left" w:pos="372"/>
        </w:tabs>
        <w:ind w:left="380"/>
      </w:pPr>
      <w:r>
        <w:t>Dodavatel souhlasí, že odběratel podléhá režimu zákona č. 106/1999 Sb.,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 w:rsidR="00796D0F" w:rsidRDefault="00796D0F">
      <w:pPr>
        <w:pStyle w:val="Bodytext30"/>
        <w:framePr w:w="10915" w:h="302" w:hRule="exact" w:wrap="none" w:vAnchor="page" w:hAnchor="page" w:x="417" w:y="14886"/>
        <w:shd w:val="clear" w:color="auto" w:fill="auto"/>
        <w:spacing w:before="0"/>
      </w:pPr>
      <w:r>
        <w:t>Stránka 3</w:t>
      </w:r>
    </w:p>
    <w:p w:rsidR="00796D0F" w:rsidRDefault="00796D0F">
      <w:pPr>
        <w:rPr>
          <w:sz w:val="2"/>
          <w:szCs w:val="2"/>
        </w:rPr>
      </w:pPr>
    </w:p>
    <w:sectPr w:rsidR="00796D0F" w:rsidSect="005A506A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0F" w:rsidRDefault="00796D0F" w:rsidP="005A506A">
      <w:r>
        <w:separator/>
      </w:r>
    </w:p>
  </w:endnote>
  <w:endnote w:type="continuationSeparator" w:id="0">
    <w:p w:rsidR="00796D0F" w:rsidRDefault="00796D0F" w:rsidP="005A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0F" w:rsidRDefault="00796D0F"/>
  </w:footnote>
  <w:footnote w:type="continuationSeparator" w:id="0">
    <w:p w:rsidR="00796D0F" w:rsidRDefault="00796D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A3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140C75"/>
    <w:multiLevelType w:val="multilevel"/>
    <w:tmpl w:val="FFFFFFFF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CE207F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CF54E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06A"/>
    <w:rsid w:val="003562D7"/>
    <w:rsid w:val="005A506A"/>
    <w:rsid w:val="00796D0F"/>
    <w:rsid w:val="00984DBF"/>
    <w:rsid w:val="00EB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6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5A506A"/>
    <w:rPr>
      <w:rFonts w:cs="Times New Roman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A506A"/>
    <w:rPr>
      <w:rFonts w:cs="Times New Roman"/>
      <w:b/>
      <w:bCs/>
      <w:sz w:val="21"/>
      <w:szCs w:val="21"/>
      <w:u w:val="none"/>
    </w:rPr>
  </w:style>
  <w:style w:type="character" w:customStyle="1" w:styleId="Bodytext20">
    <w:name w:val="Body text (2)"/>
    <w:basedOn w:val="Bodytext2"/>
    <w:uiPriority w:val="99"/>
    <w:rsid w:val="005A506A"/>
    <w:rPr>
      <w:rFonts w:ascii="Times New Roman" w:hAnsi="Times New Roman"/>
      <w:color w:val="0F57AE"/>
      <w:spacing w:val="0"/>
      <w:w w:val="100"/>
      <w:position w:val="0"/>
      <w:u w:val="single"/>
      <w:lang w:val="en-US" w:eastAsia="en-US"/>
    </w:rPr>
  </w:style>
  <w:style w:type="character" w:customStyle="1" w:styleId="Bodytext22">
    <w:name w:val="Body text (2)2"/>
    <w:basedOn w:val="Bodytext2"/>
    <w:uiPriority w:val="99"/>
    <w:rsid w:val="005A506A"/>
    <w:rPr>
      <w:rFonts w:ascii="Times New Roman" w:hAnsi="Times New Roman"/>
      <w:color w:val="0F57AE"/>
      <w:spacing w:val="0"/>
      <w:w w:val="100"/>
      <w:position w:val="0"/>
      <w:lang w:val="en-US" w:eastAsia="en-US"/>
    </w:rPr>
  </w:style>
  <w:style w:type="character" w:customStyle="1" w:styleId="Bodytext2Gabriola">
    <w:name w:val="Body text (2) + Gabriola"/>
    <w:aliases w:val="20 pt,Italic"/>
    <w:basedOn w:val="Bodytext2"/>
    <w:uiPriority w:val="99"/>
    <w:rsid w:val="005A506A"/>
    <w:rPr>
      <w:rFonts w:ascii="Gabriola" w:eastAsia="Times New Roman" w:hAnsi="Gabriola" w:cs="Gabriola"/>
      <w:i/>
      <w:iCs/>
      <w:color w:val="454574"/>
      <w:spacing w:val="0"/>
      <w:w w:val="100"/>
      <w:position w:val="0"/>
      <w:sz w:val="40"/>
      <w:szCs w:val="40"/>
      <w:lang w:val="cs-CZ" w:eastAsia="cs-CZ"/>
    </w:rPr>
  </w:style>
  <w:style w:type="character" w:customStyle="1" w:styleId="Bodytext217pt">
    <w:name w:val="Body text (2) + 17 pt"/>
    <w:basedOn w:val="Bodytext2"/>
    <w:uiPriority w:val="99"/>
    <w:rsid w:val="005A506A"/>
    <w:rPr>
      <w:rFonts w:ascii="Times New Roman" w:hAnsi="Times New Roman"/>
      <w:color w:val="454574"/>
      <w:spacing w:val="0"/>
      <w:w w:val="100"/>
      <w:position w:val="0"/>
      <w:sz w:val="34"/>
      <w:szCs w:val="34"/>
      <w:lang w:val="cs-CZ" w:eastAsia="cs-CZ"/>
    </w:rPr>
  </w:style>
  <w:style w:type="character" w:customStyle="1" w:styleId="Bodytext2MalgunGothicSemilight">
    <w:name w:val="Body text (2) + Malgun Gothic Semilight"/>
    <w:aliases w:val="9.5 pt,Italic1,Spacing 1 pt"/>
    <w:basedOn w:val="Bodytext2"/>
    <w:uiPriority w:val="99"/>
    <w:rsid w:val="005A506A"/>
    <w:rPr>
      <w:rFonts w:ascii="Malgun Gothic Semilight" w:eastAsia="Malgun Gothic Semilight" w:hAnsi="Malgun Gothic Semilight" w:cs="Malgun Gothic Semilight"/>
      <w:i/>
      <w:iCs/>
      <w:color w:val="000000"/>
      <w:spacing w:val="20"/>
      <w:w w:val="100"/>
      <w:position w:val="0"/>
      <w:sz w:val="19"/>
      <w:szCs w:val="19"/>
      <w:lang w:val="cs-CZ" w:eastAsia="cs-CZ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A506A"/>
    <w:rPr>
      <w:rFonts w:cs="Times New Roman"/>
      <w:sz w:val="22"/>
      <w:szCs w:val="22"/>
      <w:u w:val="none"/>
    </w:rPr>
  </w:style>
  <w:style w:type="paragraph" w:customStyle="1" w:styleId="Bodytext21">
    <w:name w:val="Body text (2)1"/>
    <w:basedOn w:val="Normal"/>
    <w:link w:val="Bodytext2"/>
    <w:uiPriority w:val="99"/>
    <w:rsid w:val="005A506A"/>
    <w:pPr>
      <w:shd w:val="clear" w:color="auto" w:fill="FFFFFF"/>
      <w:spacing w:line="245" w:lineRule="exact"/>
      <w:ind w:hanging="380"/>
      <w:jc w:val="both"/>
    </w:pPr>
    <w:rPr>
      <w:sz w:val="21"/>
      <w:szCs w:val="21"/>
    </w:rPr>
  </w:style>
  <w:style w:type="paragraph" w:customStyle="1" w:styleId="Heading10">
    <w:name w:val="Heading #1"/>
    <w:basedOn w:val="Normal"/>
    <w:link w:val="Heading1"/>
    <w:uiPriority w:val="99"/>
    <w:rsid w:val="005A506A"/>
    <w:pPr>
      <w:shd w:val="clear" w:color="auto" w:fill="FFFFFF"/>
      <w:spacing w:before="600" w:after="26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5A506A"/>
    <w:pPr>
      <w:shd w:val="clear" w:color="auto" w:fill="FFFFFF"/>
      <w:spacing w:before="860" w:line="244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zdistribu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558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platby na základě samoodečtu</dc:title>
  <dc:subject/>
  <dc:creator/>
  <cp:keywords/>
  <dc:description/>
  <cp:lastModifiedBy>Spisovna</cp:lastModifiedBy>
  <cp:revision>2</cp:revision>
  <dcterms:created xsi:type="dcterms:W3CDTF">2017-01-24T07:51:00Z</dcterms:created>
  <dcterms:modified xsi:type="dcterms:W3CDTF">2017-01-24T07:51:00Z</dcterms:modified>
</cp:coreProperties>
</file>