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A9" w:rsidRDefault="00525BA9">
      <w:pPr>
        <w:pStyle w:val="Heading10"/>
        <w:framePr w:wrap="none" w:vAnchor="page" w:hAnchor="page" w:x="383" w:y="2121"/>
        <w:numPr>
          <w:ilvl w:val="0"/>
          <w:numId w:val="1"/>
        </w:numPr>
        <w:shd w:val="clear" w:color="auto" w:fill="auto"/>
        <w:tabs>
          <w:tab w:val="left" w:pos="4843"/>
        </w:tabs>
        <w:spacing w:after="0"/>
        <w:ind w:left="4540"/>
      </w:pPr>
      <w:bookmarkStart w:id="0" w:name="bookmark0"/>
      <w:r>
        <w:t>Úvodní ustanovení</w:t>
      </w:r>
      <w:bookmarkEnd w:id="0"/>
    </w:p>
    <w:p w:rsidR="00525BA9" w:rsidRDefault="00525BA9">
      <w:pPr>
        <w:pStyle w:val="Bodytext21"/>
        <w:framePr w:w="10906" w:h="5953" w:hRule="exact" w:wrap="none" w:vAnchor="page" w:hAnchor="page" w:x="383" w:y="2611"/>
        <w:numPr>
          <w:ilvl w:val="0"/>
          <w:numId w:val="2"/>
        </w:numPr>
        <w:shd w:val="clear" w:color="auto" w:fill="auto"/>
        <w:tabs>
          <w:tab w:val="left" w:pos="356"/>
        </w:tabs>
        <w:spacing w:before="0"/>
        <w:ind w:left="400"/>
      </w:pPr>
      <w:r>
        <w:t>Nedílnou součástí této „Smlouvy</w:t>
      </w:r>
      <w:r>
        <w:rPr>
          <w:vertAlign w:val="superscript"/>
        </w:rPr>
        <w:t>11</w:t>
      </w:r>
      <w:r>
        <w:t xml:space="preserve"> jsou „Obchodní podmínky dodávky elektřiny pro napěťovou úroveň NN - odběratelé kategorie C“ (dále jen „Obchodní podmínky</w:t>
      </w:r>
      <w:r>
        <w:rPr>
          <w:vertAlign w:val="superscript"/>
        </w:rPr>
        <w:t>11</w:t>
      </w:r>
      <w:r>
        <w:t>), které tvoří Přílohu č.l této „Smlouvy</w:t>
      </w:r>
      <w:r>
        <w:rPr>
          <w:vertAlign w:val="superscript"/>
        </w:rPr>
        <w:t>11</w:t>
      </w:r>
      <w:r>
        <w:t>. V těchto „Obchodních podmínkách</w:t>
      </w:r>
      <w:r>
        <w:rPr>
          <w:vertAlign w:val="superscript"/>
        </w:rPr>
        <w:t xml:space="preserve">11 </w:t>
      </w:r>
      <w:r>
        <w:t>jsou stanoveny společné zásady vzájemného právního vztahu smluvních stran.</w:t>
      </w:r>
    </w:p>
    <w:p w:rsidR="00525BA9" w:rsidRDefault="00525BA9">
      <w:pPr>
        <w:pStyle w:val="Bodytext21"/>
        <w:framePr w:w="10906" w:h="5953" w:hRule="exact" w:wrap="none" w:vAnchor="page" w:hAnchor="page" w:x="383" w:y="2611"/>
        <w:numPr>
          <w:ilvl w:val="0"/>
          <w:numId w:val="2"/>
        </w:numPr>
        <w:shd w:val="clear" w:color="auto" w:fill="auto"/>
        <w:tabs>
          <w:tab w:val="left" w:pos="356"/>
        </w:tabs>
        <w:spacing w:before="0"/>
        <w:ind w:left="400"/>
      </w:pPr>
      <w:r>
        <w:t>Odběrné místo „Odběratele</w:t>
      </w:r>
      <w:r>
        <w:rPr>
          <w:vertAlign w:val="superscript"/>
        </w:rPr>
        <w:t>11</w:t>
      </w:r>
      <w:r>
        <w:t>, je připojeno k distribuční soustavě ČEZ Distribuce, a.s. IČ: 27232425 na základě „Smlouvy o připojení oprávněného odběratele</w:t>
      </w:r>
      <w:r>
        <w:rPr>
          <w:vertAlign w:val="superscript"/>
        </w:rPr>
        <w:t>11</w:t>
      </w:r>
      <w:r>
        <w:t xml:space="preserve"> (dále jen „Smlouva o připojení</w:t>
      </w:r>
      <w:r>
        <w:rPr>
          <w:vertAlign w:val="superscript"/>
        </w:rPr>
        <w:t>11</w:t>
      </w:r>
      <w:r>
        <w:t>), kterou uzavřel „Odběratel</w:t>
      </w:r>
      <w:r>
        <w:rPr>
          <w:vertAlign w:val="superscript"/>
        </w:rPr>
        <w:t>11</w:t>
      </w:r>
      <w:r>
        <w:t xml:space="preserve"> s provozovatelem distribuční soustavy ČEZ Distribuce, a.s.</w:t>
      </w:r>
    </w:p>
    <w:p w:rsidR="00525BA9" w:rsidRDefault="00525BA9">
      <w:pPr>
        <w:pStyle w:val="Bodytext21"/>
        <w:framePr w:w="10906" w:h="5953" w:hRule="exact" w:wrap="none" w:vAnchor="page" w:hAnchor="page" w:x="383" w:y="2611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250"/>
        <w:ind w:left="400"/>
      </w:pPr>
      <w:r>
        <w:t>„Odběratel</w:t>
      </w:r>
      <w:r>
        <w:rPr>
          <w:vertAlign w:val="superscript"/>
        </w:rPr>
        <w:t>11</w:t>
      </w:r>
      <w:r>
        <w:t xml:space="preserve"> prohlašuje, že má příslušná majetkoprávní oprávnění k odběrným místům uvedeným v této smlouvě.</w:t>
      </w:r>
    </w:p>
    <w:p w:rsidR="00525BA9" w:rsidRDefault="00525BA9">
      <w:pPr>
        <w:pStyle w:val="Heading10"/>
        <w:framePr w:w="10906" w:h="5953" w:hRule="exact" w:wrap="none" w:vAnchor="page" w:hAnchor="page" w:x="383" w:y="2611"/>
        <w:numPr>
          <w:ilvl w:val="0"/>
          <w:numId w:val="1"/>
        </w:numPr>
        <w:shd w:val="clear" w:color="auto" w:fill="auto"/>
        <w:tabs>
          <w:tab w:val="left" w:pos="4219"/>
        </w:tabs>
        <w:spacing w:after="230"/>
        <w:ind w:left="3840"/>
      </w:pPr>
      <w:bookmarkStart w:id="1" w:name="bookmark1"/>
      <w:r>
        <w:t>Předmět smlouvy a místo plnění</w:t>
      </w:r>
      <w:bookmarkEnd w:id="1"/>
    </w:p>
    <w:p w:rsidR="00525BA9" w:rsidRDefault="00525BA9">
      <w:pPr>
        <w:pStyle w:val="Bodytext21"/>
        <w:framePr w:w="10906" w:h="5953" w:hRule="exact" w:wrap="none" w:vAnchor="page" w:hAnchor="page" w:x="383" w:y="2611"/>
        <w:numPr>
          <w:ilvl w:val="0"/>
          <w:numId w:val="3"/>
        </w:numPr>
        <w:shd w:val="clear" w:color="auto" w:fill="auto"/>
        <w:tabs>
          <w:tab w:val="left" w:pos="356"/>
        </w:tabs>
        <w:spacing w:before="0"/>
        <w:ind w:left="400"/>
      </w:pPr>
      <w:r>
        <w:t>Předmětem této „Smlouvy</w:t>
      </w:r>
      <w:r>
        <w:rPr>
          <w:vertAlign w:val="superscript"/>
        </w:rPr>
        <w:t>11</w:t>
      </w:r>
      <w:r>
        <w:t xml:space="preserve"> je povinnost „Dodavatele</w:t>
      </w:r>
      <w:r>
        <w:rPr>
          <w:vertAlign w:val="superscript"/>
        </w:rPr>
        <w:t>11</w:t>
      </w:r>
      <w:r>
        <w:t xml:space="preserve"> zajistit pro „Odběratele</w:t>
      </w:r>
      <w:r>
        <w:rPr>
          <w:vertAlign w:val="superscript"/>
        </w:rPr>
        <w:t>11</w:t>
      </w:r>
      <w:r>
        <w:t>:</w:t>
      </w:r>
    </w:p>
    <w:p w:rsidR="00525BA9" w:rsidRDefault="00525BA9">
      <w:pPr>
        <w:pStyle w:val="Bodytext21"/>
        <w:framePr w:w="10906" w:h="5953" w:hRule="exact" w:wrap="none" w:vAnchor="page" w:hAnchor="page" w:x="383" w:y="2611"/>
        <w:numPr>
          <w:ilvl w:val="0"/>
          <w:numId w:val="4"/>
        </w:numPr>
        <w:shd w:val="clear" w:color="auto" w:fill="auto"/>
        <w:tabs>
          <w:tab w:val="left" w:pos="1109"/>
        </w:tabs>
        <w:spacing w:before="0"/>
        <w:ind w:left="1120" w:hanging="360"/>
        <w:jc w:val="left"/>
      </w:pPr>
      <w:r>
        <w:rPr>
          <w:rStyle w:val="Bodytext2Bold"/>
        </w:rPr>
        <w:t xml:space="preserve">dodávku plánovaného množství elektřiny, </w:t>
      </w:r>
      <w:r>
        <w:t xml:space="preserve">spolu s převzetím odpovědnosti za odchylku ve smyslu ust. § 8 odst. 1. vyhl. č. 541/2005 Sb, </w:t>
      </w:r>
      <w:r>
        <w:rPr>
          <w:rStyle w:val="Bodytext2Bold"/>
        </w:rPr>
        <w:t>a</w:t>
      </w:r>
    </w:p>
    <w:p w:rsidR="00525BA9" w:rsidRDefault="00525BA9">
      <w:pPr>
        <w:pStyle w:val="Bodytext30"/>
        <w:framePr w:w="10906" w:h="5953" w:hRule="exact" w:wrap="none" w:vAnchor="page" w:hAnchor="page" w:x="383" w:y="2611"/>
        <w:numPr>
          <w:ilvl w:val="0"/>
          <w:numId w:val="4"/>
        </w:numPr>
        <w:shd w:val="clear" w:color="auto" w:fill="auto"/>
        <w:tabs>
          <w:tab w:val="left" w:pos="1111"/>
        </w:tabs>
        <w:ind w:left="760"/>
      </w:pPr>
      <w:r>
        <w:t>distribuci elektřiny a systémové služby,</w:t>
      </w:r>
    </w:p>
    <w:p w:rsidR="00525BA9" w:rsidRDefault="00525BA9">
      <w:pPr>
        <w:pStyle w:val="Bodytext21"/>
        <w:framePr w:w="10906" w:h="5953" w:hRule="exact" w:wrap="none" w:vAnchor="page" w:hAnchor="page" w:x="383" w:y="2611"/>
        <w:shd w:val="clear" w:color="auto" w:fill="auto"/>
        <w:spacing w:before="0"/>
        <w:ind w:left="760" w:firstLine="0"/>
      </w:pPr>
      <w:r>
        <w:t>do odběrných míst dle této „Smlouvy</w:t>
      </w:r>
      <w:r>
        <w:rPr>
          <w:vertAlign w:val="superscript"/>
        </w:rPr>
        <w:t>11</w:t>
      </w:r>
      <w:r>
        <w:t xml:space="preserve"> a povinnost „Odběratele</w:t>
      </w:r>
      <w:r>
        <w:rPr>
          <w:vertAlign w:val="superscript"/>
        </w:rPr>
        <w:t>11</w:t>
      </w:r>
      <w:r>
        <w:t xml:space="preserve"> odebrat sjednané množství elektřiny v odběrném místě podle této „Smlouvy</w:t>
      </w:r>
      <w:r>
        <w:rPr>
          <w:vertAlign w:val="superscript"/>
        </w:rPr>
        <w:t>11</w:t>
      </w:r>
      <w:r>
        <w:t xml:space="preserve"> a včas uhradit „Dodavateli</w:t>
      </w:r>
      <w:r>
        <w:rPr>
          <w:vertAlign w:val="superscript"/>
        </w:rPr>
        <w:t>11</w:t>
      </w:r>
      <w:r>
        <w:t xml:space="preserve"> platby za poskytnutí plnění dle této „Smlouvy</w:t>
      </w:r>
      <w:r>
        <w:rPr>
          <w:vertAlign w:val="superscript"/>
        </w:rPr>
        <w:t>11</w:t>
      </w:r>
      <w:r>
        <w:t>.</w:t>
      </w:r>
    </w:p>
    <w:p w:rsidR="00525BA9" w:rsidRDefault="00525BA9">
      <w:pPr>
        <w:pStyle w:val="Bodytext21"/>
        <w:framePr w:w="10906" w:h="5953" w:hRule="exact" w:wrap="none" w:vAnchor="page" w:hAnchor="page" w:x="383" w:y="2611"/>
        <w:numPr>
          <w:ilvl w:val="0"/>
          <w:numId w:val="3"/>
        </w:numPr>
        <w:shd w:val="clear" w:color="auto" w:fill="auto"/>
        <w:tabs>
          <w:tab w:val="left" w:pos="356"/>
        </w:tabs>
        <w:spacing w:before="0"/>
        <w:ind w:left="400"/>
      </w:pPr>
      <w:r>
        <w:t>Místem plnění je odběrné místo „Odběratele</w:t>
      </w:r>
      <w:r>
        <w:rPr>
          <w:vertAlign w:val="superscript"/>
        </w:rPr>
        <w:t>11</w:t>
      </w:r>
      <w:r>
        <w:t>:</w:t>
      </w:r>
    </w:p>
    <w:p w:rsidR="00525BA9" w:rsidRDefault="00525BA9">
      <w:pPr>
        <w:pStyle w:val="Bodytext21"/>
        <w:framePr w:w="10906" w:h="5953" w:hRule="exact" w:wrap="none" w:vAnchor="page" w:hAnchor="page" w:x="383" w:y="2611"/>
        <w:shd w:val="clear" w:color="auto" w:fill="auto"/>
        <w:spacing w:before="0"/>
        <w:ind w:left="760" w:firstLine="0"/>
      </w:pPr>
      <w:r>
        <w:t>&gt; Seznam a specifikace odběrných míst je uveden v Příloze č. 2.</w:t>
      </w:r>
    </w:p>
    <w:p w:rsidR="00525BA9" w:rsidRDefault="00525BA9">
      <w:pPr>
        <w:pStyle w:val="Bodytext21"/>
        <w:framePr w:w="10906" w:h="5953" w:hRule="exact" w:wrap="none" w:vAnchor="page" w:hAnchor="page" w:x="383" w:y="2611"/>
        <w:shd w:val="clear" w:color="auto" w:fill="auto"/>
        <w:spacing w:before="0"/>
        <w:ind w:left="2140" w:firstLine="0"/>
        <w:jc w:val="left"/>
      </w:pPr>
      <w:r>
        <w:rPr>
          <w:rStyle w:val="Bodytext20"/>
        </w:rPr>
        <w:t>Pro každé odběrné místo je uvedeno:</w:t>
      </w:r>
    </w:p>
    <w:p w:rsidR="00525BA9" w:rsidRDefault="00525BA9">
      <w:pPr>
        <w:pStyle w:val="Bodytext21"/>
        <w:framePr w:w="10906" w:h="5953" w:hRule="exact" w:wrap="none" w:vAnchor="page" w:hAnchor="page" w:x="383" w:y="2611"/>
        <w:shd w:val="clear" w:color="auto" w:fill="auto"/>
        <w:spacing w:before="0"/>
        <w:ind w:left="2140" w:firstLine="0"/>
        <w:jc w:val="left"/>
      </w:pPr>
      <w:r>
        <w:t>- EAN OPM</w:t>
      </w:r>
    </w:p>
    <w:p w:rsidR="00525BA9" w:rsidRDefault="00525BA9">
      <w:pPr>
        <w:pStyle w:val="Bodytext21"/>
        <w:framePr w:w="10906" w:h="5953" w:hRule="exact" w:wrap="none" w:vAnchor="page" w:hAnchor="page" w:x="383" w:y="2611"/>
        <w:shd w:val="clear" w:color="auto" w:fill="auto"/>
        <w:spacing w:before="0"/>
        <w:ind w:left="2480" w:right="6260" w:firstLine="0"/>
        <w:jc w:val="left"/>
      </w:pPr>
      <w:r>
        <w:t>adresa odběrného místa Plánovaná roční spotřeba Produkt Sazba</w:t>
      </w:r>
    </w:p>
    <w:p w:rsidR="00525BA9" w:rsidRDefault="00525BA9">
      <w:pPr>
        <w:pStyle w:val="Heading10"/>
        <w:framePr w:w="10906" w:h="5951" w:hRule="exact" w:wrap="none" w:vAnchor="page" w:hAnchor="page" w:x="383" w:y="8770"/>
        <w:numPr>
          <w:ilvl w:val="0"/>
          <w:numId w:val="1"/>
        </w:numPr>
        <w:shd w:val="clear" w:color="auto" w:fill="auto"/>
        <w:tabs>
          <w:tab w:val="left" w:pos="3486"/>
        </w:tabs>
        <w:spacing w:after="230"/>
        <w:ind w:left="3020"/>
      </w:pPr>
      <w:bookmarkStart w:id="2" w:name="bookmark2"/>
      <w:r>
        <w:t>Technická a časová specifikace dodávky elektřiny</w:t>
      </w:r>
      <w:bookmarkEnd w:id="2"/>
    </w:p>
    <w:p w:rsidR="00525BA9" w:rsidRDefault="00525BA9">
      <w:pPr>
        <w:pStyle w:val="Bodytext21"/>
        <w:framePr w:w="10906" w:h="5951" w:hRule="exact" w:wrap="none" w:vAnchor="page" w:hAnchor="page" w:x="383" w:y="8770"/>
        <w:numPr>
          <w:ilvl w:val="0"/>
          <w:numId w:val="5"/>
        </w:numPr>
        <w:shd w:val="clear" w:color="auto" w:fill="auto"/>
        <w:tabs>
          <w:tab w:val="left" w:pos="356"/>
        </w:tabs>
        <w:spacing w:before="0"/>
        <w:ind w:left="400"/>
      </w:pPr>
      <w:r>
        <w:t>Odběr a dodávka elektrické energie pro odběrné místo je realizována v souladu s podmínkami stanovenými Energetickým zákonem, jeho prováděcími předpisy a podmínkami stanovenými provozovatelem distribuční soustavy ve „Smlouvě připojení</w:t>
      </w:r>
      <w:r>
        <w:rPr>
          <w:vertAlign w:val="superscript"/>
        </w:rPr>
        <w:t>11</w:t>
      </w:r>
      <w:r>
        <w:t>.</w:t>
      </w:r>
    </w:p>
    <w:p w:rsidR="00525BA9" w:rsidRDefault="00525BA9">
      <w:pPr>
        <w:pStyle w:val="Bodytext21"/>
        <w:framePr w:w="10906" w:h="5951" w:hRule="exact" w:wrap="none" w:vAnchor="page" w:hAnchor="page" w:x="383" w:y="8770"/>
        <w:numPr>
          <w:ilvl w:val="0"/>
          <w:numId w:val="5"/>
        </w:numPr>
        <w:shd w:val="clear" w:color="auto" w:fill="auto"/>
        <w:tabs>
          <w:tab w:val="left" w:pos="356"/>
        </w:tabs>
        <w:spacing w:before="0"/>
        <w:ind w:left="400"/>
      </w:pPr>
      <w:r>
        <w:t>Touto smlouvou se sjednává dodávka elektřiny, která začíná dnem 1.1.2017 v 0:00 hod.</w:t>
      </w:r>
    </w:p>
    <w:p w:rsidR="00525BA9" w:rsidRDefault="00525BA9">
      <w:pPr>
        <w:pStyle w:val="Bodytext21"/>
        <w:framePr w:w="10906" w:h="5951" w:hRule="exact" w:wrap="none" w:vAnchor="page" w:hAnchor="page" w:x="383" w:y="877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250"/>
        <w:ind w:left="400"/>
      </w:pPr>
      <w:r>
        <w:t>Přechod práv a povinností k dodané elektřině ze strany „Dodavatele</w:t>
      </w:r>
      <w:r>
        <w:rPr>
          <w:vertAlign w:val="superscript"/>
        </w:rPr>
        <w:t>11</w:t>
      </w:r>
      <w:r>
        <w:t xml:space="preserve"> a elektřině odebírané „Odběratelem</w:t>
      </w:r>
      <w:r>
        <w:rPr>
          <w:vertAlign w:val="superscript"/>
        </w:rPr>
        <w:t>11</w:t>
      </w:r>
      <w:r>
        <w:t>, prostý jakýchkoliv práv třetích osob, se uskuteční v odběrném místě, po přechodu přes měřící zařízení.</w:t>
      </w:r>
    </w:p>
    <w:p w:rsidR="00525BA9" w:rsidRDefault="00525BA9">
      <w:pPr>
        <w:pStyle w:val="Heading10"/>
        <w:framePr w:w="10906" w:h="5951" w:hRule="exact" w:wrap="none" w:vAnchor="page" w:hAnchor="page" w:x="383" w:y="8770"/>
        <w:numPr>
          <w:ilvl w:val="0"/>
          <w:numId w:val="1"/>
        </w:numPr>
        <w:shd w:val="clear" w:color="auto" w:fill="auto"/>
        <w:tabs>
          <w:tab w:val="left" w:pos="3971"/>
        </w:tabs>
        <w:spacing w:after="230"/>
        <w:ind w:left="3520"/>
      </w:pPr>
      <w:bookmarkStart w:id="3" w:name="bookmark3"/>
      <w:r>
        <w:t>Cena, vyúčtování a platební podmínky</w:t>
      </w:r>
      <w:bookmarkEnd w:id="3"/>
    </w:p>
    <w:p w:rsidR="00525BA9" w:rsidRDefault="00525BA9">
      <w:pPr>
        <w:pStyle w:val="Bodytext21"/>
        <w:framePr w:w="10906" w:h="5951" w:hRule="exact" w:wrap="none" w:vAnchor="page" w:hAnchor="page" w:x="383" w:y="8770"/>
        <w:numPr>
          <w:ilvl w:val="0"/>
          <w:numId w:val="6"/>
        </w:numPr>
        <w:shd w:val="clear" w:color="auto" w:fill="auto"/>
        <w:tabs>
          <w:tab w:val="left" w:pos="356"/>
        </w:tabs>
        <w:spacing w:before="0"/>
        <w:ind w:left="400"/>
      </w:pPr>
      <w:r>
        <w:t>Ceny za dodávky elektřiny pro jednotlivá odběrná místa, jsou uvedeny Příloze č. 2.</w:t>
      </w:r>
    </w:p>
    <w:p w:rsidR="00525BA9" w:rsidRDefault="00525BA9">
      <w:pPr>
        <w:pStyle w:val="Bodytext21"/>
        <w:framePr w:w="10906" w:h="5951" w:hRule="exact" w:wrap="none" w:vAnchor="page" w:hAnchor="page" w:x="383" w:y="8770"/>
        <w:numPr>
          <w:ilvl w:val="0"/>
          <w:numId w:val="6"/>
        </w:numPr>
        <w:shd w:val="clear" w:color="auto" w:fill="auto"/>
        <w:tabs>
          <w:tab w:val="left" w:pos="356"/>
        </w:tabs>
        <w:spacing w:before="0"/>
        <w:ind w:left="400"/>
      </w:pPr>
      <w:r>
        <w:t>Splatnost všech obchodně-závazkových vztahů podle této „Smlouvy</w:t>
      </w:r>
      <w:r>
        <w:rPr>
          <w:vertAlign w:val="superscript"/>
        </w:rPr>
        <w:t>11</w:t>
      </w:r>
      <w:r>
        <w:t xml:space="preserve"> je dohodnuta na 30 dnů od dne doručení faktury.</w:t>
      </w:r>
    </w:p>
    <w:p w:rsidR="00525BA9" w:rsidRDefault="00525BA9">
      <w:pPr>
        <w:pStyle w:val="Bodytext21"/>
        <w:framePr w:w="10906" w:h="5951" w:hRule="exact" w:wrap="none" w:vAnchor="page" w:hAnchor="page" w:x="383" w:y="8770"/>
        <w:numPr>
          <w:ilvl w:val="0"/>
          <w:numId w:val="6"/>
        </w:numPr>
        <w:shd w:val="clear" w:color="auto" w:fill="auto"/>
        <w:tabs>
          <w:tab w:val="left" w:pos="356"/>
        </w:tabs>
        <w:spacing w:before="0"/>
        <w:ind w:left="400"/>
      </w:pPr>
      <w:r>
        <w:t>Zálohy hradí „Odběratel</w:t>
      </w:r>
      <w:r>
        <w:rPr>
          <w:vertAlign w:val="superscript"/>
        </w:rPr>
        <w:t>11</w:t>
      </w:r>
      <w:r>
        <w:t xml:space="preserve"> měsíčně ve výši 1/12 předpokládaného ročního odběru. Výše záloh je uvedena - Příloha č.3. V případě vzniku přeplatku odběratele na konci kalendářního roku (v měsíci prosinci) bude dodavatel vždy tento přeplatek vracet na bankovní účet odběratele a dodavatel se zavazuje, že nebude tento přeplatek zúčtovávat jako zálohovou platbu odběratele.</w:t>
      </w:r>
    </w:p>
    <w:p w:rsidR="00525BA9" w:rsidRDefault="00525BA9">
      <w:pPr>
        <w:pStyle w:val="Bodytext21"/>
        <w:framePr w:w="10906" w:h="5951" w:hRule="exact" w:wrap="none" w:vAnchor="page" w:hAnchor="page" w:x="383" w:y="8770"/>
        <w:numPr>
          <w:ilvl w:val="0"/>
          <w:numId w:val="6"/>
        </w:numPr>
        <w:shd w:val="clear" w:color="auto" w:fill="auto"/>
        <w:tabs>
          <w:tab w:val="left" w:pos="356"/>
        </w:tabs>
        <w:spacing w:before="0"/>
        <w:ind w:left="400"/>
      </w:pPr>
      <w:r>
        <w:t>Vyúčtování záloh platebního kalendáře bude provedeno na základě skutečně naměřených dat.</w:t>
      </w:r>
    </w:p>
    <w:p w:rsidR="00525BA9" w:rsidRDefault="00525BA9">
      <w:pPr>
        <w:pStyle w:val="Bodytext21"/>
        <w:framePr w:w="10906" w:h="5951" w:hRule="exact" w:wrap="none" w:vAnchor="page" w:hAnchor="page" w:x="383" w:y="8770"/>
        <w:numPr>
          <w:ilvl w:val="0"/>
          <w:numId w:val="6"/>
        </w:numPr>
        <w:shd w:val="clear" w:color="auto" w:fill="auto"/>
        <w:tabs>
          <w:tab w:val="left" w:pos="356"/>
        </w:tabs>
        <w:spacing w:before="0"/>
        <w:ind w:left="400"/>
      </w:pPr>
      <w:r>
        <w:t>V případě prodlení dodavatele s vystavením zúčtovací faktury či s uhrazením přeplatku odběrateli ve lhůtě nejpozději do 30 kalendářních dnů se dodavatel zavazuje zaplatit odběrateli smluvní pokutu ve výši 200,- Kč za každé dotčené odběrné místo a každý den prodlení. Zaplacením smluvní pokuty není dotčeno právo odběratele požadovat náhradu škody způsobené porušením povinnosti, na kterou se smluvní pokuta vztahuje, a to i v plné výši.</w:t>
      </w:r>
    </w:p>
    <w:p w:rsidR="00525BA9" w:rsidRDefault="00525BA9">
      <w:pPr>
        <w:pStyle w:val="Bodytext21"/>
        <w:framePr w:w="10906" w:h="5951" w:hRule="exact" w:wrap="none" w:vAnchor="page" w:hAnchor="page" w:x="383" w:y="8770"/>
        <w:numPr>
          <w:ilvl w:val="0"/>
          <w:numId w:val="6"/>
        </w:numPr>
        <w:shd w:val="clear" w:color="auto" w:fill="auto"/>
        <w:tabs>
          <w:tab w:val="left" w:pos="356"/>
        </w:tabs>
        <w:spacing w:before="0"/>
        <w:ind w:left="400"/>
      </w:pPr>
      <w:r>
        <w:t>Odběratel si vyhrazuje právo, že může kdykoliv v průběhu trvání této smlouvy dodavateli písemně oznámit (v listinné podobě, elektronicky emailem), že požaduje u odběrného místa/odběrných míst měsíční platby za skutečný odběr, tzn.</w:t>
      </w:r>
    </w:p>
    <w:p w:rsidR="00525BA9" w:rsidRDefault="00525BA9">
      <w:pPr>
        <w:pStyle w:val="Bodytext21"/>
        <w:framePr w:w="10906" w:h="295" w:hRule="exact" w:wrap="none" w:vAnchor="page" w:hAnchor="page" w:x="383" w:y="14904"/>
        <w:shd w:val="clear" w:color="auto" w:fill="auto"/>
        <w:spacing w:before="0" w:line="232" w:lineRule="exact"/>
        <w:ind w:firstLine="0"/>
        <w:jc w:val="center"/>
      </w:pPr>
      <w:r>
        <w:t>Stránka 2</w:t>
      </w:r>
    </w:p>
    <w:p w:rsidR="00525BA9" w:rsidRDefault="00525BA9">
      <w:pPr>
        <w:rPr>
          <w:sz w:val="2"/>
          <w:szCs w:val="2"/>
        </w:rPr>
      </w:pPr>
    </w:p>
    <w:sectPr w:rsidR="00525BA9" w:rsidSect="00654D22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A9" w:rsidRDefault="00525BA9" w:rsidP="00654D22">
      <w:r>
        <w:separator/>
      </w:r>
    </w:p>
  </w:endnote>
  <w:endnote w:type="continuationSeparator" w:id="0">
    <w:p w:rsidR="00525BA9" w:rsidRDefault="00525BA9" w:rsidP="0065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A9" w:rsidRDefault="00525BA9"/>
  </w:footnote>
  <w:footnote w:type="continuationSeparator" w:id="0">
    <w:p w:rsidR="00525BA9" w:rsidRDefault="00525B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67B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C8699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72FB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8337B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CB44C7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8666F39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D22"/>
    <w:rsid w:val="004618B6"/>
    <w:rsid w:val="00525BA9"/>
    <w:rsid w:val="00654D22"/>
    <w:rsid w:val="006D219B"/>
    <w:rsid w:val="00A3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22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uiPriority w:val="99"/>
    <w:locked/>
    <w:rsid w:val="00654D22"/>
    <w:rPr>
      <w:rFonts w:cs="Times New Roman"/>
      <w:b/>
      <w:bCs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654D22"/>
    <w:rPr>
      <w:rFonts w:cs="Times New Roman"/>
      <w:sz w:val="21"/>
      <w:szCs w:val="21"/>
      <w:u w:val="none"/>
    </w:rPr>
  </w:style>
  <w:style w:type="character" w:customStyle="1" w:styleId="Bodytext2Bold">
    <w:name w:val="Body text (2) + Bold"/>
    <w:basedOn w:val="Bodytext2"/>
    <w:uiPriority w:val="99"/>
    <w:rsid w:val="00654D22"/>
    <w:rPr>
      <w:rFonts w:ascii="Times New Roman" w:hAnsi="Times New Roman"/>
      <w:b/>
      <w:bCs/>
      <w:color w:val="000000"/>
      <w:spacing w:val="0"/>
      <w:w w:val="100"/>
      <w:position w:val="0"/>
      <w:lang w:val="cs-CZ" w:eastAsia="cs-CZ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654D22"/>
    <w:rPr>
      <w:rFonts w:cs="Times New Roman"/>
      <w:b/>
      <w:bCs/>
      <w:sz w:val="21"/>
      <w:szCs w:val="21"/>
      <w:u w:val="none"/>
    </w:rPr>
  </w:style>
  <w:style w:type="character" w:customStyle="1" w:styleId="Bodytext20">
    <w:name w:val="Body text (2)"/>
    <w:basedOn w:val="Bodytext2"/>
    <w:uiPriority w:val="99"/>
    <w:rsid w:val="00654D22"/>
    <w:rPr>
      <w:rFonts w:ascii="Times New Roman" w:hAnsi="Times New Roman"/>
      <w:color w:val="000000"/>
      <w:spacing w:val="0"/>
      <w:w w:val="100"/>
      <w:position w:val="0"/>
      <w:u w:val="single"/>
      <w:lang w:val="cs-CZ" w:eastAsia="cs-CZ"/>
    </w:rPr>
  </w:style>
  <w:style w:type="paragraph" w:customStyle="1" w:styleId="Heading10">
    <w:name w:val="Heading #1"/>
    <w:basedOn w:val="Normal"/>
    <w:link w:val="Heading1"/>
    <w:uiPriority w:val="99"/>
    <w:rsid w:val="00654D22"/>
    <w:pPr>
      <w:shd w:val="clear" w:color="auto" w:fill="FFFFFF"/>
      <w:spacing w:after="240" w:line="232" w:lineRule="exact"/>
      <w:outlineLvl w:val="0"/>
    </w:pPr>
    <w:rPr>
      <w:b/>
      <w:bCs/>
      <w:sz w:val="21"/>
      <w:szCs w:val="21"/>
    </w:rPr>
  </w:style>
  <w:style w:type="paragraph" w:customStyle="1" w:styleId="Bodytext21">
    <w:name w:val="Body text (2)1"/>
    <w:basedOn w:val="Normal"/>
    <w:link w:val="Bodytext2"/>
    <w:uiPriority w:val="99"/>
    <w:rsid w:val="00654D22"/>
    <w:pPr>
      <w:shd w:val="clear" w:color="auto" w:fill="FFFFFF"/>
      <w:spacing w:before="240" w:line="245" w:lineRule="exact"/>
      <w:ind w:hanging="400"/>
      <w:jc w:val="both"/>
    </w:pPr>
    <w:rPr>
      <w:sz w:val="21"/>
      <w:szCs w:val="21"/>
    </w:rPr>
  </w:style>
  <w:style w:type="paragraph" w:customStyle="1" w:styleId="Bodytext30">
    <w:name w:val="Body text (3)"/>
    <w:basedOn w:val="Normal"/>
    <w:link w:val="Bodytext3"/>
    <w:uiPriority w:val="99"/>
    <w:rsid w:val="00654D22"/>
    <w:pPr>
      <w:shd w:val="clear" w:color="auto" w:fill="FFFFFF"/>
      <w:spacing w:line="245" w:lineRule="exact"/>
      <w:jc w:val="both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490</Words>
  <Characters>2897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/>
  <cp:keywords/>
  <dc:description/>
  <cp:lastModifiedBy>Spisovna</cp:lastModifiedBy>
  <cp:revision>2</cp:revision>
  <dcterms:created xsi:type="dcterms:W3CDTF">2017-01-24T07:51:00Z</dcterms:created>
  <dcterms:modified xsi:type="dcterms:W3CDTF">2017-01-24T07:51:00Z</dcterms:modified>
</cp:coreProperties>
</file>