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CE" w:rsidRDefault="007E40CE">
      <w:pPr>
        <w:pStyle w:val="Bodytext21"/>
        <w:framePr w:w="10320" w:h="921" w:hRule="exact" w:wrap="none" w:vAnchor="page" w:hAnchor="page" w:x="872" w:y="217"/>
        <w:shd w:val="clear" w:color="auto" w:fill="auto"/>
        <w:tabs>
          <w:tab w:val="left" w:pos="2592"/>
        </w:tabs>
        <w:ind w:left="340" w:right="6260" w:hanging="340"/>
      </w:pPr>
      <w:r>
        <w:rPr>
          <w:lang w:val="en-US" w:eastAsia="en-US"/>
        </w:rPr>
        <w:t xml:space="preserve">OSLO </w:t>
      </w:r>
      <w:r>
        <w:t>SMLOUVY OBCHODNÍKA:</w:t>
      </w:r>
      <w:r>
        <w:tab/>
        <w:t>LW_20161021137</w:t>
      </w:r>
    </w:p>
    <w:p w:rsidR="007E40CE" w:rsidRDefault="007E40CE">
      <w:pPr>
        <w:pStyle w:val="Bodytext21"/>
        <w:framePr w:w="10320" w:h="921" w:hRule="exact" w:wrap="none" w:vAnchor="page" w:hAnchor="page" w:x="872" w:y="217"/>
        <w:shd w:val="clear" w:color="auto" w:fill="auto"/>
        <w:tabs>
          <w:tab w:val="left" w:pos="2592"/>
          <w:tab w:val="left" w:leader="dot" w:pos="3979"/>
        </w:tabs>
        <w:ind w:left="340" w:right="6260" w:hanging="340"/>
      </w:pPr>
      <w:r>
        <w:t>ČÍSLO SMLOUVY ZÁKAZNÍKA:</w:t>
      </w:r>
      <w:r>
        <w:tab/>
      </w:r>
      <w:r>
        <w:tab/>
      </w:r>
    </w:p>
    <w:p w:rsidR="007E40CE" w:rsidRDefault="007E40CE">
      <w:pPr>
        <w:pStyle w:val="Bodytext51"/>
        <w:framePr w:w="1718" w:h="702" w:hRule="exact" w:wrap="none" w:vAnchor="page" w:hAnchor="page" w:x="9426" w:y="254"/>
        <w:shd w:val="clear" w:color="auto" w:fill="auto"/>
      </w:pPr>
      <w:r>
        <w:rPr>
          <w:rStyle w:val="Bodytext50"/>
          <w:b/>
          <w:bCs/>
          <w:i/>
          <w:iCs/>
        </w:rPr>
        <w:t>Má</w:t>
      </w:r>
    </w:p>
    <w:p w:rsidR="007E40CE" w:rsidRDefault="007E40CE">
      <w:pPr>
        <w:pStyle w:val="Bodytext61"/>
        <w:framePr w:w="1718" w:h="702" w:hRule="exact" w:wrap="none" w:vAnchor="page" w:hAnchor="page" w:x="9426" w:y="254"/>
        <w:shd w:val="clear" w:color="auto" w:fill="auto"/>
      </w:pPr>
      <w:r>
        <w:t xml:space="preserve">enwox </w:t>
      </w:r>
      <w:r>
        <w:rPr>
          <w:rStyle w:val="Bodytext60"/>
          <w:b/>
          <w:bCs/>
        </w:rPr>
        <w:t>energy</w:t>
      </w:r>
    </w:p>
    <w:p w:rsidR="007E40CE" w:rsidRDefault="007E40CE">
      <w:pPr>
        <w:pStyle w:val="Bodytext70"/>
        <w:framePr w:wrap="none" w:vAnchor="page" w:hAnchor="page" w:x="863" w:y="1300"/>
        <w:shd w:val="clear" w:color="auto" w:fill="auto"/>
      </w:pPr>
      <w:r>
        <w:rPr>
          <w:rStyle w:val="Bodytext7Calibri"/>
        </w:rPr>
        <w:t>8</w:t>
      </w:r>
      <w:r>
        <w:t>.</w:t>
      </w:r>
    </w:p>
    <w:p w:rsidR="007E40CE" w:rsidRDefault="007E40CE">
      <w:pPr>
        <w:pStyle w:val="Bodytext21"/>
        <w:framePr w:w="10320" w:h="1367" w:hRule="exact" w:wrap="none" w:vAnchor="page" w:hAnchor="page" w:x="872" w:y="1257"/>
        <w:shd w:val="clear" w:color="auto" w:fill="auto"/>
        <w:spacing w:line="216" w:lineRule="exact"/>
        <w:ind w:left="268" w:firstLine="0"/>
      </w:pPr>
      <w:r>
        <w:t>Dodavatel bude odběrateli dále účtovat daň ze zemního plynu, případně další daň, jejíž platbu vyžadují platné právní předpisy. V případě</w:t>
      </w:r>
      <w:r>
        <w:br/>
        <w:t>osvobození od daně z plynu je odběratel povinen doložit povolení k nabytí plynu osvobozeného od daně vydané Celním úřadem v den</w:t>
      </w:r>
      <w:r>
        <w:br/>
        <w:t>uzavření smlouvy, či bez odkladu po vydání povolení, nejpozději však sedm dnů před počátkem dodávky či počátkem období, na nějž je</w:t>
      </w:r>
      <w:r>
        <w:br/>
        <w:t>toto osvobození uplatňováno. Pokud dojde k jakékoliv změně skutečností souvisejících s povolením k nabytí plynu osvobozeného od daně</w:t>
      </w:r>
      <w:r>
        <w:br/>
        <w:t>(změna měřidla, přepočítávače apod,), je odběratel povinen tuto informaci dodavateli písemně oznámit do 14 dnů od této změny. Změnu</w:t>
      </w:r>
      <w:r>
        <w:br/>
        <w:t>již vydaného povolení je odběratel povinen doložit dodavateli bezodkladně po jejím vydání celním úřadem.</w:t>
      </w:r>
    </w:p>
    <w:p w:rsidR="007E40CE" w:rsidRDefault="007E40CE">
      <w:pPr>
        <w:pStyle w:val="Bodytext31"/>
        <w:framePr w:w="10320" w:h="12830" w:hRule="exact" w:wrap="none" w:vAnchor="page" w:hAnchor="page" w:x="872" w:y="2802"/>
        <w:shd w:val="clear" w:color="auto" w:fill="auto"/>
        <w:spacing w:before="0"/>
        <w:ind w:left="340" w:hanging="340"/>
      </w:pPr>
      <w:r>
        <w:rPr>
          <w:rStyle w:val="Bodytext30"/>
          <w:b/>
          <w:bCs/>
        </w:rPr>
        <w:t>ČLÁNEK IV. - Účtování a placení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 xml:space="preserve">Dodavatel provádí vyúčtování sjednané dodávky plynu a sjednaných distribučních služeb, které jsou předmětem této smlouvy, daňovým dokladem-fakturou v periodicitě </w:t>
      </w:r>
      <w:r>
        <w:rPr>
          <w:rStyle w:val="Bodytext2Bold"/>
        </w:rPr>
        <w:t xml:space="preserve">jednoho měsíce </w:t>
      </w:r>
      <w:r>
        <w:t xml:space="preserve">pro odběrná místa s měřením typu A, B nebo CM a v periodicitě minimálně jednoho roku pro odběrná místa vybavená měřením typu C, a to na základě údajů z měření plynu - ve formě </w:t>
      </w:r>
      <w:r>
        <w:rPr>
          <w:rStyle w:val="Bodytext2Bold"/>
        </w:rPr>
        <w:t xml:space="preserve">tzv. zúčtovací faktury. </w:t>
      </w:r>
      <w:r>
        <w:t xml:space="preserve">Faktura-daňový doklad bude vystavena vždy nejpozději </w:t>
      </w:r>
      <w:r>
        <w:rPr>
          <w:rStyle w:val="Bodytext2Bold"/>
        </w:rPr>
        <w:t xml:space="preserve">do 12. dne kalendářního měsíce následujícího po fakturačním období. </w:t>
      </w:r>
      <w:r>
        <w:t>Dnem uskutečnění zdanitelného plnění je poslední den fakturačního období.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Dodavatel bude vystavovat odběrateli souhrnnou fakturu i předpis zálohových plateb za všechna jeho odběrná místa s přiloženým vyúčtováním jednotlivých odběrných míst.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Odběratel může požadovat a dodavatel se pro tento případ zavazuje zasílat veškerá vyúčtování a fakturaci formou elektronických prostředků.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Dodavatel je povinen na všech fakturách a daňových dokladech uvádět: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2"/>
        </w:numPr>
        <w:shd w:val="clear" w:color="auto" w:fill="auto"/>
        <w:tabs>
          <w:tab w:val="left" w:pos="782"/>
        </w:tabs>
        <w:spacing w:line="216" w:lineRule="exact"/>
        <w:ind w:left="780"/>
        <w:jc w:val="left"/>
      </w:pPr>
      <w:r>
        <w:t>Odběratel: Statutární město Ostrava, Prokešovo náměstí 1803/8, 729 30 Ostrava-Moravská Ostrava, IČ:00845451, DIČ:CZ00845451</w:t>
      </w:r>
    </w:p>
    <w:p w:rsidR="007E40CE" w:rsidRDefault="007E40CE">
      <w:pPr>
        <w:pStyle w:val="Bodytext31"/>
        <w:framePr w:w="10320" w:h="12830" w:hRule="exact" w:wrap="none" w:vAnchor="page" w:hAnchor="page" w:x="872" w:y="2802"/>
        <w:numPr>
          <w:ilvl w:val="0"/>
          <w:numId w:val="2"/>
        </w:numPr>
        <w:shd w:val="clear" w:color="auto" w:fill="auto"/>
        <w:tabs>
          <w:tab w:val="left" w:pos="782"/>
        </w:tabs>
        <w:spacing w:before="0"/>
        <w:ind w:left="780"/>
        <w:jc w:val="left"/>
      </w:pPr>
      <w:r>
        <w:rPr>
          <w:rStyle w:val="Bodytext3NotBold"/>
        </w:rPr>
        <w:t xml:space="preserve">Příjemce (nebo zasílací adresa): </w:t>
      </w:r>
      <w:r>
        <w:t>Středisko volného času, Ostrava - Zábřeh, příspěvková organizace, Gurtjevova 1823/8, 700 30 Ostrava - Zábřeh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V případě zrušení odběrného místa, zejména z důvodu převodu vlastnických práv k odběrnému místu, odstranění odběrného místa, demolice, zničení živelnou pohromou, je odběratel oprávněn ukončit smluvní vztah s dodavatelem k danému odběrnému místu, a to nejpozději do 30 dnů ode dne oznámení dodavateli o zrušení odběrného místa, a to bez nároku na finanční či jinou kompenzaci ze strany dodavatele.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Z důvodu provozních potřeb se může v průběhu smluvního období počet měřících nebo odběrných míst odběratele změnit, a to jak zrušením stávajících, tak zřízením nových odběrných míst. Dodavatel bude i pro tyto případy garantovat nabídnuté jednotkové ceny a neprodleně po oznámení o zřízení nového odběrného místa zahájí dodávku za podmínek sjednaných v rámci předmětné veřejné zakázky.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 xml:space="preserve">Splatnost faktur i ostatních plateb vyplývajících z této smlouvy mimo záloh je </w:t>
      </w:r>
      <w:r>
        <w:rPr>
          <w:rStyle w:val="Bodytext2Bold"/>
        </w:rPr>
        <w:t xml:space="preserve">30 dnů </w:t>
      </w:r>
      <w:r>
        <w:t>od data doručení faktury odběrateli. Faktura je dodavatelem odběrateli odeslána v listinné a/nebo elektronické podobě. Připadne-li den splatnosti na den pracovního volna, den pracovního klidu, či státní svátek, je dnem splatnosti nejbližší následující pracovní den. Platba se považuje za splněnou, je-li řádně identifikována (označena správným variabilním symbolem, popř. dalšími platebními údaji) a připsána v předmětné částce na bankovní účet určený ve faktuře dodavatelem.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Odběratel se zavazuje na úhradu odebíraného, ale dosud nevyfakturovaného plynu a sjednaných distribučních služeb, platit ve prospěch dodavatele zálohy. Zálohy budou zaplaceny na základě předpisu záloh. Na tyto přijaté platby budou vystavovány řádné daňové doklady. Přehled přijatých plateb bude uveden v řádném daňovém dokladu za příslušné fakturační období. Rozdíl mezi zálohou a skutečnou cenou dodávky bude vyrovnán na základě vystavené faktury s tím, že doplatek bude odběratel hradit v předepsaném termínu splatnosti a případné přeplatky vrátí dodavatel odběrateli na jeho účet uvedený v této smlouvě.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11"/>
        </w:tabs>
        <w:spacing w:line="216" w:lineRule="exact"/>
        <w:ind w:left="340" w:hanging="340"/>
      </w:pPr>
      <w:r>
        <w:t>V případě vzniku přeplatku zákazníka na konci kalendářního roku (v měsíci prosinci) bude dodavatel vždy tento přeplatek vracet na bankovní účet zákazníka a dodavatel se zavazuje, že nebude tento přeplatek zúčtovávat jako zálohovou platbu zákazníka.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37"/>
        </w:tabs>
        <w:spacing w:line="216" w:lineRule="exact"/>
        <w:ind w:left="340" w:hanging="340"/>
      </w:pPr>
      <w:r>
        <w:t xml:space="preserve">Výše zálohy je sjednána pro odběrná místa typu </w:t>
      </w:r>
      <w:r>
        <w:rPr>
          <w:lang w:val="en-US" w:eastAsia="en-US"/>
        </w:rPr>
        <w:t xml:space="preserve">VO a SO </w:t>
      </w:r>
      <w:r>
        <w:t>ve výši 50% předpokládané platby vypočtené z plánu odběru zemního plynu nebo odběrového diagramu dle rozpisu záloh. Zálohové faktury hrazené měsíčně jsou splatné 15. kalendářní den měsíce, za který se záloha poskytuje.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37"/>
        </w:tabs>
        <w:spacing w:line="216" w:lineRule="exact"/>
        <w:ind w:left="340" w:hanging="340"/>
      </w:pPr>
      <w:r>
        <w:t>V případě prodlení s úhradou kterékoliv splatné pohledávky podle této smlouvy je dodavatel oprávněn účtovat odběrateli smluvní úrok z prodlení ve výši 0,06 % z dlužné částky denně.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V případě prodlení dodavatele s vystavením zúčtovací faktury ve Ihůtě či s uhrazením přeplatku ve lhůtě splatnosti se dodavatel zavazuje zaplatit odběrateli smluvní pokutu ve výši 200 Kč za každé dotčené odběrné místo a každý den prodlení. Zaplacením smluvní pokuty není dotčeno právo odběratele požadovat náhradu škody způsobené porušením povinnosti, na kterou se smluvní pokuta vztahuje, a to v plné výši.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Daňové doklady o vyúčtování (faktury, zálohy a ostatní platby dle této smlouvy) vystavené způsobem hromadného zpracování dat nemusí obsahovat razítko ani podpis účastníků této smlouvy.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Veškeré platby dle této smlouvy se odběratel zavazuje uhradit formou bankovního převodu na číslo účtu dodavatele, uvedené na faktuře při použití variabilního symbolu odpovídajícího číslu vystavené faktury.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 xml:space="preserve">Adresa pro zasílání faktur: </w:t>
      </w:r>
      <w:r>
        <w:rPr>
          <w:rStyle w:val="Bodytext20"/>
        </w:rPr>
        <w:t>shodná se sídlem odběratele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V případě, že bude odběratel nárokovat osvobození od daně z plynu ve smyslu zákona č. 261/2007 Sb. o stabilizaci veřejných rozpočtů, na základě povolení příslušného Celního úřadu, je povinen předložit takovéto povolení dodavateli při uzavření smlouvy. Nabude-li toto povolení později, je možné jej předložit i později. V případě pozdějšího předložení bude povolení uplatněno až v nejbližším možném zdanitelném období.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 xml:space="preserve">Odběratel může požadovat a dodavatel se pro tento případ zavazuje zasílat </w:t>
      </w:r>
      <w:r>
        <w:rPr>
          <w:rStyle w:val="Bodytext2Bold"/>
        </w:rPr>
        <w:t>veškerá vyúčtování a fakturaci formou elektronických prostředků.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Zákazník si vyhrazuje právo, že může kdykoliv v průběhu trvání této smlouvy dodavateli písemně oznámit (v listinné podobě, elektronicky emailem), že požaduje u odběrného místa/odběrných míst měsíční platby za skutečný odběr, tzn. platby na základě samoodečtu. Změny v tomto případě budou platné od prvního dne následujícího měsíce následující po doručení žádosti zákazníka dodavateli.</w:t>
      </w:r>
    </w:p>
    <w:p w:rsidR="007E40CE" w:rsidRDefault="007E40CE">
      <w:pPr>
        <w:pStyle w:val="Bodytext21"/>
        <w:framePr w:w="10320" w:h="12830" w:hRule="exact" w:wrap="none" w:vAnchor="page" w:hAnchor="page" w:x="872" w:y="2802"/>
        <w:numPr>
          <w:ilvl w:val="0"/>
          <w:numId w:val="1"/>
        </w:numPr>
        <w:shd w:val="clear" w:color="auto" w:fill="auto"/>
        <w:tabs>
          <w:tab w:val="left" w:pos="342"/>
        </w:tabs>
        <w:spacing w:line="216" w:lineRule="exact"/>
        <w:ind w:left="340" w:hanging="340"/>
      </w:pPr>
      <w:r>
        <w:t>Zákazník si dále vyhrazuje právo, že může po dodavateli požadovat vč. souhrnné faktury také dílčí fakturu, a to vystavenou na každé jednotlivé odběrné místo zákazníka. V případě tohoto požadavku zákazník odešle požadavek dodavateli poštou nebo emailem.</w:t>
      </w:r>
    </w:p>
    <w:p w:rsidR="007E40CE" w:rsidRDefault="007E40CE">
      <w:pPr>
        <w:pStyle w:val="Bodytext40"/>
        <w:framePr w:w="10320" w:h="187" w:hRule="exact" w:wrap="none" w:vAnchor="page" w:hAnchor="page" w:x="872" w:y="16226"/>
        <w:shd w:val="clear" w:color="auto" w:fill="auto"/>
        <w:spacing w:before="0"/>
      </w:pPr>
      <w:r>
        <w:t>Strana 2/4</w:t>
      </w:r>
    </w:p>
    <w:p w:rsidR="007E40CE" w:rsidRDefault="007E40CE">
      <w:pPr>
        <w:rPr>
          <w:sz w:val="2"/>
          <w:szCs w:val="2"/>
        </w:rPr>
      </w:pPr>
    </w:p>
    <w:sectPr w:rsidR="007E40CE" w:rsidSect="00B465C1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CE" w:rsidRDefault="007E40CE" w:rsidP="00B465C1">
      <w:r>
        <w:separator/>
      </w:r>
    </w:p>
  </w:endnote>
  <w:endnote w:type="continuationSeparator" w:id="0">
    <w:p w:rsidR="007E40CE" w:rsidRDefault="007E40CE" w:rsidP="00B4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CE" w:rsidRDefault="007E40CE"/>
  </w:footnote>
  <w:footnote w:type="continuationSeparator" w:id="0">
    <w:p w:rsidR="007E40CE" w:rsidRDefault="007E40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793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1142A3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5C1"/>
    <w:rsid w:val="00321908"/>
    <w:rsid w:val="007E40CE"/>
    <w:rsid w:val="00B465C1"/>
    <w:rsid w:val="00C11E0E"/>
    <w:rsid w:val="00C7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C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1"/>
    <w:uiPriority w:val="99"/>
    <w:locked/>
    <w:rsid w:val="00B465C1"/>
    <w:rPr>
      <w:rFonts w:ascii="Calibri" w:eastAsia="Times New Roman" w:hAnsi="Calibri" w:cs="Calibri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B465C1"/>
    <w:rPr>
      <w:rFonts w:ascii="Book Antiqua" w:eastAsia="Times New Roman" w:hAnsi="Book Antiqua" w:cs="Book Antiqua"/>
      <w:b/>
      <w:bCs/>
      <w:i/>
      <w:iCs/>
      <w:sz w:val="22"/>
      <w:szCs w:val="22"/>
      <w:u w:val="none"/>
    </w:rPr>
  </w:style>
  <w:style w:type="character" w:customStyle="1" w:styleId="Bodytext50">
    <w:name w:val="Body text (5)"/>
    <w:basedOn w:val="Bodytext5"/>
    <w:uiPriority w:val="99"/>
    <w:rsid w:val="00B465C1"/>
    <w:rPr>
      <w:color w:val="CB3148"/>
      <w:spacing w:val="0"/>
      <w:w w:val="100"/>
      <w:position w:val="0"/>
      <w:lang w:val="cs-CZ" w:eastAsia="cs-CZ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B465C1"/>
    <w:rPr>
      <w:rFonts w:ascii="Calibri" w:eastAsia="Times New Roman" w:hAnsi="Calibri" w:cs="Calibri"/>
      <w:b/>
      <w:bCs/>
      <w:sz w:val="26"/>
      <w:szCs w:val="26"/>
      <w:u w:val="none"/>
      <w:lang w:val="en-US" w:eastAsia="en-US"/>
    </w:rPr>
  </w:style>
  <w:style w:type="character" w:customStyle="1" w:styleId="Bodytext60">
    <w:name w:val="Body text (6)"/>
    <w:basedOn w:val="Bodytext6"/>
    <w:uiPriority w:val="99"/>
    <w:rsid w:val="00B465C1"/>
    <w:rPr>
      <w:color w:val="CB3148"/>
      <w:spacing w:val="0"/>
      <w:w w:val="100"/>
      <w:position w:val="0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B465C1"/>
    <w:rPr>
      <w:rFonts w:ascii="Arial Narrow" w:eastAsia="Times New Roman" w:hAnsi="Arial Narrow" w:cs="Arial Narrow"/>
      <w:b/>
      <w:bCs/>
      <w:sz w:val="9"/>
      <w:szCs w:val="9"/>
      <w:u w:val="none"/>
    </w:rPr>
  </w:style>
  <w:style w:type="character" w:customStyle="1" w:styleId="Bodytext7Calibri">
    <w:name w:val="Body text (7) + Calibri"/>
    <w:aliases w:val="8.5 pt,Not Bold"/>
    <w:basedOn w:val="Bodytext7"/>
    <w:uiPriority w:val="99"/>
    <w:rsid w:val="00B465C1"/>
    <w:rPr>
      <w:rFonts w:ascii="Calibri" w:hAnsi="Calibri" w:cs="Calibri"/>
      <w:color w:val="000000"/>
      <w:spacing w:val="0"/>
      <w:w w:val="100"/>
      <w:position w:val="0"/>
      <w:sz w:val="17"/>
      <w:szCs w:val="17"/>
      <w:lang w:val="cs-CZ" w:eastAsia="cs-CZ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B465C1"/>
    <w:rPr>
      <w:rFonts w:ascii="Calibri" w:eastAsia="Times New Roman" w:hAnsi="Calibri" w:cs="Calibri"/>
      <w:b/>
      <w:bCs/>
      <w:sz w:val="17"/>
      <w:szCs w:val="17"/>
      <w:u w:val="none"/>
    </w:rPr>
  </w:style>
  <w:style w:type="character" w:customStyle="1" w:styleId="Bodytext30">
    <w:name w:val="Body text (3)"/>
    <w:basedOn w:val="Bodytext3"/>
    <w:uiPriority w:val="99"/>
    <w:rsid w:val="00B465C1"/>
    <w:rPr>
      <w:color w:val="125EA4"/>
      <w:spacing w:val="0"/>
      <w:w w:val="100"/>
      <w:position w:val="0"/>
      <w:lang w:val="cs-CZ" w:eastAsia="cs-CZ"/>
    </w:rPr>
  </w:style>
  <w:style w:type="character" w:customStyle="1" w:styleId="Bodytext2Bold">
    <w:name w:val="Body text (2) + Bold"/>
    <w:basedOn w:val="Bodytext2"/>
    <w:uiPriority w:val="99"/>
    <w:rsid w:val="00B465C1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Bodytext3NotBold">
    <w:name w:val="Body text (3) + Not Bold"/>
    <w:basedOn w:val="Bodytext3"/>
    <w:uiPriority w:val="99"/>
    <w:rsid w:val="00B465C1"/>
    <w:rPr>
      <w:color w:val="000000"/>
      <w:spacing w:val="0"/>
      <w:w w:val="100"/>
      <w:position w:val="0"/>
      <w:lang w:val="cs-CZ" w:eastAsia="cs-CZ"/>
    </w:rPr>
  </w:style>
  <w:style w:type="character" w:customStyle="1" w:styleId="Bodytext20">
    <w:name w:val="Body text (2)"/>
    <w:basedOn w:val="Bodytext2"/>
    <w:uiPriority w:val="99"/>
    <w:rsid w:val="00B465C1"/>
    <w:rPr>
      <w:color w:val="000000"/>
      <w:spacing w:val="0"/>
      <w:w w:val="100"/>
      <w:position w:val="0"/>
      <w:u w:val="single"/>
      <w:lang w:val="cs-CZ" w:eastAsia="cs-CZ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B465C1"/>
    <w:rPr>
      <w:rFonts w:ascii="Calibri" w:eastAsia="Times New Roman" w:hAnsi="Calibri" w:cs="Calibri"/>
      <w:sz w:val="12"/>
      <w:szCs w:val="12"/>
      <w:u w:val="none"/>
    </w:rPr>
  </w:style>
  <w:style w:type="paragraph" w:customStyle="1" w:styleId="Bodytext21">
    <w:name w:val="Body text (2)1"/>
    <w:basedOn w:val="Normal"/>
    <w:link w:val="Bodytext2"/>
    <w:uiPriority w:val="99"/>
    <w:rsid w:val="00B465C1"/>
    <w:pPr>
      <w:shd w:val="clear" w:color="auto" w:fill="FFFFFF"/>
      <w:spacing w:line="437" w:lineRule="exact"/>
      <w:ind w:hanging="360"/>
      <w:jc w:val="both"/>
    </w:pPr>
    <w:rPr>
      <w:rFonts w:ascii="Calibri" w:hAnsi="Calibri" w:cs="Calibri"/>
      <w:sz w:val="17"/>
      <w:szCs w:val="17"/>
    </w:rPr>
  </w:style>
  <w:style w:type="paragraph" w:customStyle="1" w:styleId="Bodytext51">
    <w:name w:val="Body text (5)1"/>
    <w:basedOn w:val="Normal"/>
    <w:link w:val="Bodytext5"/>
    <w:uiPriority w:val="99"/>
    <w:rsid w:val="00B465C1"/>
    <w:pPr>
      <w:shd w:val="clear" w:color="auto" w:fill="FFFFFF"/>
      <w:spacing w:line="234" w:lineRule="exact"/>
      <w:jc w:val="center"/>
    </w:pPr>
    <w:rPr>
      <w:rFonts w:ascii="Book Antiqua" w:hAnsi="Book Antiqua" w:cs="Book Antiqua"/>
      <w:b/>
      <w:bCs/>
      <w:i/>
      <w:iCs/>
      <w:sz w:val="22"/>
      <w:szCs w:val="22"/>
    </w:rPr>
  </w:style>
  <w:style w:type="paragraph" w:customStyle="1" w:styleId="Bodytext61">
    <w:name w:val="Body text (6)1"/>
    <w:basedOn w:val="Normal"/>
    <w:link w:val="Bodytext6"/>
    <w:uiPriority w:val="99"/>
    <w:rsid w:val="00B465C1"/>
    <w:pPr>
      <w:shd w:val="clear" w:color="auto" w:fill="FFFFFF"/>
      <w:spacing w:line="268" w:lineRule="exact"/>
    </w:pPr>
    <w:rPr>
      <w:rFonts w:ascii="Calibri" w:hAnsi="Calibri" w:cs="Calibri"/>
      <w:b/>
      <w:bCs/>
      <w:sz w:val="26"/>
      <w:szCs w:val="26"/>
      <w:lang w:val="en-US" w:eastAsia="en-US"/>
    </w:rPr>
  </w:style>
  <w:style w:type="paragraph" w:customStyle="1" w:styleId="Bodytext70">
    <w:name w:val="Body text (7)"/>
    <w:basedOn w:val="Normal"/>
    <w:link w:val="Bodytext7"/>
    <w:uiPriority w:val="99"/>
    <w:rsid w:val="00B465C1"/>
    <w:pPr>
      <w:shd w:val="clear" w:color="auto" w:fill="FFFFFF"/>
      <w:spacing w:line="168" w:lineRule="exact"/>
    </w:pPr>
    <w:rPr>
      <w:rFonts w:ascii="Arial Narrow" w:hAnsi="Arial Narrow" w:cs="Arial Narrow"/>
      <w:b/>
      <w:bCs/>
      <w:sz w:val="9"/>
      <w:szCs w:val="9"/>
    </w:rPr>
  </w:style>
  <w:style w:type="paragraph" w:customStyle="1" w:styleId="Bodytext31">
    <w:name w:val="Body text (3)1"/>
    <w:basedOn w:val="Normal"/>
    <w:link w:val="Bodytext3"/>
    <w:uiPriority w:val="99"/>
    <w:rsid w:val="00B465C1"/>
    <w:pPr>
      <w:shd w:val="clear" w:color="auto" w:fill="FFFFFF"/>
      <w:spacing w:before="220" w:line="216" w:lineRule="exact"/>
      <w:ind w:hanging="360"/>
      <w:jc w:val="both"/>
    </w:pPr>
    <w:rPr>
      <w:rFonts w:ascii="Calibri" w:hAnsi="Calibri" w:cs="Calibri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uiPriority w:val="99"/>
    <w:rsid w:val="00B465C1"/>
    <w:pPr>
      <w:shd w:val="clear" w:color="auto" w:fill="FFFFFF"/>
      <w:spacing w:before="580" w:line="134" w:lineRule="exact"/>
      <w:jc w:val="right"/>
    </w:pPr>
    <w:rPr>
      <w:rFonts w:ascii="Calibri" w:hAnsi="Calibri" w:cs="Calibri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987</Words>
  <Characters>5827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SMLOUVY OBCHODNÍKA:</dc:title>
  <dc:subject/>
  <dc:creator/>
  <cp:keywords/>
  <dc:description/>
  <cp:lastModifiedBy>Spisovna</cp:lastModifiedBy>
  <cp:revision>2</cp:revision>
  <dcterms:created xsi:type="dcterms:W3CDTF">2017-01-24T07:56:00Z</dcterms:created>
  <dcterms:modified xsi:type="dcterms:W3CDTF">2017-01-24T07:56:00Z</dcterms:modified>
</cp:coreProperties>
</file>