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B0" w:rsidRDefault="00847CB0">
      <w:pPr>
        <w:framePr w:w="289" w:h="557" w:hRule="exact" w:wrap="none" w:vAnchor="page" w:hAnchor="page" w:y="177"/>
        <w:textDirection w:val="btLr"/>
      </w:pPr>
    </w:p>
    <w:p w:rsidR="00847CB0" w:rsidRDefault="00847CB0">
      <w:pPr>
        <w:pStyle w:val="Bodytext21"/>
        <w:framePr w:wrap="none" w:vAnchor="page" w:hAnchor="page" w:x="910" w:y="379"/>
        <w:shd w:val="clear" w:color="auto" w:fill="auto"/>
        <w:ind w:firstLine="0"/>
      </w:pPr>
      <w:r>
        <w:t>ISLO SMLOUVY OBCHODNÍKA:</w:t>
      </w:r>
    </w:p>
    <w:p w:rsidR="00847CB0" w:rsidRDefault="00847CB0">
      <w:pPr>
        <w:pStyle w:val="Bodytext31"/>
        <w:framePr w:w="787" w:h="253" w:hRule="exact" w:wrap="none" w:vAnchor="page" w:hAnchor="page" w:x="55" w:y="519"/>
        <w:shd w:val="clear" w:color="auto" w:fill="auto"/>
        <w:ind w:firstLine="0"/>
      </w:pPr>
      <w:r>
        <w:rPr>
          <w:rStyle w:val="Bodytext30"/>
          <w:b/>
          <w:bCs/>
        </w:rPr>
        <w:t>íergy</w:t>
      </w:r>
    </w:p>
    <w:p w:rsidR="00847CB0" w:rsidRDefault="00847CB0">
      <w:pPr>
        <w:pStyle w:val="Bodytext21"/>
        <w:framePr w:wrap="none" w:vAnchor="page" w:hAnchor="page" w:x="3458" w:y="370"/>
        <w:shd w:val="clear" w:color="auto" w:fill="auto"/>
        <w:ind w:firstLine="0"/>
      </w:pPr>
      <w:r>
        <w:t>LW 20161021137</w:t>
      </w:r>
    </w:p>
    <w:p w:rsidR="00847CB0" w:rsidRDefault="00847CB0">
      <w:pPr>
        <w:pStyle w:val="Bodytext21"/>
        <w:framePr w:wrap="none" w:vAnchor="page" w:hAnchor="page" w:x="948" w:y="797"/>
        <w:shd w:val="clear" w:color="auto" w:fill="auto"/>
        <w:ind w:firstLine="0"/>
      </w:pPr>
      <w:r>
        <w:t>ÍSLO SMLOUVY ZÁKAZNÍKA:</w:t>
      </w:r>
    </w:p>
    <w:p w:rsidR="00847CB0" w:rsidRDefault="00847CB0">
      <w:pPr>
        <w:framePr w:wrap="none" w:vAnchor="page" w:hAnchor="page" w:x="10082" w:y="24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>
            <v:imagedata r:id="rId7" r:href="rId8"/>
          </v:shape>
        </w:pict>
      </w:r>
    </w:p>
    <w:p w:rsidR="00847CB0" w:rsidRDefault="00847CB0">
      <w:pPr>
        <w:pStyle w:val="Heading11"/>
        <w:framePr w:wrap="none" w:vAnchor="page" w:hAnchor="page" w:x="9439" w:y="618"/>
        <w:shd w:val="clear" w:color="auto" w:fill="auto"/>
      </w:pPr>
      <w:bookmarkStart w:id="0" w:name="bookmark0"/>
      <w:r>
        <w:t xml:space="preserve">enwox </w:t>
      </w:r>
      <w:r>
        <w:rPr>
          <w:rStyle w:val="Heading10"/>
          <w:b/>
          <w:bCs/>
        </w:rPr>
        <w:t>energy</w:t>
      </w:r>
      <w:bookmarkEnd w:id="0"/>
    </w:p>
    <w:p w:rsidR="00847CB0" w:rsidRDefault="00847CB0">
      <w:pPr>
        <w:pStyle w:val="Bodytext41"/>
        <w:framePr w:w="10546" w:h="460" w:hRule="exact" w:wrap="none" w:vAnchor="page" w:hAnchor="page" w:x="814" w:y="1061"/>
        <w:shd w:val="clear" w:color="auto" w:fill="auto"/>
        <w:spacing w:after="155"/>
        <w:ind w:left="460"/>
      </w:pPr>
      <w:r>
        <w:rPr>
          <w:rStyle w:val="Bodytext40"/>
        </w:rPr>
        <w:t xml:space="preserve">, </w:t>
      </w:r>
      <w:r>
        <w:rPr>
          <w:rStyle w:val="Bodytext40"/>
          <w:vertAlign w:val="subscript"/>
        </w:rPr>
        <w:t>á4 D</w:t>
      </w:r>
      <w:r>
        <w:rPr>
          <w:rStyle w:val="Bodytext40"/>
        </w:rPr>
        <w:t>it CZ02639S64</w:t>
      </w:r>
    </w:p>
    <w:p w:rsidR="00847CB0" w:rsidRDefault="00847CB0">
      <w:pPr>
        <w:pStyle w:val="Bodytext31"/>
        <w:framePr w:w="10546" w:h="460" w:hRule="exact" w:wrap="none" w:vAnchor="page" w:hAnchor="page" w:x="814" w:y="1061"/>
        <w:shd w:val="clear" w:color="auto" w:fill="auto"/>
        <w:ind w:left="320"/>
        <w:jc w:val="both"/>
      </w:pPr>
      <w:r>
        <w:rPr>
          <w:rStyle w:val="Bodytext32"/>
          <w:b/>
          <w:bCs/>
        </w:rPr>
        <w:t>SMLOUVA O SDRUŽENÝCH SLUŽBÁCH DODÁVKY ZEMNÍHO PLYNU ZÁKAZNÍKOVI V KATEGORII STŘEDOODBĚR</w:t>
      </w:r>
    </w:p>
    <w:p w:rsidR="00847CB0" w:rsidRDefault="00847CB0">
      <w:pPr>
        <w:pStyle w:val="Tablecaption21"/>
        <w:framePr w:w="10277" w:h="1142" w:hRule="exact" w:wrap="none" w:vAnchor="page" w:hAnchor="page" w:x="838" w:y="1704"/>
        <w:shd w:val="clear" w:color="auto" w:fill="auto"/>
      </w:pPr>
      <w:r>
        <w:rPr>
          <w:rStyle w:val="Tablecaption20"/>
          <w:b/>
          <w:bCs/>
        </w:rPr>
        <w:t>Smluvní strany:</w:t>
      </w:r>
    </w:p>
    <w:p w:rsidR="00847CB0" w:rsidRDefault="00847CB0">
      <w:pPr>
        <w:pStyle w:val="Tablecaption21"/>
        <w:framePr w:w="10277" w:h="1142" w:hRule="exact" w:wrap="none" w:vAnchor="page" w:hAnchor="page" w:x="838" w:y="1704"/>
        <w:shd w:val="clear" w:color="auto" w:fill="auto"/>
      </w:pPr>
      <w:r>
        <w:t>ENWOX ENERGY s.r.o.</w:t>
      </w:r>
    </w:p>
    <w:p w:rsidR="00847CB0" w:rsidRDefault="00847CB0">
      <w:pPr>
        <w:pStyle w:val="Tablecaption1"/>
        <w:framePr w:w="10277" w:h="1142" w:hRule="exact" w:wrap="none" w:vAnchor="page" w:hAnchor="page" w:x="838" w:y="1704"/>
        <w:shd w:val="clear" w:color="auto" w:fill="auto"/>
        <w:tabs>
          <w:tab w:val="left" w:leader="underscore" w:pos="10248"/>
        </w:tabs>
      </w:pPr>
      <w:r>
        <w:t xml:space="preserve">se sídlem </w:t>
      </w:r>
      <w:r>
        <w:rPr>
          <w:lang w:val="en-US" w:eastAsia="en-US"/>
        </w:rPr>
        <w:t xml:space="preserve">Denisova </w:t>
      </w:r>
      <w:r>
        <w:t xml:space="preserve">639/2, Moravská Ostrava, 70200, Ostrava; zapsaná v obchodním rejstříku vedeném Krajským soudem v Ostravě, sp. zn. C 58294; Licence na obchod se zemním plynem č.: 241432589; IČ: 02639564; DIČ: CZ02639564; jednající jednatelem Zdeňkem Sobkem; </w:t>
      </w:r>
      <w:r>
        <w:rPr>
          <w:rStyle w:val="Tablecaption0"/>
        </w:rPr>
        <w:t>Bankovní spojení: Československá obchodní banka s číslem účtu: 263687705/0300</w:t>
      </w:r>
      <w:r>
        <w:tab/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1704"/>
        <w:gridCol w:w="566"/>
        <w:gridCol w:w="1133"/>
        <w:gridCol w:w="710"/>
        <w:gridCol w:w="4138"/>
      </w:tblGrid>
      <w:tr w:rsidR="00847C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CB0" w:rsidRDefault="00847CB0">
            <w:pPr>
              <w:pStyle w:val="Bodytext21"/>
              <w:framePr w:w="10536" w:h="686" w:wrap="none" w:vAnchor="page" w:hAnchor="page" w:x="823" w:y="2827"/>
              <w:shd w:val="clear" w:color="auto" w:fill="auto"/>
              <w:spacing w:line="146" w:lineRule="exact"/>
              <w:ind w:firstLine="0"/>
            </w:pPr>
            <w:r>
              <w:rPr>
                <w:rStyle w:val="Bodytext275pt"/>
              </w:rPr>
              <w:t>Kontaktní osoba: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CB0" w:rsidRDefault="00847CB0">
            <w:pPr>
              <w:pStyle w:val="Bodytext21"/>
              <w:framePr w:w="10536" w:h="686" w:wrap="none" w:vAnchor="page" w:hAnchor="page" w:x="823" w:y="2827"/>
              <w:shd w:val="clear" w:color="auto" w:fill="auto"/>
              <w:spacing w:line="146" w:lineRule="exact"/>
              <w:ind w:firstLine="0"/>
            </w:pPr>
            <w:r>
              <w:rPr>
                <w:rStyle w:val="Bodytext275pt"/>
              </w:rPr>
              <w:t>Radka Matušincová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CB0" w:rsidRDefault="00847CB0">
            <w:pPr>
              <w:pStyle w:val="Bodytext21"/>
              <w:framePr w:w="10536" w:h="686" w:wrap="none" w:vAnchor="page" w:hAnchor="page" w:x="823" w:y="2827"/>
              <w:shd w:val="clear" w:color="auto" w:fill="auto"/>
              <w:spacing w:line="146" w:lineRule="exact"/>
              <w:ind w:firstLine="0"/>
            </w:pPr>
            <w:r>
              <w:rPr>
                <w:rStyle w:val="Bodytext275pt"/>
              </w:rPr>
              <w:t>Tel.: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CB0" w:rsidRDefault="00847CB0">
            <w:pPr>
              <w:pStyle w:val="Bodytext21"/>
              <w:framePr w:w="10536" w:h="686" w:wrap="none" w:vAnchor="page" w:hAnchor="page" w:x="823" w:y="2827"/>
              <w:shd w:val="clear" w:color="auto" w:fill="auto"/>
              <w:spacing w:line="146" w:lineRule="exact"/>
              <w:ind w:firstLine="0"/>
            </w:pPr>
            <w:r>
              <w:rPr>
                <w:rStyle w:val="Bodytext275pt"/>
              </w:rPr>
              <w:t>840 440 440;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CB0" w:rsidRDefault="00847CB0">
            <w:pPr>
              <w:pStyle w:val="Bodytext21"/>
              <w:framePr w:w="10536" w:h="686" w:wrap="none" w:vAnchor="page" w:hAnchor="page" w:x="823" w:y="2827"/>
              <w:shd w:val="clear" w:color="auto" w:fill="auto"/>
              <w:spacing w:line="146" w:lineRule="exact"/>
              <w:ind w:firstLine="0"/>
            </w:pPr>
            <w:r>
              <w:rPr>
                <w:rStyle w:val="Bodytext275pt"/>
              </w:rPr>
              <w:t>E-mail: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CB0" w:rsidRDefault="00847CB0">
            <w:pPr>
              <w:pStyle w:val="Bodytext21"/>
              <w:framePr w:w="10536" w:h="686" w:wrap="none" w:vAnchor="page" w:hAnchor="page" w:x="823" w:y="2827"/>
              <w:shd w:val="clear" w:color="auto" w:fill="auto"/>
              <w:spacing w:line="146" w:lineRule="exact"/>
              <w:ind w:firstLine="0"/>
            </w:pPr>
            <w:r>
              <w:rPr>
                <w:rStyle w:val="Bodytext275pt2"/>
              </w:rPr>
              <w:t xml:space="preserve">info(5&gt;enwox.cz </w:t>
            </w:r>
            <w:r>
              <w:rPr>
                <w:rStyle w:val="Bodytext275pt"/>
              </w:rPr>
              <w:t xml:space="preserve">nebo </w:t>
            </w:r>
            <w:hyperlink r:id="rId9" w:history="1">
              <w:r>
                <w:rPr>
                  <w:rStyle w:val="Bodytext275pt"/>
                  <w:lang w:val="en-US" w:eastAsia="en-US"/>
                </w:rPr>
                <w:t>radka.matusincova@enwox.cz</w:t>
              </w:r>
            </w:hyperlink>
          </w:p>
        </w:tc>
      </w:tr>
      <w:tr w:rsidR="00847CB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CB0" w:rsidRDefault="00847CB0">
            <w:pPr>
              <w:framePr w:w="10536" w:h="686" w:wrap="none" w:vAnchor="page" w:hAnchor="page" w:x="823" w:y="282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CB0" w:rsidRDefault="00847CB0">
            <w:pPr>
              <w:framePr w:w="10536" w:h="686" w:wrap="none" w:vAnchor="page" w:hAnchor="page" w:x="823" w:y="2827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CB0" w:rsidRDefault="00847CB0">
            <w:pPr>
              <w:framePr w:w="10536" w:h="686" w:wrap="none" w:vAnchor="page" w:hAnchor="page" w:x="823" w:y="282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CB0" w:rsidRDefault="00847CB0">
            <w:pPr>
              <w:pStyle w:val="Bodytext21"/>
              <w:framePr w:w="10536" w:h="686" w:wrap="none" w:vAnchor="page" w:hAnchor="page" w:x="823" w:y="2827"/>
              <w:shd w:val="clear" w:color="auto" w:fill="auto"/>
              <w:spacing w:line="146" w:lineRule="exact"/>
              <w:ind w:firstLine="0"/>
            </w:pPr>
            <w:r>
              <w:rPr>
                <w:rStyle w:val="Bodytext275pt"/>
              </w:rPr>
              <w:t>778 736 017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CB0" w:rsidRDefault="00847CB0">
            <w:pPr>
              <w:framePr w:w="10536" w:h="686" w:wrap="none" w:vAnchor="page" w:hAnchor="page" w:x="823" w:y="2827"/>
              <w:rPr>
                <w:sz w:val="10"/>
                <w:szCs w:val="10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CB0" w:rsidRDefault="00847CB0">
            <w:pPr>
              <w:framePr w:w="10536" w:h="686" w:wrap="none" w:vAnchor="page" w:hAnchor="page" w:x="823" w:y="2827"/>
              <w:rPr>
                <w:sz w:val="10"/>
                <w:szCs w:val="10"/>
              </w:rPr>
            </w:pPr>
          </w:p>
        </w:tc>
      </w:tr>
    </w:tbl>
    <w:p w:rsidR="00847CB0" w:rsidRDefault="00847CB0">
      <w:pPr>
        <w:pStyle w:val="Tablecaption1"/>
        <w:framePr w:wrap="none" w:vAnchor="page" w:hAnchor="page" w:x="881" w:y="3514"/>
        <w:shd w:val="clear" w:color="auto" w:fill="auto"/>
        <w:spacing w:line="168" w:lineRule="exact"/>
        <w:jc w:val="left"/>
      </w:pPr>
      <w:r>
        <w:t xml:space="preserve">(dále jen </w:t>
      </w:r>
      <w:r>
        <w:rPr>
          <w:rStyle w:val="TablecaptionBold"/>
        </w:rPr>
        <w:t xml:space="preserve">„Dodavatel" </w:t>
      </w:r>
      <w:r>
        <w:t xml:space="preserve">nebo také jako </w:t>
      </w:r>
      <w:r>
        <w:rPr>
          <w:rStyle w:val="TablecaptionBold"/>
        </w:rPr>
        <w:t>„Obchodník")</w:t>
      </w:r>
    </w:p>
    <w:p w:rsidR="00847CB0" w:rsidRDefault="00847CB0">
      <w:pPr>
        <w:pStyle w:val="Heading21"/>
        <w:framePr w:w="10546" w:h="774" w:hRule="exact" w:wrap="none" w:vAnchor="page" w:hAnchor="page" w:x="814" w:y="3878"/>
        <w:shd w:val="clear" w:color="auto" w:fill="auto"/>
        <w:spacing w:before="0" w:after="173"/>
        <w:ind w:left="320"/>
      </w:pPr>
      <w:bookmarkStart w:id="1" w:name="bookmark1"/>
      <w:r>
        <w:t>a</w:t>
      </w:r>
      <w:bookmarkEnd w:id="1"/>
    </w:p>
    <w:p w:rsidR="00847CB0" w:rsidRDefault="00847CB0">
      <w:pPr>
        <w:pStyle w:val="Bodytext21"/>
        <w:framePr w:w="10546" w:h="774" w:hRule="exact" w:wrap="none" w:vAnchor="page" w:hAnchor="page" w:x="814" w:y="3878"/>
        <w:shd w:val="clear" w:color="auto" w:fill="auto"/>
        <w:spacing w:line="202" w:lineRule="exact"/>
        <w:ind w:firstLine="0"/>
      </w:pPr>
      <w:r>
        <w:rPr>
          <w:rStyle w:val="Bodytext210pt"/>
        </w:rPr>
        <w:t xml:space="preserve">Statutární město Ostrava, </w:t>
      </w:r>
      <w:r>
        <w:t xml:space="preserve">se sídlem Prokešovo náměstí 1803/8, 729 30 Ostrava-Moravská Ostrava; IČ:00845451, DIČ:CZ00845451 </w:t>
      </w:r>
      <w:r>
        <w:rPr>
          <w:rStyle w:val="Bodytext275pt1"/>
        </w:rPr>
        <w:t>Příjemce (zasílací adresa):</w:t>
      </w:r>
    </w:p>
    <w:p w:rsidR="00847CB0" w:rsidRDefault="00847CB0">
      <w:pPr>
        <w:pStyle w:val="Tablecaption21"/>
        <w:framePr w:wrap="none" w:vAnchor="page" w:hAnchor="page" w:x="828" w:y="4786"/>
        <w:shd w:val="clear" w:color="auto" w:fill="auto"/>
        <w:spacing w:line="168" w:lineRule="exact"/>
        <w:jc w:val="left"/>
      </w:pPr>
      <w:r>
        <w:rPr>
          <w:rStyle w:val="Tablecaption22"/>
          <w:b/>
          <w:bCs/>
        </w:rPr>
        <w:t>Středisko volného času, Ostrava - Zábřeh, příspěvková organizace</w:t>
      </w: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46"/>
        <w:gridCol w:w="3557"/>
        <w:gridCol w:w="1805"/>
        <w:gridCol w:w="2659"/>
      </w:tblGrid>
      <w:tr w:rsidR="00847C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Sídlo: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Gurtjevova 1823/8, 700 30 Ostrava - Zábřeh</w:t>
            </w:r>
          </w:p>
        </w:tc>
      </w:tr>
      <w:tr w:rsidR="00847CB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Jednající / Zastoupená: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Bc. David Střelák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Kontaktní osoba: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Bc. David Střelák</w:t>
            </w:r>
          </w:p>
        </w:tc>
      </w:tr>
      <w:tr w:rsidR="00847CB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Telefonický kontakt: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+420739218326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E-mail: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hyperlink r:id="rId10" w:history="1">
              <w:r>
                <w:rPr>
                  <w:rStyle w:val="Bodytext20"/>
                  <w:lang w:val="en-US" w:eastAsia="en-US"/>
                </w:rPr>
                <w:t>david.strelak@svczabreh.cz</w:t>
              </w:r>
            </w:hyperlink>
          </w:p>
        </w:tc>
      </w:tr>
      <w:tr w:rsidR="00847CB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Bankovní spojení: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Komerční banka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Číslo účtu: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CB0" w:rsidRDefault="00847CB0">
            <w:pPr>
              <w:pStyle w:val="Bodytext21"/>
              <w:framePr w:w="10267" w:h="941" w:wrap="none" w:vAnchor="page" w:hAnchor="page" w:x="818" w:y="4992"/>
              <w:shd w:val="clear" w:color="auto" w:fill="auto"/>
              <w:ind w:firstLine="0"/>
            </w:pPr>
            <w:r>
              <w:rPr>
                <w:rStyle w:val="Bodytext20"/>
              </w:rPr>
              <w:t>35-7194750257/0100</w:t>
            </w:r>
          </w:p>
        </w:tc>
      </w:tr>
    </w:tbl>
    <w:p w:rsidR="00847CB0" w:rsidRDefault="00847CB0">
      <w:pPr>
        <w:pStyle w:val="Tablecaption21"/>
        <w:framePr w:w="3278" w:h="503" w:hRule="exact" w:wrap="none" w:vAnchor="page" w:hAnchor="page" w:x="833" w:y="5892"/>
        <w:shd w:val="clear" w:color="auto" w:fill="auto"/>
        <w:spacing w:line="226" w:lineRule="exact"/>
      </w:pPr>
      <w:r>
        <w:rPr>
          <w:rStyle w:val="Tablecaption2NotBold"/>
        </w:rPr>
        <w:t xml:space="preserve">(dále jen </w:t>
      </w:r>
      <w:r>
        <w:t xml:space="preserve">"Zákazník" </w:t>
      </w:r>
      <w:r>
        <w:rPr>
          <w:rStyle w:val="Tablecaption2NotBold"/>
        </w:rPr>
        <w:t xml:space="preserve">nebo jako </w:t>
      </w:r>
      <w:r>
        <w:t xml:space="preserve">„Odběratel") </w:t>
      </w:r>
      <w:r>
        <w:rPr>
          <w:rStyle w:val="Tablecaption2NotBold"/>
        </w:rPr>
        <w:t xml:space="preserve">(dále také jako </w:t>
      </w:r>
      <w:r>
        <w:t>„Smluvní strany")</w:t>
      </w:r>
    </w:p>
    <w:p w:rsidR="00847CB0" w:rsidRDefault="00847CB0">
      <w:pPr>
        <w:pStyle w:val="Bodytext21"/>
        <w:framePr w:w="10546" w:h="9392" w:hRule="exact" w:wrap="none" w:vAnchor="page" w:hAnchor="page" w:x="814" w:y="6581"/>
        <w:shd w:val="clear" w:color="auto" w:fill="auto"/>
        <w:ind w:left="320"/>
        <w:jc w:val="both"/>
      </w:pPr>
      <w:r>
        <w:t>uzavírají podle zákona č. 89/2012 Sb., občanský zákoník, a zákona č. 458/2000 Sb., energetický zákon (dále jen EZ), obou pak v účinném znění,</w:t>
      </w:r>
    </w:p>
    <w:p w:rsidR="00847CB0" w:rsidRDefault="00847CB0">
      <w:pPr>
        <w:pStyle w:val="Bodytext21"/>
        <w:framePr w:w="10546" w:h="9392" w:hRule="exact" w:wrap="none" w:vAnchor="page" w:hAnchor="page" w:x="814" w:y="6581"/>
        <w:shd w:val="clear" w:color="auto" w:fill="auto"/>
        <w:spacing w:after="162"/>
        <w:ind w:left="320"/>
        <w:jc w:val="both"/>
      </w:pPr>
      <w:r>
        <w:t>tuto smlouvu:</w:t>
      </w:r>
    </w:p>
    <w:p w:rsidR="00847CB0" w:rsidRDefault="00847CB0">
      <w:pPr>
        <w:pStyle w:val="Bodytext51"/>
        <w:framePr w:w="10546" w:h="9392" w:hRule="exact" w:wrap="none" w:vAnchor="page" w:hAnchor="page" w:x="814" w:y="6581"/>
        <w:shd w:val="clear" w:color="auto" w:fill="auto"/>
        <w:spacing w:before="0"/>
        <w:ind w:left="320"/>
      </w:pPr>
      <w:r>
        <w:rPr>
          <w:rStyle w:val="Bodytext50"/>
          <w:b/>
          <w:bCs/>
        </w:rPr>
        <w:t>ČLÁNEK I. - Předmět Smlouvy</w:t>
      </w:r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1"/>
        </w:numPr>
        <w:shd w:val="clear" w:color="auto" w:fill="auto"/>
        <w:tabs>
          <w:tab w:val="left" w:pos="284"/>
        </w:tabs>
        <w:spacing w:line="216" w:lineRule="exact"/>
        <w:ind w:left="320"/>
        <w:jc w:val="both"/>
      </w:pPr>
      <w:r>
        <w:t>Předmětem plnění této smlouvy ze strany dodavatele je dodat odběrateli plyn a zajistit na vlastní účet službu distribuce plynu.</w:t>
      </w:r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1"/>
        </w:numPr>
        <w:shd w:val="clear" w:color="auto" w:fill="auto"/>
        <w:tabs>
          <w:tab w:val="left" w:pos="284"/>
        </w:tabs>
        <w:spacing w:line="216" w:lineRule="exact"/>
        <w:ind w:left="320"/>
        <w:jc w:val="both"/>
      </w:pPr>
      <w:r>
        <w:t>Předmětem plnění této smlouvy je dále přenesení odpovědnosti za odchylku na dodavatele.</w:t>
      </w:r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1"/>
        </w:numPr>
        <w:shd w:val="clear" w:color="auto" w:fill="auto"/>
        <w:tabs>
          <w:tab w:val="left" w:pos="284"/>
        </w:tabs>
        <w:spacing w:line="216" w:lineRule="exact"/>
        <w:ind w:left="320" w:right="300"/>
        <w:jc w:val="both"/>
      </w:pPr>
      <w:r>
        <w:t>Předmětem plnění smlouvy ze strany odběratele je zaplatit cenu za dodávku plynu a zaplatit cenu za distribuci plynu uplatněnou v souladu s cenovou regulací.</w:t>
      </w:r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1"/>
        </w:numPr>
        <w:shd w:val="clear" w:color="auto" w:fill="auto"/>
        <w:tabs>
          <w:tab w:val="left" w:pos="284"/>
        </w:tabs>
        <w:spacing w:line="216" w:lineRule="exact"/>
        <w:ind w:left="320" w:right="300"/>
        <w:jc w:val="both"/>
      </w:pPr>
      <w:r>
        <w:t>Odběratel prohlašuje, že pro předmětná odběrná místa má s místně příslušným provozovatelem distribuční soustavy uzavřenu platnou smlouvu o připojení. Neuzavření smlouvy o připojení je podstatným porušením smlouvy.</w:t>
      </w:r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1"/>
        </w:numPr>
        <w:shd w:val="clear" w:color="auto" w:fill="auto"/>
        <w:tabs>
          <w:tab w:val="left" w:pos="284"/>
        </w:tabs>
        <w:spacing w:after="220" w:line="216" w:lineRule="exact"/>
        <w:ind w:left="320" w:right="300"/>
        <w:jc w:val="both"/>
      </w:pPr>
      <w:r>
        <w:t>Odběratel prohlašuje, že veškeré údaje o odběrných místech poskytnuté dodavateli jsou plně v souladu se smlouvou o připojení. V případě uvedení odlišných údajů bere odběratel na vědomí, že dodavatel je povinen se řídit údaji poskytnutými příslušným provozovatelem distribuční soustavy.</w:t>
      </w:r>
    </w:p>
    <w:p w:rsidR="00847CB0" w:rsidRDefault="00847CB0">
      <w:pPr>
        <w:pStyle w:val="Heading21"/>
        <w:framePr w:w="10546" w:h="9392" w:hRule="exact" w:wrap="none" w:vAnchor="page" w:hAnchor="page" w:x="814" w:y="6581"/>
        <w:shd w:val="clear" w:color="auto" w:fill="auto"/>
        <w:spacing w:before="0" w:after="0" w:line="216" w:lineRule="exact"/>
        <w:ind w:left="320"/>
      </w:pPr>
      <w:bookmarkStart w:id="2" w:name="bookmark2"/>
      <w:r>
        <w:rPr>
          <w:rStyle w:val="Heading20"/>
          <w:b/>
          <w:bCs/>
        </w:rPr>
        <w:t>ČLÁNEK II. - Dodávka plynu</w:t>
      </w:r>
      <w:bookmarkEnd w:id="2"/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2"/>
        </w:numPr>
        <w:shd w:val="clear" w:color="auto" w:fill="auto"/>
        <w:tabs>
          <w:tab w:val="left" w:pos="284"/>
        </w:tabs>
        <w:spacing w:line="216" w:lineRule="exact"/>
        <w:ind w:left="320" w:right="300"/>
        <w:jc w:val="both"/>
      </w:pPr>
      <w:r>
        <w:t>Dodávku plynu plní dodavatel jeho předáním do odběrných míst odběratele specifikovaných v Příloze č. 1, která je nedílnou součástí této smlouvy.</w:t>
      </w:r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2"/>
        </w:numPr>
        <w:shd w:val="clear" w:color="auto" w:fill="auto"/>
        <w:tabs>
          <w:tab w:val="left" w:pos="284"/>
        </w:tabs>
        <w:spacing w:line="216" w:lineRule="exact"/>
        <w:ind w:left="320" w:right="300"/>
        <w:jc w:val="both"/>
      </w:pPr>
      <w:r>
        <w:t xml:space="preserve">Dodávka plynu do odběrných míst odběratele bude zahájena dne </w:t>
      </w:r>
      <w:r>
        <w:rPr>
          <w:rStyle w:val="Bodytext2Bold"/>
        </w:rPr>
        <w:t xml:space="preserve">1.1. 2017 v 6:00:00 hodin. </w:t>
      </w:r>
      <w:r>
        <w:t>Pokud nedojde k potvrzení tohoto termínu zahájení dodávky v systému OTE, a.s. ze strany příslušného provozovatele distribuční soustavy (PDS), a to z důvodů spočívajících na straně odběratele, bude dodávka plynu do odběrných míst odběratele zahájena k nejbližšímu možnému termínu, který bude akceptován PDS.</w:t>
      </w:r>
    </w:p>
    <w:p w:rsidR="00847CB0" w:rsidRDefault="00847CB0">
      <w:pPr>
        <w:pStyle w:val="Bodytext51"/>
        <w:framePr w:w="10546" w:h="9392" w:hRule="exact" w:wrap="none" w:vAnchor="page" w:hAnchor="page" w:x="814" w:y="6581"/>
        <w:numPr>
          <w:ilvl w:val="0"/>
          <w:numId w:val="2"/>
        </w:numPr>
        <w:shd w:val="clear" w:color="auto" w:fill="auto"/>
        <w:tabs>
          <w:tab w:val="left" w:pos="284"/>
        </w:tabs>
        <w:spacing w:before="0"/>
        <w:ind w:left="320" w:right="300"/>
      </w:pPr>
      <w:r>
        <w:rPr>
          <w:rStyle w:val="Bodytext5NotBold"/>
        </w:rPr>
        <w:t xml:space="preserve">V případě mimořádných změn odběru oproti hodnotám uvedeným v Příloze č. 1, které odebírané množství změní o více než 20 </w:t>
      </w:r>
      <w:r>
        <w:rPr>
          <w:rStyle w:val="Bodytext5VAGRoundedBT"/>
        </w:rPr>
        <w:t>%</w:t>
      </w:r>
      <w:r>
        <w:rPr>
          <w:rStyle w:val="Bodytext5NotBold"/>
        </w:rPr>
        <w:t xml:space="preserve"> oproti oznámenému průběhu spotřeby, </w:t>
      </w:r>
      <w:r>
        <w:t>je odběratel povinen o této změně informovat dodavatele prostřednictvím kontaktní osoby pro technické informace uvedené v Příloze č. 3 - Seznam kontaktních osob.</w:t>
      </w:r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2"/>
        </w:numPr>
        <w:shd w:val="clear" w:color="auto" w:fill="auto"/>
        <w:tabs>
          <w:tab w:val="left" w:pos="284"/>
        </w:tabs>
        <w:spacing w:after="220" w:line="216" w:lineRule="exact"/>
        <w:ind w:left="320" w:right="300"/>
        <w:jc w:val="both"/>
      </w:pPr>
      <w:r>
        <w:t>V případě změn či požadavků na změnu technických parametrů odběru je odběratel povinen oznámit tuto skutečnost nejméně jeden pracovní den před termínem stanoveným pro takovou změnu ve vyhlášce č. 249/2015 Sb. v účinném znění či v jiném pro tuto změnu aplikovatelném právním předpisu V případě nesplnění této povinnosti odběratelem, nenese dodavatel odpovědnost za škodu, která neprovedením takové změny odběrateli vznikne.</w:t>
      </w:r>
    </w:p>
    <w:p w:rsidR="00847CB0" w:rsidRDefault="00847CB0">
      <w:pPr>
        <w:pStyle w:val="Heading21"/>
        <w:framePr w:w="10546" w:h="9392" w:hRule="exact" w:wrap="none" w:vAnchor="page" w:hAnchor="page" w:x="814" w:y="6581"/>
        <w:shd w:val="clear" w:color="auto" w:fill="auto"/>
        <w:spacing w:before="0" w:after="0" w:line="216" w:lineRule="exact"/>
        <w:ind w:left="320"/>
      </w:pPr>
      <w:bookmarkStart w:id="3" w:name="bookmark3"/>
      <w:r>
        <w:rPr>
          <w:rStyle w:val="Heading20"/>
          <w:b/>
          <w:bCs/>
        </w:rPr>
        <w:t xml:space="preserve">ČLÁNEK </w:t>
      </w:r>
      <w:r>
        <w:rPr>
          <w:rStyle w:val="Heading20"/>
          <w:b/>
          <w:bCs/>
          <w:lang w:val="en-US" w:eastAsia="en-US"/>
        </w:rPr>
        <w:t xml:space="preserve">III. </w:t>
      </w:r>
      <w:r>
        <w:rPr>
          <w:rStyle w:val="Heading20"/>
          <w:b/>
          <w:bCs/>
        </w:rPr>
        <w:t>- Cena plnění</w:t>
      </w:r>
      <w:bookmarkEnd w:id="3"/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3"/>
        </w:numPr>
        <w:shd w:val="clear" w:color="auto" w:fill="auto"/>
        <w:tabs>
          <w:tab w:val="left" w:pos="284"/>
        </w:tabs>
        <w:spacing w:line="216" w:lineRule="exact"/>
        <w:ind w:left="320" w:right="300"/>
        <w:jc w:val="both"/>
      </w:pPr>
      <w:r>
        <w:t>Cena za dodaný plyn se určí jako součin skutečně odebraného množství zemního plynu v příslušném zúčtovacím období a smluvní jednotkové ceny za plyn uvedené níže, která je stanovena jako cena pevná a neměnná po dobu platnosti této smlouvy pro kategorii středního odběru.</w:t>
      </w:r>
    </w:p>
    <w:p w:rsidR="00847CB0" w:rsidRDefault="00847CB0">
      <w:pPr>
        <w:pStyle w:val="Heading21"/>
        <w:framePr w:w="10546" w:h="9392" w:hRule="exact" w:wrap="none" w:vAnchor="page" w:hAnchor="page" w:x="814" w:y="6581"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16" w:lineRule="exact"/>
        <w:ind w:left="320"/>
      </w:pPr>
      <w:bookmarkStart w:id="4" w:name="bookmark4"/>
      <w:r>
        <w:t>Jednotková cena za dodaný plyn je sjednána smluvně ve výši bez DPH: = 391,- Kč/MWh.</w:t>
      </w:r>
      <w:bookmarkEnd w:id="4"/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3"/>
        </w:numPr>
        <w:shd w:val="clear" w:color="auto" w:fill="auto"/>
        <w:tabs>
          <w:tab w:val="left" w:pos="284"/>
        </w:tabs>
        <w:spacing w:line="216" w:lineRule="exact"/>
        <w:ind w:left="320" w:right="300"/>
        <w:jc w:val="both"/>
      </w:pPr>
      <w:r>
        <w:t>Cena je konečná, zahrnuje cenu za komoditu, pevnou cenu přepravy a pevnou cenu strukturování. Nezahrnuje cenu za služby distribuce a další regulované služby.</w:t>
      </w:r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3"/>
        </w:numPr>
        <w:shd w:val="clear" w:color="auto" w:fill="auto"/>
        <w:tabs>
          <w:tab w:val="left" w:pos="284"/>
        </w:tabs>
        <w:spacing w:line="216" w:lineRule="exact"/>
        <w:ind w:left="320" w:right="300"/>
        <w:jc w:val="both"/>
      </w:pPr>
      <w:r>
        <w:t>Cena za službu distribuce, tj. cena za přepravu plynu, cena za distribuci plynu a cena za služby operátora trhu je určena v souladu s právními předpisy.</w:t>
      </w:r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3"/>
        </w:numPr>
        <w:shd w:val="clear" w:color="auto" w:fill="auto"/>
        <w:tabs>
          <w:tab w:val="left" w:pos="284"/>
        </w:tabs>
        <w:spacing w:line="216" w:lineRule="exact"/>
        <w:ind w:left="320" w:right="300"/>
        <w:jc w:val="both"/>
      </w:pPr>
      <w:r>
        <w:t>V případě překročení nebo nedočerpání smluvené spotřeby plynu za stanovené období nebude dodavatel účtovat odběrateli žádné pokuty či sankce s výjimkou případů předčasného ukončení smlouvy, které je upraveno níže.</w:t>
      </w:r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3"/>
        </w:numPr>
        <w:shd w:val="clear" w:color="auto" w:fill="auto"/>
        <w:tabs>
          <w:tab w:val="left" w:pos="284"/>
        </w:tabs>
        <w:spacing w:line="216" w:lineRule="exact"/>
        <w:ind w:left="320" w:right="300"/>
        <w:jc w:val="both"/>
      </w:pPr>
      <w:r>
        <w:t>Pokud se v době platnosti této smlouvy změní cenová rozhodnutí ERÚ, z nichž vychází ujednání této smlouvy o ceně plnění, pak je dodavatel povinen v těchto cenách i účtovat. S tímto případným postupem je odběratel srozuměn, nemá proti němu námitek a zavazuje se hradit dodavateli cenu plnění plně v souladu s příslušnými právními předpisy.</w:t>
      </w:r>
    </w:p>
    <w:p w:rsidR="00847CB0" w:rsidRDefault="00847CB0">
      <w:pPr>
        <w:pStyle w:val="Bodytext21"/>
        <w:framePr w:w="10546" w:h="9392" w:hRule="exact" w:wrap="none" w:vAnchor="page" w:hAnchor="page" w:x="814" w:y="6581"/>
        <w:numPr>
          <w:ilvl w:val="0"/>
          <w:numId w:val="3"/>
        </w:numPr>
        <w:shd w:val="clear" w:color="auto" w:fill="auto"/>
        <w:tabs>
          <w:tab w:val="left" w:pos="284"/>
        </w:tabs>
        <w:spacing w:line="216" w:lineRule="exact"/>
        <w:ind w:left="320"/>
        <w:jc w:val="both"/>
      </w:pPr>
      <w:r>
        <w:t>K cenám uvedeným v předchozích odstavcích tohoto článku se připočítává daň z přidané hodnoty podle zákona č. 235/2004 Sb.</w:t>
      </w:r>
    </w:p>
    <w:p w:rsidR="00847CB0" w:rsidRDefault="00847CB0">
      <w:pPr>
        <w:pStyle w:val="Bodytext60"/>
        <w:framePr w:wrap="none" w:vAnchor="page" w:hAnchor="page" w:x="814" w:y="16203"/>
        <w:shd w:val="clear" w:color="auto" w:fill="auto"/>
        <w:spacing w:before="0"/>
        <w:ind w:left="9700"/>
      </w:pPr>
      <w:r>
        <w:t>Strana 1/4</w:t>
      </w:r>
    </w:p>
    <w:p w:rsidR="00847CB0" w:rsidRDefault="00847CB0">
      <w:pPr>
        <w:rPr>
          <w:sz w:val="2"/>
          <w:szCs w:val="2"/>
        </w:rPr>
      </w:pPr>
    </w:p>
    <w:sectPr w:rsidR="00847CB0" w:rsidSect="009A772B">
      <w:pgSz w:w="11900" w:h="16840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CB0" w:rsidRDefault="00847CB0" w:rsidP="009A772B">
      <w:r>
        <w:separator/>
      </w:r>
    </w:p>
  </w:endnote>
  <w:endnote w:type="continuationSeparator" w:id="0">
    <w:p w:rsidR="00847CB0" w:rsidRDefault="00847CB0" w:rsidP="009A7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AGRounded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CB0" w:rsidRDefault="00847CB0"/>
  </w:footnote>
  <w:footnote w:type="continuationSeparator" w:id="0">
    <w:p w:rsidR="00847CB0" w:rsidRDefault="00847C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3022"/>
    <w:multiLevelType w:val="multilevel"/>
    <w:tmpl w:val="FFFFFFFF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F4C007C"/>
    <w:multiLevelType w:val="multilevel"/>
    <w:tmpl w:val="FFFFFFFF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0337B5A"/>
    <w:multiLevelType w:val="multilevel"/>
    <w:tmpl w:val="FFFFFFFF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72B"/>
    <w:rsid w:val="003640FE"/>
    <w:rsid w:val="004E0F36"/>
    <w:rsid w:val="00847CB0"/>
    <w:rsid w:val="009A772B"/>
    <w:rsid w:val="00E7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72B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uiPriority w:val="99"/>
    <w:locked/>
    <w:rsid w:val="009A772B"/>
    <w:rPr>
      <w:rFonts w:cs="Times New Roman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9A772B"/>
    <w:rPr>
      <w:rFonts w:ascii="Calibri" w:eastAsia="Times New Roman" w:hAnsi="Calibri" w:cs="Calibri"/>
      <w:sz w:val="17"/>
      <w:szCs w:val="17"/>
      <w:u w:val="non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9A772B"/>
    <w:rPr>
      <w:rFonts w:ascii="Calibri" w:eastAsia="Times New Roman" w:hAnsi="Calibri" w:cs="Calibri"/>
      <w:b/>
      <w:bCs/>
      <w:sz w:val="20"/>
      <w:szCs w:val="20"/>
      <w:u w:val="none"/>
    </w:rPr>
  </w:style>
  <w:style w:type="character" w:customStyle="1" w:styleId="Bodytext30">
    <w:name w:val="Body text (3)"/>
    <w:basedOn w:val="Bodytext3"/>
    <w:uiPriority w:val="99"/>
    <w:rsid w:val="009A772B"/>
    <w:rPr>
      <w:color w:val="CC3953"/>
      <w:spacing w:val="0"/>
      <w:w w:val="100"/>
      <w:position w:val="0"/>
      <w:lang w:val="cs-CZ" w:eastAsia="cs-CZ"/>
    </w:rPr>
  </w:style>
  <w:style w:type="character" w:customStyle="1" w:styleId="Heading1">
    <w:name w:val="Heading #1_"/>
    <w:basedOn w:val="DefaultParagraphFont"/>
    <w:link w:val="Heading11"/>
    <w:uiPriority w:val="99"/>
    <w:locked/>
    <w:rsid w:val="009A772B"/>
    <w:rPr>
      <w:rFonts w:ascii="Calibri" w:eastAsia="Times New Roman" w:hAnsi="Calibri" w:cs="Calibri"/>
      <w:b/>
      <w:bCs/>
      <w:sz w:val="26"/>
      <w:szCs w:val="26"/>
      <w:u w:val="none"/>
      <w:lang w:val="en-US" w:eastAsia="en-US"/>
    </w:rPr>
  </w:style>
  <w:style w:type="character" w:customStyle="1" w:styleId="Heading10">
    <w:name w:val="Heading #1"/>
    <w:basedOn w:val="Heading1"/>
    <w:uiPriority w:val="99"/>
    <w:rsid w:val="009A772B"/>
    <w:rPr>
      <w:color w:val="CC3953"/>
      <w:spacing w:val="0"/>
      <w:w w:val="100"/>
      <w:position w:val="0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9A772B"/>
    <w:rPr>
      <w:rFonts w:ascii="VAGRounded BT" w:eastAsia="Times New Roman" w:hAnsi="VAGRounded BT" w:cs="VAGRounded BT"/>
      <w:sz w:val="11"/>
      <w:szCs w:val="11"/>
      <w:u w:val="none"/>
    </w:rPr>
  </w:style>
  <w:style w:type="character" w:customStyle="1" w:styleId="Bodytext40">
    <w:name w:val="Body text (4)"/>
    <w:basedOn w:val="Bodytext4"/>
    <w:uiPriority w:val="99"/>
    <w:rsid w:val="009A772B"/>
    <w:rPr>
      <w:color w:val="A7C1E4"/>
      <w:spacing w:val="0"/>
      <w:w w:val="100"/>
      <w:position w:val="0"/>
      <w:lang w:val="cs-CZ" w:eastAsia="cs-CZ"/>
    </w:rPr>
  </w:style>
  <w:style w:type="character" w:customStyle="1" w:styleId="Bodytext32">
    <w:name w:val="Body text (3)2"/>
    <w:basedOn w:val="Bodytext3"/>
    <w:uiPriority w:val="99"/>
    <w:rsid w:val="009A772B"/>
    <w:rPr>
      <w:color w:val="1258A3"/>
      <w:spacing w:val="0"/>
      <w:w w:val="100"/>
      <w:position w:val="0"/>
      <w:lang w:val="cs-CZ" w:eastAsia="cs-CZ"/>
    </w:rPr>
  </w:style>
  <w:style w:type="character" w:customStyle="1" w:styleId="Tablecaption2">
    <w:name w:val="Table caption (2)_"/>
    <w:basedOn w:val="DefaultParagraphFont"/>
    <w:link w:val="Tablecaption21"/>
    <w:uiPriority w:val="99"/>
    <w:locked/>
    <w:rsid w:val="009A772B"/>
    <w:rPr>
      <w:rFonts w:ascii="Calibri" w:eastAsia="Times New Roman" w:hAnsi="Calibri" w:cs="Calibri"/>
      <w:b/>
      <w:bCs/>
      <w:sz w:val="17"/>
      <w:szCs w:val="17"/>
      <w:u w:val="none"/>
    </w:rPr>
  </w:style>
  <w:style w:type="character" w:customStyle="1" w:styleId="Tablecaption20">
    <w:name w:val="Table caption (2)"/>
    <w:basedOn w:val="Tablecaption2"/>
    <w:uiPriority w:val="99"/>
    <w:rsid w:val="009A772B"/>
    <w:rPr>
      <w:color w:val="1258A3"/>
      <w:spacing w:val="0"/>
      <w:w w:val="100"/>
      <w:position w:val="0"/>
      <w:lang w:val="cs-CZ" w:eastAsia="cs-CZ"/>
    </w:rPr>
  </w:style>
  <w:style w:type="character" w:customStyle="1" w:styleId="Tablecaption">
    <w:name w:val="Table caption_"/>
    <w:basedOn w:val="DefaultParagraphFont"/>
    <w:link w:val="Tablecaption1"/>
    <w:uiPriority w:val="99"/>
    <w:locked/>
    <w:rsid w:val="009A772B"/>
    <w:rPr>
      <w:rFonts w:ascii="Calibri" w:eastAsia="Times New Roman" w:hAnsi="Calibri" w:cs="Calibri"/>
      <w:sz w:val="17"/>
      <w:szCs w:val="17"/>
      <w:u w:val="none"/>
    </w:rPr>
  </w:style>
  <w:style w:type="character" w:customStyle="1" w:styleId="Tablecaption0">
    <w:name w:val="Table caption"/>
    <w:basedOn w:val="Tablecaption"/>
    <w:uiPriority w:val="99"/>
    <w:rsid w:val="009A772B"/>
    <w:rPr>
      <w:color w:val="000000"/>
      <w:spacing w:val="0"/>
      <w:w w:val="100"/>
      <w:position w:val="0"/>
      <w:u w:val="single"/>
      <w:lang w:val="cs-CZ" w:eastAsia="cs-CZ"/>
    </w:rPr>
  </w:style>
  <w:style w:type="character" w:customStyle="1" w:styleId="Bodytext275pt">
    <w:name w:val="Body text (2) + 7.5 pt"/>
    <w:basedOn w:val="Bodytext2"/>
    <w:uiPriority w:val="99"/>
    <w:rsid w:val="009A772B"/>
    <w:rPr>
      <w:color w:val="000000"/>
      <w:spacing w:val="0"/>
      <w:w w:val="100"/>
      <w:position w:val="0"/>
      <w:sz w:val="15"/>
      <w:szCs w:val="15"/>
      <w:lang w:val="cs-CZ" w:eastAsia="cs-CZ"/>
    </w:rPr>
  </w:style>
  <w:style w:type="character" w:customStyle="1" w:styleId="Bodytext275pt2">
    <w:name w:val="Body text (2) + 7.5 pt2"/>
    <w:basedOn w:val="Bodytext2"/>
    <w:uiPriority w:val="99"/>
    <w:rsid w:val="009A772B"/>
    <w:rPr>
      <w:color w:val="1258A3"/>
      <w:spacing w:val="0"/>
      <w:w w:val="100"/>
      <w:position w:val="0"/>
      <w:sz w:val="15"/>
      <w:szCs w:val="15"/>
      <w:lang w:val="cs-CZ" w:eastAsia="cs-CZ"/>
    </w:rPr>
  </w:style>
  <w:style w:type="character" w:customStyle="1" w:styleId="TablecaptionBold">
    <w:name w:val="Table caption + Bold"/>
    <w:basedOn w:val="Tablecaption"/>
    <w:uiPriority w:val="99"/>
    <w:rsid w:val="009A772B"/>
    <w:rPr>
      <w:b/>
      <w:bCs/>
      <w:color w:val="000000"/>
      <w:spacing w:val="0"/>
      <w:w w:val="100"/>
      <w:position w:val="0"/>
      <w:lang w:val="cs-CZ" w:eastAsia="cs-CZ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9A772B"/>
    <w:rPr>
      <w:rFonts w:ascii="Calibri" w:eastAsia="Times New Roman" w:hAnsi="Calibri" w:cs="Calibri"/>
      <w:b/>
      <w:bCs/>
      <w:sz w:val="17"/>
      <w:szCs w:val="17"/>
      <w:u w:val="none"/>
    </w:rPr>
  </w:style>
  <w:style w:type="character" w:customStyle="1" w:styleId="Bodytext210pt">
    <w:name w:val="Body text (2) + 10 pt"/>
    <w:aliases w:val="Bold"/>
    <w:basedOn w:val="Bodytext2"/>
    <w:uiPriority w:val="99"/>
    <w:rsid w:val="009A772B"/>
    <w:rPr>
      <w:b/>
      <w:bCs/>
      <w:color w:val="000000"/>
      <w:spacing w:val="0"/>
      <w:w w:val="100"/>
      <w:position w:val="0"/>
      <w:sz w:val="20"/>
      <w:szCs w:val="20"/>
      <w:lang w:val="cs-CZ" w:eastAsia="cs-CZ"/>
    </w:rPr>
  </w:style>
  <w:style w:type="character" w:customStyle="1" w:styleId="Bodytext275pt1">
    <w:name w:val="Body text (2) + 7.5 pt1"/>
    <w:basedOn w:val="Bodytext2"/>
    <w:uiPriority w:val="99"/>
    <w:rsid w:val="009A772B"/>
    <w:rPr>
      <w:color w:val="000000"/>
      <w:spacing w:val="0"/>
      <w:w w:val="100"/>
      <w:position w:val="0"/>
      <w:sz w:val="15"/>
      <w:szCs w:val="15"/>
      <w:lang w:val="cs-CZ" w:eastAsia="cs-CZ"/>
    </w:rPr>
  </w:style>
  <w:style w:type="character" w:customStyle="1" w:styleId="Tablecaption22">
    <w:name w:val="Table caption (2)2"/>
    <w:basedOn w:val="Tablecaption2"/>
    <w:uiPriority w:val="99"/>
    <w:rsid w:val="009A772B"/>
    <w:rPr>
      <w:color w:val="000000"/>
      <w:spacing w:val="0"/>
      <w:w w:val="100"/>
      <w:position w:val="0"/>
      <w:u w:val="single"/>
      <w:lang w:val="cs-CZ" w:eastAsia="cs-CZ"/>
    </w:rPr>
  </w:style>
  <w:style w:type="character" w:customStyle="1" w:styleId="Bodytext20">
    <w:name w:val="Body text (2)"/>
    <w:basedOn w:val="Bodytext2"/>
    <w:uiPriority w:val="99"/>
    <w:rsid w:val="009A772B"/>
    <w:rPr>
      <w:color w:val="000000"/>
      <w:spacing w:val="0"/>
      <w:w w:val="100"/>
      <w:position w:val="0"/>
      <w:lang w:val="cs-CZ" w:eastAsia="cs-CZ"/>
    </w:rPr>
  </w:style>
  <w:style w:type="character" w:customStyle="1" w:styleId="Tablecaption2NotBold">
    <w:name w:val="Table caption (2) + Not Bold"/>
    <w:basedOn w:val="Tablecaption2"/>
    <w:uiPriority w:val="99"/>
    <w:rsid w:val="009A772B"/>
    <w:rPr>
      <w:color w:val="000000"/>
      <w:spacing w:val="0"/>
      <w:w w:val="100"/>
      <w:position w:val="0"/>
      <w:lang w:val="cs-CZ" w:eastAsia="cs-CZ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9A772B"/>
    <w:rPr>
      <w:rFonts w:ascii="Calibri" w:eastAsia="Times New Roman" w:hAnsi="Calibri" w:cs="Calibri"/>
      <w:b/>
      <w:bCs/>
      <w:sz w:val="17"/>
      <w:szCs w:val="17"/>
      <w:u w:val="none"/>
    </w:rPr>
  </w:style>
  <w:style w:type="character" w:customStyle="1" w:styleId="Bodytext50">
    <w:name w:val="Body text (5)"/>
    <w:basedOn w:val="Bodytext5"/>
    <w:uiPriority w:val="99"/>
    <w:rsid w:val="009A772B"/>
    <w:rPr>
      <w:color w:val="1258A3"/>
      <w:spacing w:val="0"/>
      <w:w w:val="100"/>
      <w:position w:val="0"/>
      <w:lang w:val="cs-CZ" w:eastAsia="cs-CZ"/>
    </w:rPr>
  </w:style>
  <w:style w:type="character" w:customStyle="1" w:styleId="Heading20">
    <w:name w:val="Heading #2"/>
    <w:basedOn w:val="Heading2"/>
    <w:uiPriority w:val="99"/>
    <w:rsid w:val="009A772B"/>
    <w:rPr>
      <w:color w:val="1258A3"/>
      <w:spacing w:val="0"/>
      <w:w w:val="100"/>
      <w:position w:val="0"/>
      <w:lang w:val="cs-CZ" w:eastAsia="cs-CZ"/>
    </w:rPr>
  </w:style>
  <w:style w:type="character" w:customStyle="1" w:styleId="Bodytext2Bold">
    <w:name w:val="Body text (2) + Bold"/>
    <w:basedOn w:val="Bodytext2"/>
    <w:uiPriority w:val="99"/>
    <w:rsid w:val="009A772B"/>
    <w:rPr>
      <w:b/>
      <w:bCs/>
      <w:color w:val="000000"/>
      <w:spacing w:val="0"/>
      <w:w w:val="100"/>
      <w:position w:val="0"/>
      <w:lang w:val="cs-CZ" w:eastAsia="cs-CZ"/>
    </w:rPr>
  </w:style>
  <w:style w:type="character" w:customStyle="1" w:styleId="Bodytext5NotBold">
    <w:name w:val="Body text (5) + Not Bold"/>
    <w:basedOn w:val="Bodytext5"/>
    <w:uiPriority w:val="99"/>
    <w:rsid w:val="009A772B"/>
    <w:rPr>
      <w:color w:val="000000"/>
      <w:spacing w:val="0"/>
      <w:w w:val="100"/>
      <w:position w:val="0"/>
      <w:lang w:val="cs-CZ" w:eastAsia="cs-CZ"/>
    </w:rPr>
  </w:style>
  <w:style w:type="character" w:customStyle="1" w:styleId="Bodytext5VAGRoundedBT">
    <w:name w:val="Body text (5) + VAGRounded BT"/>
    <w:aliases w:val="7.5 pt,Not Bold,Italic"/>
    <w:basedOn w:val="Bodytext5"/>
    <w:uiPriority w:val="99"/>
    <w:rsid w:val="009A772B"/>
    <w:rPr>
      <w:rFonts w:ascii="VAGRounded BT" w:hAnsi="VAGRounded BT" w:cs="VAGRounded BT"/>
      <w:i/>
      <w:iCs/>
      <w:color w:val="000000"/>
      <w:spacing w:val="0"/>
      <w:w w:val="100"/>
      <w:position w:val="0"/>
      <w:sz w:val="15"/>
      <w:szCs w:val="15"/>
      <w:lang w:val="cs-CZ" w:eastAsia="cs-CZ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9A772B"/>
    <w:rPr>
      <w:rFonts w:ascii="Arial" w:eastAsia="Times New Roman" w:hAnsi="Arial" w:cs="Arial"/>
      <w:sz w:val="12"/>
      <w:szCs w:val="12"/>
      <w:u w:val="none"/>
    </w:rPr>
  </w:style>
  <w:style w:type="paragraph" w:customStyle="1" w:styleId="Other0">
    <w:name w:val="Other"/>
    <w:basedOn w:val="Normal"/>
    <w:link w:val="Other"/>
    <w:uiPriority w:val="99"/>
    <w:rsid w:val="009A772B"/>
    <w:pPr>
      <w:shd w:val="clear" w:color="auto" w:fill="FFFFFF"/>
    </w:pPr>
    <w:rPr>
      <w:sz w:val="20"/>
      <w:szCs w:val="20"/>
    </w:rPr>
  </w:style>
  <w:style w:type="paragraph" w:customStyle="1" w:styleId="Bodytext21">
    <w:name w:val="Body text (2)1"/>
    <w:basedOn w:val="Normal"/>
    <w:link w:val="Bodytext2"/>
    <w:uiPriority w:val="99"/>
    <w:rsid w:val="009A772B"/>
    <w:pPr>
      <w:shd w:val="clear" w:color="auto" w:fill="FFFFFF"/>
      <w:spacing w:line="168" w:lineRule="exact"/>
      <w:ind w:hanging="320"/>
    </w:pPr>
    <w:rPr>
      <w:rFonts w:ascii="Calibri" w:hAnsi="Calibri" w:cs="Calibri"/>
      <w:sz w:val="17"/>
      <w:szCs w:val="17"/>
    </w:rPr>
  </w:style>
  <w:style w:type="paragraph" w:customStyle="1" w:styleId="Bodytext31">
    <w:name w:val="Body text (3)1"/>
    <w:basedOn w:val="Normal"/>
    <w:link w:val="Bodytext3"/>
    <w:uiPriority w:val="99"/>
    <w:rsid w:val="009A772B"/>
    <w:pPr>
      <w:shd w:val="clear" w:color="auto" w:fill="FFFFFF"/>
      <w:spacing w:line="190" w:lineRule="exact"/>
      <w:ind w:hanging="320"/>
      <w:jc w:val="right"/>
    </w:pPr>
    <w:rPr>
      <w:rFonts w:ascii="Calibri" w:hAnsi="Calibri" w:cs="Calibri"/>
      <w:b/>
      <w:bCs/>
      <w:sz w:val="20"/>
      <w:szCs w:val="20"/>
    </w:rPr>
  </w:style>
  <w:style w:type="paragraph" w:customStyle="1" w:styleId="Heading11">
    <w:name w:val="Heading #11"/>
    <w:basedOn w:val="Normal"/>
    <w:link w:val="Heading1"/>
    <w:uiPriority w:val="99"/>
    <w:rsid w:val="009A772B"/>
    <w:pPr>
      <w:shd w:val="clear" w:color="auto" w:fill="FFFFFF"/>
      <w:spacing w:line="246" w:lineRule="exact"/>
      <w:outlineLvl w:val="0"/>
    </w:pPr>
    <w:rPr>
      <w:rFonts w:ascii="Calibri" w:hAnsi="Calibri" w:cs="Calibri"/>
      <w:b/>
      <w:bCs/>
      <w:sz w:val="26"/>
      <w:szCs w:val="26"/>
      <w:lang w:val="en-US" w:eastAsia="en-US"/>
    </w:rPr>
  </w:style>
  <w:style w:type="paragraph" w:customStyle="1" w:styleId="Bodytext41">
    <w:name w:val="Body text (4)1"/>
    <w:basedOn w:val="Normal"/>
    <w:link w:val="Bodytext4"/>
    <w:uiPriority w:val="99"/>
    <w:rsid w:val="009A772B"/>
    <w:pPr>
      <w:shd w:val="clear" w:color="auto" w:fill="FFFFFF"/>
      <w:spacing w:after="200" w:line="134" w:lineRule="exact"/>
    </w:pPr>
    <w:rPr>
      <w:rFonts w:ascii="VAGRounded BT" w:hAnsi="VAGRounded BT" w:cs="VAGRounded BT"/>
      <w:sz w:val="11"/>
      <w:szCs w:val="11"/>
    </w:rPr>
  </w:style>
  <w:style w:type="paragraph" w:customStyle="1" w:styleId="Tablecaption21">
    <w:name w:val="Table caption (2)1"/>
    <w:basedOn w:val="Normal"/>
    <w:link w:val="Tablecaption2"/>
    <w:uiPriority w:val="99"/>
    <w:rsid w:val="009A772B"/>
    <w:pPr>
      <w:shd w:val="clear" w:color="auto" w:fill="FFFFFF"/>
      <w:spacing w:line="216" w:lineRule="exact"/>
      <w:jc w:val="both"/>
    </w:pPr>
    <w:rPr>
      <w:rFonts w:ascii="Calibri" w:hAnsi="Calibri" w:cs="Calibri"/>
      <w:b/>
      <w:bCs/>
      <w:sz w:val="17"/>
      <w:szCs w:val="17"/>
    </w:rPr>
  </w:style>
  <w:style w:type="paragraph" w:customStyle="1" w:styleId="Tablecaption1">
    <w:name w:val="Table caption1"/>
    <w:basedOn w:val="Normal"/>
    <w:link w:val="Tablecaption"/>
    <w:uiPriority w:val="99"/>
    <w:rsid w:val="009A772B"/>
    <w:pPr>
      <w:shd w:val="clear" w:color="auto" w:fill="FFFFFF"/>
      <w:spacing w:line="216" w:lineRule="exact"/>
      <w:jc w:val="both"/>
    </w:pPr>
    <w:rPr>
      <w:rFonts w:ascii="Calibri" w:hAnsi="Calibri" w:cs="Calibri"/>
      <w:sz w:val="17"/>
      <w:szCs w:val="17"/>
    </w:rPr>
  </w:style>
  <w:style w:type="paragraph" w:customStyle="1" w:styleId="Heading21">
    <w:name w:val="Heading #21"/>
    <w:basedOn w:val="Normal"/>
    <w:link w:val="Heading2"/>
    <w:uiPriority w:val="99"/>
    <w:rsid w:val="009A772B"/>
    <w:pPr>
      <w:shd w:val="clear" w:color="auto" w:fill="FFFFFF"/>
      <w:spacing w:before="220" w:after="200" w:line="168" w:lineRule="exact"/>
      <w:ind w:hanging="320"/>
      <w:jc w:val="both"/>
      <w:outlineLvl w:val="1"/>
    </w:pPr>
    <w:rPr>
      <w:rFonts w:ascii="Calibri" w:hAnsi="Calibri" w:cs="Calibri"/>
      <w:b/>
      <w:bCs/>
      <w:sz w:val="17"/>
      <w:szCs w:val="17"/>
    </w:rPr>
  </w:style>
  <w:style w:type="paragraph" w:customStyle="1" w:styleId="Bodytext51">
    <w:name w:val="Body text (5)1"/>
    <w:basedOn w:val="Normal"/>
    <w:link w:val="Bodytext5"/>
    <w:uiPriority w:val="99"/>
    <w:rsid w:val="009A772B"/>
    <w:pPr>
      <w:shd w:val="clear" w:color="auto" w:fill="FFFFFF"/>
      <w:spacing w:before="200" w:line="216" w:lineRule="exact"/>
      <w:ind w:hanging="320"/>
      <w:jc w:val="both"/>
    </w:pPr>
    <w:rPr>
      <w:rFonts w:ascii="Calibri" w:hAnsi="Calibri" w:cs="Calibri"/>
      <w:b/>
      <w:bCs/>
      <w:sz w:val="17"/>
      <w:szCs w:val="17"/>
    </w:rPr>
  </w:style>
  <w:style w:type="paragraph" w:customStyle="1" w:styleId="Bodytext60">
    <w:name w:val="Body text (6)"/>
    <w:basedOn w:val="Normal"/>
    <w:link w:val="Bodytext6"/>
    <w:uiPriority w:val="99"/>
    <w:rsid w:val="009A772B"/>
    <w:pPr>
      <w:shd w:val="clear" w:color="auto" w:fill="FFFFFF"/>
      <w:spacing w:before="220" w:line="134" w:lineRule="exact"/>
    </w:pPr>
    <w:rPr>
      <w:rFonts w:ascii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Microsoft/Windows/INetCache/IE/BKST7CYC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vid.strelak@svczabre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ka.matusincova@enwox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767</Words>
  <Characters>4527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ISLO SMLOUVY OBCHODNÍKA:</dc:title>
  <dc:subject/>
  <dc:creator/>
  <cp:keywords/>
  <dc:description/>
  <cp:lastModifiedBy>Spisovna</cp:lastModifiedBy>
  <cp:revision>2</cp:revision>
  <dcterms:created xsi:type="dcterms:W3CDTF">2017-01-24T07:55:00Z</dcterms:created>
  <dcterms:modified xsi:type="dcterms:W3CDTF">2017-01-24T07:55:00Z</dcterms:modified>
</cp:coreProperties>
</file>