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76" w:rsidRPr="00162694" w:rsidRDefault="00FC6276" w:rsidP="00FC6276">
      <w:pPr>
        <w:pStyle w:val="Nadpis5"/>
        <w:ind w:left="0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Česká republika - Státní pozemkový úřad</w:t>
      </w:r>
    </w:p>
    <w:p w:rsidR="00901036" w:rsidRPr="00162694" w:rsidRDefault="00901036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Sídlo: Husinecká 1024/11a, 130 00 Praha 3,</w:t>
      </w:r>
    </w:p>
    <w:p w:rsidR="00901036" w:rsidRPr="00162694" w:rsidRDefault="00901036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color w:val="000000"/>
          <w:sz w:val="22"/>
          <w:szCs w:val="22"/>
        </w:rPr>
        <w:t>který zastupuje</w:t>
      </w:r>
      <w:r w:rsidRPr="00162694">
        <w:rPr>
          <w:rFonts w:ascii="Arial" w:hAnsi="Arial" w:cs="Arial"/>
          <w:sz w:val="22"/>
          <w:szCs w:val="22"/>
        </w:rPr>
        <w:t xml:space="preserve"> </w:t>
      </w:r>
      <w:r w:rsidRPr="00162694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  <w:r w:rsidRPr="00162694">
        <w:rPr>
          <w:rFonts w:ascii="Arial" w:hAnsi="Arial" w:cs="Arial"/>
          <w:sz w:val="22"/>
          <w:szCs w:val="22"/>
        </w:rPr>
        <w:t>,</w:t>
      </w:r>
    </w:p>
    <w:p w:rsidR="00901036" w:rsidRPr="00162694" w:rsidRDefault="00250966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Adresa Hroznová</w:t>
      </w:r>
      <w:r w:rsidR="00901036" w:rsidRPr="00162694">
        <w:rPr>
          <w:rFonts w:ascii="Arial" w:hAnsi="Arial" w:cs="Arial"/>
          <w:color w:val="000000"/>
          <w:sz w:val="22"/>
          <w:szCs w:val="22"/>
        </w:rPr>
        <w:t xml:space="preserve"> 17, 60300 Brno</w:t>
      </w:r>
    </w:p>
    <w:p w:rsidR="00FC6276" w:rsidRPr="00162694" w:rsidRDefault="00FC6276" w:rsidP="00FC6276">
      <w:pPr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IČ</w:t>
      </w:r>
      <w:r w:rsidR="00252662" w:rsidRPr="00162694">
        <w:rPr>
          <w:rFonts w:ascii="Arial" w:hAnsi="Arial" w:cs="Arial"/>
          <w:sz w:val="22"/>
          <w:szCs w:val="22"/>
        </w:rPr>
        <w:t>O</w:t>
      </w:r>
      <w:r w:rsidRPr="00162694">
        <w:rPr>
          <w:rFonts w:ascii="Arial" w:hAnsi="Arial" w:cs="Arial"/>
          <w:sz w:val="22"/>
          <w:szCs w:val="22"/>
        </w:rPr>
        <w:t>: 01312774</w:t>
      </w:r>
    </w:p>
    <w:p w:rsidR="00FC6276" w:rsidRPr="00162694" w:rsidRDefault="00FC6276" w:rsidP="00FC6276">
      <w:pPr>
        <w:pStyle w:val="Zkladntext3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DIČ:  CZ01312774</w:t>
      </w:r>
    </w:p>
    <w:p w:rsidR="00FC6276" w:rsidRPr="00162694" w:rsidRDefault="00FC6276" w:rsidP="00FC6276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C6276" w:rsidRPr="00162694" w:rsidRDefault="00FC6276" w:rsidP="00FC6276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číslo účtu:</w:t>
      </w:r>
      <w:r w:rsidRPr="00162694">
        <w:rPr>
          <w:rFonts w:ascii="Arial" w:hAnsi="Arial" w:cs="Arial"/>
          <w:sz w:val="22"/>
          <w:szCs w:val="22"/>
        </w:rPr>
        <w:tab/>
        <w:t>10014-3723001/0710</w:t>
      </w:r>
    </w:p>
    <w:p w:rsidR="00901036" w:rsidRPr="00162694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color w:val="000000"/>
          <w:sz w:val="22"/>
          <w:szCs w:val="22"/>
        </w:rPr>
        <w:t>variabilní symbol:</w:t>
      </w:r>
      <w:r w:rsidRPr="00162694">
        <w:rPr>
          <w:rFonts w:ascii="Arial" w:hAnsi="Arial" w:cs="Arial"/>
          <w:color w:val="000000"/>
          <w:sz w:val="22"/>
          <w:szCs w:val="22"/>
        </w:rPr>
        <w:tab/>
        <w:t>1001642059</w:t>
      </w:r>
    </w:p>
    <w:p w:rsidR="00901036" w:rsidRPr="001626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1626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1626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162694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b/>
          <w:color w:val="000000"/>
          <w:sz w:val="22"/>
          <w:szCs w:val="22"/>
        </w:rPr>
        <w:t xml:space="preserve">V I V A Valtice, </w:t>
      </w:r>
      <w:r w:rsidR="00A20D57" w:rsidRPr="00162694">
        <w:rPr>
          <w:rFonts w:ascii="Arial" w:hAnsi="Arial" w:cs="Arial"/>
          <w:b/>
          <w:color w:val="000000"/>
          <w:sz w:val="22"/>
          <w:szCs w:val="22"/>
        </w:rPr>
        <w:t>s.r.o.</w:t>
      </w:r>
      <w:r w:rsidR="00A20D57">
        <w:rPr>
          <w:rFonts w:ascii="Arial" w:hAnsi="Arial" w:cs="Arial"/>
          <w:b/>
          <w:color w:val="000000"/>
          <w:sz w:val="22"/>
          <w:szCs w:val="22"/>
        </w:rPr>
        <w:t>,</w:t>
      </w:r>
      <w:r w:rsidR="00A20D57">
        <w:rPr>
          <w:rFonts w:ascii="Arial" w:hAnsi="Arial" w:cs="Arial"/>
          <w:color w:val="000000"/>
          <w:sz w:val="22"/>
          <w:szCs w:val="22"/>
        </w:rPr>
        <w:t xml:space="preserve"> s</w:t>
      </w:r>
      <w:r w:rsidR="00A20D57" w:rsidRPr="00162694">
        <w:rPr>
          <w:rFonts w:ascii="Arial" w:hAnsi="Arial" w:cs="Arial"/>
          <w:color w:val="000000"/>
          <w:sz w:val="22"/>
          <w:szCs w:val="22"/>
        </w:rPr>
        <w:t>ídlo</w:t>
      </w:r>
      <w:r w:rsidRPr="00162694">
        <w:rPr>
          <w:rFonts w:ascii="Arial" w:hAnsi="Arial" w:cs="Arial"/>
          <w:color w:val="000000"/>
          <w:sz w:val="22"/>
          <w:szCs w:val="22"/>
        </w:rPr>
        <w:t xml:space="preserve"> Rudé armády 305, Valtice, PSČ 691</w:t>
      </w:r>
      <w:r w:rsidR="00250966">
        <w:rPr>
          <w:rFonts w:ascii="Arial" w:hAnsi="Arial" w:cs="Arial"/>
          <w:color w:val="000000"/>
          <w:sz w:val="22"/>
          <w:szCs w:val="22"/>
        </w:rPr>
        <w:t xml:space="preserve"> </w:t>
      </w:r>
      <w:r w:rsidR="00A20D57">
        <w:rPr>
          <w:rFonts w:ascii="Arial" w:hAnsi="Arial" w:cs="Arial"/>
          <w:color w:val="000000"/>
          <w:sz w:val="22"/>
          <w:szCs w:val="22"/>
        </w:rPr>
        <w:t>42, IČ 60703687, DIČ </w:t>
      </w:r>
      <w:r w:rsidRPr="00162694">
        <w:rPr>
          <w:rFonts w:ascii="Arial" w:hAnsi="Arial" w:cs="Arial"/>
          <w:color w:val="000000"/>
          <w:sz w:val="22"/>
          <w:szCs w:val="22"/>
        </w:rPr>
        <w:t>CZ60703687</w:t>
      </w:r>
    </w:p>
    <w:p w:rsidR="00250966" w:rsidRDefault="00A20D57" w:rsidP="0025096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250966">
        <w:rPr>
          <w:rFonts w:ascii="Arial" w:hAnsi="Arial" w:cs="Arial"/>
          <w:color w:val="000000"/>
          <w:sz w:val="22"/>
          <w:szCs w:val="22"/>
        </w:rPr>
        <w:t>apsaná v obchodním rejstříku, vedeném Krajským soudem v Brně, oddíl C, vložka 14919</w:t>
      </w:r>
    </w:p>
    <w:p w:rsidR="00250966" w:rsidRPr="00BA0CC9" w:rsidRDefault="00A20D57" w:rsidP="0025096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250966">
        <w:rPr>
          <w:rFonts w:ascii="Arial" w:hAnsi="Arial" w:cs="Arial"/>
          <w:color w:val="000000"/>
          <w:sz w:val="22"/>
          <w:szCs w:val="22"/>
        </w:rPr>
        <w:t xml:space="preserve">astoupená jednatelem Ing. Zdeňkem Kupským </w:t>
      </w:r>
    </w:p>
    <w:p w:rsidR="00250966" w:rsidRPr="002811B8" w:rsidRDefault="00250966" w:rsidP="0025096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"k u p u j í c í </w:t>
      </w:r>
      <w:r w:rsidRPr="002811B8">
        <w:rPr>
          <w:rFonts w:ascii="Arial" w:hAnsi="Arial" w:cs="Arial"/>
          <w:color w:val="000000"/>
          <w:sz w:val="22"/>
          <w:szCs w:val="22"/>
        </w:rPr>
        <w:t>nebo n á j e m c e")</w:t>
      </w:r>
    </w:p>
    <w:p w:rsidR="00901036" w:rsidRPr="00162694" w:rsidRDefault="00901036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 </w:t>
      </w:r>
    </w:p>
    <w:p w:rsidR="00901036" w:rsidRPr="001626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ab/>
      </w:r>
    </w:p>
    <w:p w:rsidR="00FC6276" w:rsidRPr="00162694" w:rsidRDefault="00FC6276" w:rsidP="00FC6276">
      <w:pPr>
        <w:widowControl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uzavírají tuto:</w:t>
      </w:r>
    </w:p>
    <w:p w:rsidR="00667B95" w:rsidRPr="00162694" w:rsidRDefault="00667B95">
      <w:pPr>
        <w:widowControl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KUPNÍ SMLOUVU</w:t>
      </w:r>
    </w:p>
    <w:p w:rsidR="00901036" w:rsidRPr="00162694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č. </w:t>
      </w:r>
      <w:r w:rsidRPr="00162694">
        <w:rPr>
          <w:rFonts w:ascii="Arial" w:hAnsi="Arial" w:cs="Arial"/>
          <w:color w:val="000000"/>
          <w:sz w:val="22"/>
          <w:szCs w:val="22"/>
        </w:rPr>
        <w:t>1001642059</w:t>
      </w:r>
    </w:p>
    <w:p w:rsidR="00901036" w:rsidRPr="00162694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I.</w:t>
      </w:r>
    </w:p>
    <w:p w:rsidR="00901036" w:rsidRPr="00162694" w:rsidRDefault="00FC62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 503/2012 Sb., o Státním pozemkovém úřadu a o změně některých souvisejících zákonů, </w:t>
      </w:r>
      <w:r w:rsidR="00403D11" w:rsidRPr="00162694">
        <w:rPr>
          <w:rFonts w:ascii="Arial" w:hAnsi="Arial" w:cs="Arial"/>
          <w:sz w:val="22"/>
          <w:szCs w:val="22"/>
        </w:rPr>
        <w:t xml:space="preserve">ve znění posledních předpisů, </w:t>
      </w:r>
      <w:r w:rsidRPr="00162694">
        <w:rPr>
          <w:rFonts w:ascii="Arial" w:hAnsi="Arial" w:cs="Arial"/>
          <w:sz w:val="22"/>
          <w:szCs w:val="22"/>
        </w:rPr>
        <w:t>s níže uvedenými pozemky v majetku České republiky vedenými u</w:t>
      </w:r>
      <w:r w:rsidR="00901036" w:rsidRPr="00162694">
        <w:rPr>
          <w:rFonts w:ascii="Arial" w:hAnsi="Arial" w:cs="Arial"/>
          <w:sz w:val="22"/>
          <w:szCs w:val="22"/>
        </w:rPr>
        <w:t xml:space="preserve"> Katastrálního úřadu pro Jihomoravský kraj se sídlem v Brně, Katastrální pracoviště </w:t>
      </w:r>
      <w:r w:rsidR="00250966" w:rsidRPr="00162694">
        <w:rPr>
          <w:rFonts w:ascii="Arial" w:hAnsi="Arial" w:cs="Arial"/>
          <w:sz w:val="22"/>
          <w:szCs w:val="22"/>
        </w:rPr>
        <w:t>Břeclav na</w:t>
      </w:r>
      <w:r w:rsidR="00901036" w:rsidRPr="00162694">
        <w:rPr>
          <w:rFonts w:ascii="Arial" w:hAnsi="Arial" w:cs="Arial"/>
          <w:sz w:val="22"/>
          <w:szCs w:val="22"/>
        </w:rPr>
        <w:t xml:space="preserve"> LV 10 002:</w:t>
      </w:r>
    </w:p>
    <w:p w:rsidR="00162694" w:rsidRDefault="00162694" w:rsidP="001626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Obec</w:t>
      </w:r>
      <w:r w:rsidRPr="00A5111C">
        <w:rPr>
          <w:rFonts w:ascii="Arial" w:hAnsi="Arial" w:cs="Arial"/>
          <w:sz w:val="21"/>
          <w:szCs w:val="21"/>
        </w:rPr>
        <w:tab/>
        <w:t xml:space="preserve">Katastrální území </w:t>
      </w:r>
      <w:r w:rsidRPr="00A5111C">
        <w:rPr>
          <w:rFonts w:ascii="Arial" w:hAnsi="Arial" w:cs="Arial"/>
          <w:sz w:val="21"/>
          <w:szCs w:val="21"/>
        </w:rPr>
        <w:tab/>
        <w:t>Parcelní číslo</w:t>
      </w:r>
      <w:r w:rsidRPr="00A5111C">
        <w:rPr>
          <w:rFonts w:ascii="Arial" w:hAnsi="Arial" w:cs="Arial"/>
          <w:sz w:val="21"/>
          <w:szCs w:val="21"/>
        </w:rPr>
        <w:tab/>
        <w:t>Druh pozemku</w:t>
      </w:r>
    </w:p>
    <w:p w:rsidR="00162694" w:rsidRPr="00A5111C" w:rsidRDefault="00162694" w:rsidP="00162694">
      <w:pPr>
        <w:widowControl/>
        <w:ind w:right="-433"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3108/6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3108/29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3125/4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3125/14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3148/1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A5111C" w:rsidRDefault="0090103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A5111C" w:rsidRDefault="00250966" w:rsidP="00162694">
      <w:pPr>
        <w:pStyle w:val="obec1"/>
        <w:widowControl/>
        <w:rPr>
          <w:rFonts w:ascii="Arial" w:hAnsi="Arial" w:cs="Arial"/>
          <w:sz w:val="21"/>
          <w:szCs w:val="21"/>
        </w:rPr>
      </w:pPr>
      <w:r w:rsidRPr="00A5111C">
        <w:rPr>
          <w:rFonts w:ascii="Arial" w:hAnsi="Arial" w:cs="Arial"/>
          <w:sz w:val="21"/>
          <w:szCs w:val="21"/>
        </w:rPr>
        <w:t>Valtice</w:t>
      </w:r>
      <w:r w:rsidRPr="00A5111C">
        <w:rPr>
          <w:rFonts w:ascii="Arial" w:hAnsi="Arial" w:cs="Arial"/>
          <w:sz w:val="21"/>
          <w:szCs w:val="21"/>
        </w:rPr>
        <w:tab/>
      </w:r>
      <w:proofErr w:type="spellStart"/>
      <w:r w:rsidRPr="00A5111C">
        <w:rPr>
          <w:rFonts w:ascii="Arial" w:hAnsi="Arial" w:cs="Arial"/>
          <w:sz w:val="21"/>
          <w:szCs w:val="21"/>
        </w:rPr>
        <w:t>Valtice</w:t>
      </w:r>
      <w:proofErr w:type="spellEnd"/>
      <w:r w:rsidRPr="00A5111C">
        <w:rPr>
          <w:rFonts w:ascii="Arial" w:hAnsi="Arial" w:cs="Arial"/>
          <w:sz w:val="21"/>
          <w:szCs w:val="21"/>
        </w:rPr>
        <w:tab/>
        <w:t xml:space="preserve">3178/2 </w:t>
      </w:r>
      <w:r w:rsidR="00901036" w:rsidRPr="00A5111C">
        <w:rPr>
          <w:rFonts w:ascii="Arial" w:hAnsi="Arial" w:cs="Arial"/>
          <w:sz w:val="21"/>
          <w:szCs w:val="21"/>
        </w:rPr>
        <w:tab/>
        <w:t>vinice</w:t>
      </w:r>
    </w:p>
    <w:p w:rsidR="00162694" w:rsidRDefault="00162694" w:rsidP="001626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Default="00901036" w:rsidP="00162694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 (dále jen ”pozemk</w:t>
      </w:r>
      <w:r w:rsidR="00FD7A7E" w:rsidRPr="00162694">
        <w:rPr>
          <w:rFonts w:ascii="Arial" w:hAnsi="Arial" w:cs="Arial"/>
          <w:sz w:val="22"/>
          <w:szCs w:val="22"/>
        </w:rPr>
        <w:t>y</w:t>
      </w:r>
      <w:r w:rsidRPr="00162694">
        <w:rPr>
          <w:rFonts w:ascii="Arial" w:hAnsi="Arial" w:cs="Arial"/>
          <w:sz w:val="22"/>
          <w:szCs w:val="22"/>
        </w:rPr>
        <w:t>”)</w:t>
      </w:r>
    </w:p>
    <w:p w:rsidR="00250966" w:rsidRDefault="00250966" w:rsidP="00162694">
      <w:pPr>
        <w:widowControl/>
        <w:rPr>
          <w:rFonts w:ascii="Arial" w:hAnsi="Arial" w:cs="Arial"/>
          <w:sz w:val="22"/>
          <w:szCs w:val="22"/>
        </w:rPr>
      </w:pPr>
    </w:p>
    <w:p w:rsidR="00250966" w:rsidRDefault="00250966" w:rsidP="00162694">
      <w:pPr>
        <w:widowControl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lastRenderedPageBreak/>
        <w:t>II.</w:t>
      </w:r>
    </w:p>
    <w:p w:rsidR="00FC6276" w:rsidRPr="00162694" w:rsidRDefault="00FC6276" w:rsidP="00FC62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62694">
        <w:rPr>
          <w:rFonts w:ascii="Arial" w:hAnsi="Arial" w:cs="Arial"/>
          <w:b w:val="0"/>
          <w:sz w:val="22"/>
          <w:szCs w:val="22"/>
        </w:rPr>
        <w:tab/>
        <w:t xml:space="preserve">Tato smlouva se uzavírá podle § </w:t>
      </w:r>
      <w:r w:rsidR="00FC7C54" w:rsidRPr="00162694">
        <w:rPr>
          <w:rFonts w:ascii="Arial" w:hAnsi="Arial" w:cs="Arial"/>
          <w:b w:val="0"/>
          <w:sz w:val="22"/>
          <w:szCs w:val="22"/>
        </w:rPr>
        <w:t>10a odst. 1</w:t>
      </w:r>
      <w:r w:rsidRPr="00162694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403D11" w:rsidRPr="00162694">
        <w:rPr>
          <w:rFonts w:ascii="Arial" w:hAnsi="Arial" w:cs="Arial"/>
          <w:b w:val="0"/>
          <w:sz w:val="22"/>
          <w:szCs w:val="22"/>
        </w:rPr>
        <w:t xml:space="preserve">ve znění </w:t>
      </w:r>
      <w:r w:rsidR="00A32E68" w:rsidRPr="00162694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403D11" w:rsidRPr="00162694">
        <w:rPr>
          <w:rFonts w:ascii="Arial" w:hAnsi="Arial" w:cs="Arial"/>
          <w:b w:val="0"/>
          <w:sz w:val="22"/>
          <w:szCs w:val="22"/>
        </w:rPr>
        <w:t>předpisů.</w:t>
      </w:r>
    </w:p>
    <w:p w:rsidR="00FC6276" w:rsidRDefault="00FC627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02FDA" w:rsidRPr="00162694" w:rsidRDefault="00302FD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C6276" w:rsidRPr="00162694" w:rsidRDefault="00FC6276" w:rsidP="00FC627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III.</w:t>
      </w:r>
    </w:p>
    <w:p w:rsidR="00103C79" w:rsidRPr="00162694" w:rsidRDefault="00103C79" w:rsidP="00103C79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Prodávající touto smlouvou prodává kupujícímu pozemky specifikované v čl. I této smlouvy jako oprávněnému z předkupního práva a ten je, ve stavu, v jakém se nacházejí ke dni </w:t>
      </w:r>
      <w:r w:rsidR="00212F85">
        <w:rPr>
          <w:rFonts w:ascii="Arial" w:hAnsi="Arial" w:cs="Arial"/>
          <w:sz w:val="22"/>
          <w:szCs w:val="22"/>
        </w:rPr>
        <w:t xml:space="preserve">účinnosti </w:t>
      </w:r>
      <w:r w:rsidRPr="00162694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 základě této smlouvy.</w:t>
      </w:r>
    </w:p>
    <w:p w:rsidR="00A32E68" w:rsidRPr="00162694" w:rsidRDefault="00A32E68" w:rsidP="00A32E6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901036" w:rsidRPr="00162694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FC7C54" w:rsidP="00103C79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I</w:t>
      </w:r>
      <w:r w:rsidR="00901036" w:rsidRPr="00162694">
        <w:rPr>
          <w:rFonts w:ascii="Arial" w:hAnsi="Arial" w:cs="Arial"/>
          <w:sz w:val="22"/>
          <w:szCs w:val="22"/>
        </w:rPr>
        <w:t>V.</w:t>
      </w:r>
    </w:p>
    <w:p w:rsidR="00250966" w:rsidRPr="00162694" w:rsidRDefault="00250966" w:rsidP="00103C7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562A3" w:rsidRPr="00162694" w:rsidRDefault="00A562A3" w:rsidP="00A562A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1) Kupní cena prodávaných pozemků </w:t>
      </w:r>
      <w:r w:rsidR="00A32E68" w:rsidRPr="00162694">
        <w:rPr>
          <w:rFonts w:ascii="Arial" w:hAnsi="Arial" w:cs="Arial"/>
          <w:sz w:val="22"/>
          <w:szCs w:val="22"/>
        </w:rPr>
        <w:t>byla stanovena a je hrazena takto</w:t>
      </w:r>
      <w:r w:rsidRPr="00162694">
        <w:rPr>
          <w:rFonts w:ascii="Arial" w:hAnsi="Arial" w:cs="Arial"/>
          <w:sz w:val="22"/>
          <w:szCs w:val="22"/>
        </w:rPr>
        <w:t>:</w:t>
      </w:r>
    </w:p>
    <w:p w:rsidR="00A32E68" w:rsidRPr="00162694" w:rsidRDefault="00A32E68" w:rsidP="00A32E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46"/>
        <w:gridCol w:w="2316"/>
        <w:gridCol w:w="2027"/>
        <w:gridCol w:w="1900"/>
      </w:tblGrid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Katastrální</w:t>
            </w: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Území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proofErr w:type="gramStart"/>
            <w:r w:rsidRPr="00250966">
              <w:rPr>
                <w:rFonts w:ascii="Arial" w:hAnsi="Arial" w:cs="Arial"/>
                <w:sz w:val="21"/>
                <w:szCs w:val="21"/>
              </w:rPr>
              <w:t>Parc</w:t>
            </w:r>
            <w:proofErr w:type="gramEnd"/>
            <w:r w:rsidRPr="00250966">
              <w:rPr>
                <w:rFonts w:ascii="Arial" w:hAnsi="Arial" w:cs="Arial"/>
                <w:sz w:val="21"/>
                <w:szCs w:val="21"/>
              </w:rPr>
              <w:t>.</w:t>
            </w:r>
            <w:proofErr w:type="gramStart"/>
            <w:r w:rsidRPr="00250966">
              <w:rPr>
                <w:rFonts w:ascii="Arial" w:hAnsi="Arial" w:cs="Arial"/>
                <w:sz w:val="21"/>
                <w:szCs w:val="21"/>
              </w:rPr>
              <w:t>č</w:t>
            </w:r>
            <w:proofErr w:type="spellEnd"/>
            <w:r w:rsidRPr="00250966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Kupní cena</w:t>
            </w: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Před podpisem zaplaceno na úhradu kupní ceny 10% v</w:t>
            </w:r>
            <w:r w:rsidR="00F26835" w:rsidRPr="00250966">
              <w:rPr>
                <w:rFonts w:ascii="Arial" w:hAnsi="Arial" w:cs="Arial"/>
                <w:sz w:val="21"/>
                <w:szCs w:val="21"/>
              </w:rPr>
              <w:t> </w:t>
            </w:r>
            <w:r w:rsidRPr="00250966">
              <w:rPr>
                <w:rFonts w:ascii="Arial" w:hAnsi="Arial" w:cs="Arial"/>
                <w:sz w:val="21"/>
                <w:szCs w:val="21"/>
              </w:rPr>
              <w:t>Kč</w:t>
            </w:r>
          </w:p>
          <w:p w:rsidR="00F26835" w:rsidRPr="00250966" w:rsidRDefault="00F26835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 w:rsidP="00A402F7">
            <w:pPr>
              <w:pStyle w:val="para"/>
              <w:rPr>
                <w:rFonts w:ascii="Arial" w:hAnsi="Arial" w:cs="Arial"/>
                <w:sz w:val="21"/>
                <w:szCs w:val="21"/>
              </w:rPr>
            </w:pP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Zbývá uhradit</w:t>
            </w:r>
          </w:p>
          <w:p w:rsidR="00A32E68" w:rsidRPr="00250966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 w:rsidP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 xml:space="preserve">KN 3108/6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1 353 900,00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 w:rsidP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135 390,00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 w:rsidP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1 218 510,00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KN 3108/29</w:t>
            </w:r>
            <w:r w:rsidR="00A32E68" w:rsidRPr="0025096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290 440,00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29 044,00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261 396,00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 xml:space="preserve">KN 3125/4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670 490,00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67 049,00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603 441,00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 xml:space="preserve">KN 3125/14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155 780,00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15 578,00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140 202,00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 xml:space="preserve">KN 3148/1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726 250,00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72 625,00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653 625,00 Kč</w:t>
            </w:r>
          </w:p>
        </w:tc>
      </w:tr>
      <w:tr w:rsidR="00A32E68" w:rsidRPr="00162694" w:rsidTr="00DC387F"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Valtice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250966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 xml:space="preserve">KN 3178/2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434 670,00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43 467,00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250966" w:rsidRDefault="00A32E68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0966">
              <w:rPr>
                <w:rFonts w:ascii="Arial" w:hAnsi="Arial" w:cs="Arial"/>
                <w:sz w:val="21"/>
                <w:szCs w:val="21"/>
              </w:rPr>
              <w:t>391 203,00 Kč</w:t>
            </w:r>
          </w:p>
        </w:tc>
      </w:tr>
      <w:tr w:rsidR="00A32E68" w:rsidRPr="00162694" w:rsidTr="00DC387F">
        <w:trPr>
          <w:cantSplit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DC387F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C387F">
              <w:rPr>
                <w:rFonts w:ascii="Arial" w:hAnsi="Arial" w:cs="Arial"/>
                <w:b/>
                <w:sz w:val="21"/>
                <w:szCs w:val="21"/>
              </w:rPr>
              <w:t>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DC387F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C387F">
              <w:rPr>
                <w:rFonts w:ascii="Arial" w:hAnsi="Arial" w:cs="Arial"/>
                <w:b/>
                <w:color w:val="000000"/>
                <w:sz w:val="21"/>
                <w:szCs w:val="21"/>
              </w:rPr>
              <w:t>3 631 530,00 Kč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8" w:rsidRPr="00DC387F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C387F">
              <w:rPr>
                <w:rFonts w:ascii="Arial" w:hAnsi="Arial" w:cs="Arial"/>
                <w:b/>
                <w:color w:val="000000"/>
                <w:sz w:val="21"/>
                <w:szCs w:val="21"/>
              </w:rPr>
              <w:t>363 153,00 Kč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E68" w:rsidRPr="00DC387F" w:rsidRDefault="00A32E68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C387F">
              <w:rPr>
                <w:rFonts w:ascii="Arial" w:hAnsi="Arial" w:cs="Arial"/>
                <w:b/>
                <w:color w:val="000000"/>
                <w:sz w:val="21"/>
                <w:szCs w:val="21"/>
              </w:rPr>
              <w:t>3 268 377,00 Kč</w:t>
            </w:r>
          </w:p>
        </w:tc>
      </w:tr>
    </w:tbl>
    <w:p w:rsidR="00A32E68" w:rsidRPr="00162694" w:rsidRDefault="00A32E68" w:rsidP="00A32E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E3324" w:rsidRPr="00162694" w:rsidRDefault="00A945C6" w:rsidP="00E83E1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2) Část kupní ceny ve výši </w:t>
      </w:r>
      <w:r w:rsidRPr="00250966">
        <w:rPr>
          <w:rFonts w:ascii="Arial" w:hAnsi="Arial" w:cs="Arial"/>
          <w:b/>
          <w:sz w:val="22"/>
          <w:szCs w:val="22"/>
        </w:rPr>
        <w:t>363 153,00 Kč</w:t>
      </w:r>
      <w:r w:rsidRPr="00162694">
        <w:rPr>
          <w:rFonts w:ascii="Arial" w:hAnsi="Arial" w:cs="Arial"/>
          <w:sz w:val="22"/>
          <w:szCs w:val="22"/>
        </w:rPr>
        <w:t xml:space="preserve"> (slovy:</w:t>
      </w:r>
      <w:r w:rsidR="00146E9E" w:rsidRPr="00162694">
        <w:rPr>
          <w:rFonts w:ascii="Arial" w:hAnsi="Arial" w:cs="Arial"/>
          <w:sz w:val="22"/>
          <w:szCs w:val="22"/>
        </w:rPr>
        <w:t xml:space="preserve"> tři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sta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šedesát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tři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tisíce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jedno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sto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padesát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146E9E" w:rsidRPr="00162694">
        <w:rPr>
          <w:rFonts w:ascii="Arial" w:hAnsi="Arial" w:cs="Arial"/>
          <w:sz w:val="22"/>
          <w:szCs w:val="22"/>
        </w:rPr>
        <w:t>tři koruny české</w:t>
      </w:r>
      <w:r w:rsidRPr="00162694">
        <w:rPr>
          <w:rFonts w:ascii="Arial" w:hAnsi="Arial" w:cs="Arial"/>
          <w:sz w:val="22"/>
          <w:szCs w:val="22"/>
        </w:rPr>
        <w:t>) kupující zaplatil prodávajícímu před podpisem této smlouvy</w:t>
      </w:r>
      <w:r w:rsidR="00E83E1D" w:rsidRPr="00162694">
        <w:rPr>
          <w:rFonts w:ascii="Arial" w:hAnsi="Arial" w:cs="Arial"/>
          <w:sz w:val="22"/>
          <w:szCs w:val="22"/>
        </w:rPr>
        <w:t xml:space="preserve"> formou zálohy na úhradu kupní ceny, zbývající část, to jest částka ve výši </w:t>
      </w:r>
      <w:r w:rsidR="00E83E1D" w:rsidRPr="00250966">
        <w:rPr>
          <w:rFonts w:ascii="Arial" w:hAnsi="Arial" w:cs="Arial"/>
          <w:b/>
          <w:sz w:val="22"/>
          <w:szCs w:val="22"/>
        </w:rPr>
        <w:t>3 268 377,00 Kč</w:t>
      </w:r>
      <w:r w:rsidR="00E83E1D" w:rsidRPr="00162694">
        <w:rPr>
          <w:rFonts w:ascii="Arial" w:hAnsi="Arial" w:cs="Arial"/>
          <w:sz w:val="22"/>
          <w:szCs w:val="22"/>
        </w:rPr>
        <w:t xml:space="preserve"> (slovy: tři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miliony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dvě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stě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šedesát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osm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tisíc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tři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sta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sedmdesát</w:t>
      </w:r>
      <w:r w:rsidR="00250966">
        <w:rPr>
          <w:rFonts w:ascii="Arial" w:hAnsi="Arial" w:cs="Arial"/>
          <w:sz w:val="22"/>
          <w:szCs w:val="22"/>
        </w:rPr>
        <w:t xml:space="preserve"> </w:t>
      </w:r>
      <w:r w:rsidR="00E83E1D" w:rsidRPr="00162694">
        <w:rPr>
          <w:rFonts w:ascii="Arial" w:hAnsi="Arial" w:cs="Arial"/>
          <w:sz w:val="22"/>
          <w:szCs w:val="22"/>
        </w:rPr>
        <w:t>sedm korun českých) bude uhrazena do 60 dnů ode dne účinnosti této smlouvy, která v souladu s ustanovením § 6 odst. 1 zákona č.  340/2015 Sb., o registru smluv, v platném znění, nabývá účinnosti dnem uveřejnění vyznačeným na poslední straně této smlouvy (doložka účinnosti smlouvy), není-li v textu této smlouvy stanoveno datum pozdější.</w:t>
      </w:r>
    </w:p>
    <w:p w:rsidR="00CE3324" w:rsidRPr="00162694" w:rsidRDefault="00E83E1D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A94">
        <w:rPr>
          <w:rFonts w:ascii="Arial" w:hAnsi="Arial" w:cs="Arial"/>
          <w:sz w:val="22"/>
          <w:szCs w:val="22"/>
        </w:rPr>
        <w:t>3</w:t>
      </w:r>
      <w:r w:rsidR="00CE3324" w:rsidRPr="00992A94">
        <w:rPr>
          <w:rFonts w:ascii="Arial" w:hAnsi="Arial" w:cs="Arial"/>
          <w:sz w:val="22"/>
          <w:szCs w:val="22"/>
        </w:rPr>
        <w:t>) Nedodrží-li kupující lhůtu pro úhradu kupní cen</w:t>
      </w:r>
      <w:r w:rsidR="002461A1" w:rsidRPr="00992A94">
        <w:rPr>
          <w:rFonts w:ascii="Arial" w:hAnsi="Arial" w:cs="Arial"/>
          <w:sz w:val="22"/>
          <w:szCs w:val="22"/>
        </w:rPr>
        <w:t>y podle tohoto článku, je</w:t>
      </w:r>
      <w:r w:rsidR="00CE3324" w:rsidRPr="00992A94">
        <w:rPr>
          <w:rFonts w:ascii="Arial" w:hAnsi="Arial" w:cs="Arial"/>
          <w:sz w:val="22"/>
          <w:szCs w:val="22"/>
        </w:rPr>
        <w:t xml:space="preserve"> povinen </w:t>
      </w:r>
      <w:r w:rsidR="00992A94" w:rsidRPr="00992A94">
        <w:rPr>
          <w:rFonts w:ascii="Arial" w:hAnsi="Arial" w:cs="Arial"/>
          <w:sz w:val="22"/>
          <w:szCs w:val="22"/>
        </w:rPr>
        <w:t>podle § </w:t>
      </w:r>
      <w:r w:rsidR="00250966" w:rsidRPr="00992A94">
        <w:rPr>
          <w:rFonts w:ascii="Arial" w:hAnsi="Arial" w:cs="Arial"/>
          <w:sz w:val="22"/>
          <w:szCs w:val="22"/>
        </w:rPr>
        <w:t>1968</w:t>
      </w:r>
      <w:r w:rsidR="00403D11" w:rsidRPr="00992A94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CE3324" w:rsidRPr="00992A94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403D11" w:rsidRPr="00162694" w:rsidRDefault="00E83E1D" w:rsidP="00403D11">
      <w:pPr>
        <w:pStyle w:val="vnintext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4</w:t>
      </w:r>
      <w:r w:rsidR="00403D11" w:rsidRPr="00162694">
        <w:rPr>
          <w:rFonts w:ascii="Arial" w:hAnsi="Arial" w:cs="Arial"/>
          <w:sz w:val="22"/>
          <w:szCs w:val="22"/>
        </w:rPr>
        <w:t xml:space="preserve">) K zajištění dosud nezaplacené kupní ceny vzniká dnem převodu pozemků podle této smlouvy ze zákona podle § 15 zákona č. 503/2012 Sb., o Státním pozemkovém úřadu, zástavní právo státu. Smluvní strany prohlašují, že vznik tohoto práva není sporný ani pochybný. </w:t>
      </w:r>
    </w:p>
    <w:p w:rsidR="00403D11" w:rsidRPr="00162694" w:rsidRDefault="00E83E1D" w:rsidP="00FC7C54">
      <w:pPr>
        <w:pStyle w:val="vnintext"/>
        <w:rPr>
          <w:rFonts w:ascii="Arial" w:hAnsi="Arial" w:cs="Arial"/>
          <w:b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5</w:t>
      </w:r>
      <w:r w:rsidR="00403D11" w:rsidRPr="00162694">
        <w:rPr>
          <w:rFonts w:ascii="Arial" w:hAnsi="Arial" w:cs="Arial"/>
          <w:sz w:val="22"/>
          <w:szCs w:val="22"/>
        </w:rPr>
        <w:t xml:space="preserve">) Pozemky, na němž je státem uplatněno </w:t>
      </w:r>
      <w:r w:rsidR="00FC7C54" w:rsidRPr="00162694">
        <w:rPr>
          <w:rFonts w:ascii="Arial" w:hAnsi="Arial" w:cs="Arial"/>
          <w:sz w:val="22"/>
          <w:szCs w:val="22"/>
        </w:rPr>
        <w:t>zástavní</w:t>
      </w:r>
      <w:r w:rsidR="00403D11" w:rsidRPr="00162694">
        <w:rPr>
          <w:rFonts w:ascii="Arial" w:hAnsi="Arial" w:cs="Arial"/>
          <w:sz w:val="22"/>
          <w:szCs w:val="22"/>
        </w:rPr>
        <w:t xml:space="preserve"> právo, nesmí kupující učinit předmětem dalšího zástavního práva, s výjimkou zástavního práva na poskytnutí bankovního úvěru na zaplacení celé kupní ceny.</w:t>
      </w:r>
    </w:p>
    <w:p w:rsidR="00403D11" w:rsidRPr="00162694" w:rsidRDefault="00E83E1D" w:rsidP="00403D11">
      <w:pPr>
        <w:pStyle w:val="vnintext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6</w:t>
      </w:r>
      <w:r w:rsidR="00403D11" w:rsidRPr="00162694">
        <w:rPr>
          <w:rFonts w:ascii="Arial" w:hAnsi="Arial" w:cs="Arial"/>
          <w:sz w:val="22"/>
          <w:szCs w:val="22"/>
        </w:rPr>
        <w:t xml:space="preserve">) Jestliže kupující poruší </w:t>
      </w:r>
      <w:r w:rsidR="00FC7C54" w:rsidRPr="00162694">
        <w:rPr>
          <w:rFonts w:ascii="Arial" w:hAnsi="Arial" w:cs="Arial"/>
          <w:sz w:val="22"/>
          <w:szCs w:val="22"/>
        </w:rPr>
        <w:t xml:space="preserve">omezení stanovené v bodu </w:t>
      </w:r>
      <w:r w:rsidRPr="00162694">
        <w:rPr>
          <w:rFonts w:ascii="Arial" w:hAnsi="Arial" w:cs="Arial"/>
          <w:sz w:val="22"/>
          <w:szCs w:val="22"/>
        </w:rPr>
        <w:t>5</w:t>
      </w:r>
      <w:r w:rsidR="00403D11" w:rsidRPr="00162694">
        <w:rPr>
          <w:rFonts w:ascii="Arial" w:hAnsi="Arial" w:cs="Arial"/>
          <w:sz w:val="22"/>
          <w:szCs w:val="22"/>
        </w:rPr>
        <w:t xml:space="preserve"> tohoto článku, </w:t>
      </w:r>
      <w:r w:rsidR="00250966" w:rsidRPr="00162694">
        <w:rPr>
          <w:rFonts w:ascii="Arial" w:hAnsi="Arial" w:cs="Arial"/>
          <w:sz w:val="22"/>
          <w:szCs w:val="22"/>
        </w:rPr>
        <w:t>zavazuje se</w:t>
      </w:r>
      <w:r w:rsidR="00403D11" w:rsidRPr="00162694">
        <w:rPr>
          <w:rFonts w:ascii="Arial" w:hAnsi="Arial" w:cs="Arial"/>
          <w:sz w:val="22"/>
          <w:szCs w:val="22"/>
        </w:rPr>
        <w:t xml:space="preserve"> za každé jednotlivé porušení zaplatit prodávajícímu smluvní pokutu ve výši 10% z kupní ceny.</w:t>
      </w:r>
    </w:p>
    <w:p w:rsidR="00CE3324" w:rsidRPr="00162694" w:rsidRDefault="00E83E1D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7</w:t>
      </w:r>
      <w:r w:rsidR="00CE3324" w:rsidRPr="00162694">
        <w:rPr>
          <w:rFonts w:ascii="Arial" w:hAnsi="Arial" w:cs="Arial"/>
          <w:sz w:val="22"/>
          <w:szCs w:val="22"/>
        </w:rPr>
        <w:t>) Prodlení kupujícího s úhradou kterékoli splátky kupní ceny delší než 30 dnů je důvodem pro odstoupení od této smlouvy ze strany prodávajícího.</w:t>
      </w:r>
    </w:p>
    <w:p w:rsidR="00901036" w:rsidRPr="00162694" w:rsidRDefault="00E83E1D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8</w:t>
      </w:r>
      <w:r w:rsidR="00CE3324" w:rsidRPr="00162694">
        <w:rPr>
          <w:rFonts w:ascii="Arial" w:hAnsi="Arial" w:cs="Arial"/>
          <w:sz w:val="22"/>
          <w:szCs w:val="22"/>
        </w:rPr>
        <w:t>) Zaplacením se rozumí den připsání placené částky na účet prodávajícího uvedený v záhlaví této smlouvy.</w:t>
      </w: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1626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 w:rsidRPr="00162694">
        <w:rPr>
          <w:rFonts w:ascii="Arial" w:hAnsi="Arial" w:cs="Arial"/>
          <w:sz w:val="22"/>
          <w:szCs w:val="22"/>
        </w:rPr>
        <w:t>c pozemků</w:t>
      </w:r>
      <w:r w:rsidRPr="00162694">
        <w:rPr>
          <w:rFonts w:ascii="Arial" w:hAnsi="Arial" w:cs="Arial"/>
          <w:sz w:val="22"/>
          <w:szCs w:val="22"/>
        </w:rPr>
        <w:t>.</w:t>
      </w:r>
    </w:p>
    <w:p w:rsidR="00CE3324" w:rsidRPr="00162694" w:rsidRDefault="00CE332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2) Převáděné pozemky kupující užívá a jsou mu </w:t>
      </w:r>
      <w:r w:rsidR="00170034" w:rsidRPr="00162694">
        <w:rPr>
          <w:rFonts w:ascii="Arial" w:hAnsi="Arial" w:cs="Arial"/>
          <w:sz w:val="22"/>
          <w:szCs w:val="22"/>
        </w:rPr>
        <w:t>pronajaty</w:t>
      </w:r>
      <w:r w:rsidR="00FF3901">
        <w:rPr>
          <w:rFonts w:ascii="Arial" w:hAnsi="Arial" w:cs="Arial"/>
          <w:sz w:val="22"/>
          <w:szCs w:val="22"/>
        </w:rPr>
        <w:t xml:space="preserve"> nájemní</w:t>
      </w:r>
      <w:r w:rsidR="00170034" w:rsidRPr="00162694">
        <w:rPr>
          <w:rFonts w:ascii="Arial" w:hAnsi="Arial" w:cs="Arial"/>
          <w:sz w:val="22"/>
          <w:szCs w:val="22"/>
        </w:rPr>
        <w:t xml:space="preserve"> </w:t>
      </w:r>
      <w:r w:rsidRPr="00162694">
        <w:rPr>
          <w:rFonts w:ascii="Arial" w:hAnsi="Arial" w:cs="Arial"/>
          <w:sz w:val="22"/>
          <w:szCs w:val="22"/>
        </w:rPr>
        <w:t xml:space="preserve">smlouvou </w:t>
      </w:r>
      <w:r w:rsidR="00F2242C" w:rsidRPr="00162694">
        <w:rPr>
          <w:rFonts w:ascii="Arial" w:hAnsi="Arial" w:cs="Arial"/>
          <w:sz w:val="22"/>
          <w:szCs w:val="22"/>
        </w:rPr>
        <w:t>č</w:t>
      </w:r>
      <w:r w:rsidR="00FF3901">
        <w:rPr>
          <w:rFonts w:ascii="Arial" w:hAnsi="Arial" w:cs="Arial"/>
          <w:sz w:val="22"/>
          <w:szCs w:val="22"/>
        </w:rPr>
        <w:t>. 96 – N - </w:t>
      </w:r>
      <w:r w:rsidR="00A5111C">
        <w:rPr>
          <w:rFonts w:ascii="Arial" w:hAnsi="Arial" w:cs="Arial"/>
          <w:sz w:val="22"/>
          <w:szCs w:val="22"/>
        </w:rPr>
        <w:t xml:space="preserve">04/59 a č. 660 – N - 04/59 </w:t>
      </w:r>
      <w:r w:rsidRPr="00162694">
        <w:rPr>
          <w:rFonts w:ascii="Arial" w:hAnsi="Arial" w:cs="Arial"/>
          <w:sz w:val="22"/>
          <w:szCs w:val="22"/>
        </w:rPr>
        <w:t>na dobu určitou, která není kratší než pět let.</w:t>
      </w:r>
    </w:p>
    <w:p w:rsidR="00CE3324" w:rsidRPr="00162694" w:rsidRDefault="00FD7A7E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Na </w:t>
      </w:r>
      <w:r w:rsidR="00CE3324" w:rsidRPr="00162694">
        <w:rPr>
          <w:rFonts w:ascii="Arial" w:hAnsi="Arial" w:cs="Arial"/>
          <w:sz w:val="22"/>
          <w:szCs w:val="22"/>
        </w:rPr>
        <w:t xml:space="preserve">pozemcích kupující nebo jeho právní předchůdce zřídil trvalý porost se souhlasem </w:t>
      </w:r>
      <w:r w:rsidR="00170034" w:rsidRPr="00162694">
        <w:rPr>
          <w:rFonts w:ascii="Arial" w:hAnsi="Arial" w:cs="Arial"/>
          <w:sz w:val="22"/>
          <w:szCs w:val="22"/>
        </w:rPr>
        <w:t xml:space="preserve">Státního pozemkového úřadu nebo </w:t>
      </w:r>
      <w:r w:rsidR="00A5111C">
        <w:rPr>
          <w:rFonts w:ascii="Arial" w:hAnsi="Arial" w:cs="Arial"/>
          <w:sz w:val="22"/>
          <w:szCs w:val="22"/>
        </w:rPr>
        <w:t>Pozemkového fondu ČR vydaným</w:t>
      </w:r>
      <w:r w:rsidR="00CE3324" w:rsidRPr="00162694">
        <w:rPr>
          <w:rFonts w:ascii="Arial" w:hAnsi="Arial" w:cs="Arial"/>
          <w:sz w:val="22"/>
          <w:szCs w:val="22"/>
        </w:rPr>
        <w:t xml:space="preserve"> </w:t>
      </w:r>
      <w:r w:rsidR="00191C2A" w:rsidRPr="00162694">
        <w:rPr>
          <w:rFonts w:ascii="Arial" w:hAnsi="Arial" w:cs="Arial"/>
          <w:sz w:val="22"/>
          <w:szCs w:val="22"/>
        </w:rPr>
        <w:t>PF ČR</w:t>
      </w:r>
      <w:r w:rsidR="00CE3324" w:rsidRPr="00162694">
        <w:rPr>
          <w:rFonts w:ascii="Arial" w:hAnsi="Arial" w:cs="Arial"/>
          <w:sz w:val="22"/>
          <w:szCs w:val="22"/>
        </w:rPr>
        <w:t xml:space="preserve"> dne </w:t>
      </w:r>
      <w:r w:rsidR="00A5111C">
        <w:rPr>
          <w:rFonts w:ascii="Arial" w:hAnsi="Arial" w:cs="Arial"/>
          <w:sz w:val="22"/>
          <w:szCs w:val="22"/>
        </w:rPr>
        <w:t>12. 3. </w:t>
      </w:r>
      <w:r w:rsidR="00A5111C" w:rsidRPr="00162694">
        <w:rPr>
          <w:rFonts w:ascii="Arial" w:hAnsi="Arial" w:cs="Arial"/>
          <w:sz w:val="22"/>
          <w:szCs w:val="22"/>
        </w:rPr>
        <w:t>2004</w:t>
      </w:r>
      <w:r w:rsidR="00CE3324" w:rsidRPr="00162694">
        <w:rPr>
          <w:rFonts w:ascii="Arial" w:hAnsi="Arial" w:cs="Arial"/>
          <w:sz w:val="22"/>
          <w:szCs w:val="22"/>
        </w:rPr>
        <w:t>.</w:t>
      </w:r>
    </w:p>
    <w:p w:rsidR="00110C77" w:rsidRDefault="00C51EDA" w:rsidP="00C51ED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D0214">
        <w:rPr>
          <w:rFonts w:ascii="Arial" w:hAnsi="Arial" w:cs="Arial"/>
          <w:sz w:val="22"/>
          <w:szCs w:val="22"/>
        </w:rPr>
        <w:t>3) Prodávané pozemky jsou součástí honitby, jejímž držitelem je Honební společenstvo Valtice. Prodávajíc</w:t>
      </w:r>
      <w:r w:rsidR="00BD0214" w:rsidRPr="00BD0214">
        <w:rPr>
          <w:rFonts w:ascii="Arial" w:hAnsi="Arial" w:cs="Arial"/>
          <w:sz w:val="22"/>
          <w:szCs w:val="22"/>
        </w:rPr>
        <w:t>í a kupující uzavřeli Dohodu o ná</w:t>
      </w:r>
      <w:r w:rsidRPr="00BD0214">
        <w:rPr>
          <w:rFonts w:ascii="Arial" w:hAnsi="Arial" w:cs="Arial"/>
          <w:sz w:val="22"/>
          <w:szCs w:val="22"/>
        </w:rPr>
        <w:t xml:space="preserve">hradě za </w:t>
      </w:r>
      <w:r w:rsidR="00BD0214" w:rsidRPr="00BD0214">
        <w:rPr>
          <w:rFonts w:ascii="Arial" w:hAnsi="Arial" w:cs="Arial"/>
          <w:sz w:val="22"/>
          <w:szCs w:val="22"/>
        </w:rPr>
        <w:t>užívání</w:t>
      </w:r>
      <w:r w:rsidRPr="00BD0214">
        <w:rPr>
          <w:rFonts w:ascii="Arial" w:hAnsi="Arial" w:cs="Arial"/>
          <w:sz w:val="22"/>
          <w:szCs w:val="22"/>
        </w:rPr>
        <w:t xml:space="preserve"> honební</w:t>
      </w:r>
      <w:r w:rsidR="00BD0214" w:rsidRPr="00BD0214">
        <w:rPr>
          <w:rFonts w:ascii="Arial" w:hAnsi="Arial" w:cs="Arial"/>
          <w:sz w:val="22"/>
          <w:szCs w:val="22"/>
        </w:rPr>
        <w:t>ch pozemků</w:t>
      </w:r>
      <w:r w:rsidRPr="00BD0214">
        <w:rPr>
          <w:rFonts w:ascii="Arial" w:hAnsi="Arial" w:cs="Arial"/>
          <w:sz w:val="22"/>
          <w:szCs w:val="22"/>
        </w:rPr>
        <w:t xml:space="preserve"> č. 3M18/59 ze dne 31. 12. 20018, jejímž předmětem jsou uvedené pozemky.</w:t>
      </w:r>
    </w:p>
    <w:p w:rsidR="00110C77" w:rsidRPr="00110C77" w:rsidRDefault="00110C77" w:rsidP="00110C7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10C77">
        <w:rPr>
          <w:rFonts w:ascii="Arial" w:hAnsi="Arial" w:cs="Arial"/>
          <w:sz w:val="22"/>
          <w:szCs w:val="22"/>
        </w:rPr>
        <w:t xml:space="preserve">Kupující prohlašuje, že je plně seznámen se skutečností, že k prodávaným pozemkům </w:t>
      </w:r>
      <w:r w:rsidR="00AC17E9">
        <w:rPr>
          <w:rFonts w:ascii="Arial" w:hAnsi="Arial" w:cs="Arial"/>
          <w:sz w:val="22"/>
          <w:szCs w:val="22"/>
        </w:rPr>
        <w:t xml:space="preserve">KN 3125/4, KN 3108/6, </w:t>
      </w:r>
      <w:r w:rsidR="007917F9">
        <w:rPr>
          <w:rFonts w:ascii="Arial" w:hAnsi="Arial" w:cs="Arial"/>
          <w:sz w:val="22"/>
          <w:szCs w:val="22"/>
        </w:rPr>
        <w:t>KN 3108/29, KN</w:t>
      </w:r>
      <w:r w:rsidR="00D2134A">
        <w:rPr>
          <w:rFonts w:ascii="Arial" w:hAnsi="Arial" w:cs="Arial"/>
          <w:sz w:val="22"/>
          <w:szCs w:val="22"/>
        </w:rPr>
        <w:t xml:space="preserve"> 3148/1</w:t>
      </w:r>
      <w:r w:rsidR="008F3539">
        <w:rPr>
          <w:rFonts w:ascii="Arial" w:hAnsi="Arial" w:cs="Arial"/>
          <w:sz w:val="22"/>
          <w:szCs w:val="22"/>
        </w:rPr>
        <w:t xml:space="preserve"> </w:t>
      </w:r>
      <w:r w:rsidRPr="00110C77">
        <w:rPr>
          <w:rFonts w:ascii="Arial" w:hAnsi="Arial" w:cs="Arial"/>
          <w:sz w:val="22"/>
          <w:szCs w:val="22"/>
        </w:rPr>
        <w:t xml:space="preserve">byla podána žaloba oprávněné osoby podle zákona č. 229/1991 Sb., o úpravě vlastnických vztahů k půdě a jinému zemědělskému majetku v platném znění, a pozemky jsou dotčeny probíhajícím soudním sporem </w:t>
      </w:r>
      <w:proofErr w:type="spellStart"/>
      <w:r w:rsidR="00D2134A">
        <w:rPr>
          <w:rFonts w:ascii="Arial" w:hAnsi="Arial" w:cs="Arial"/>
          <w:sz w:val="22"/>
          <w:szCs w:val="22"/>
        </w:rPr>
        <w:t>sp</w:t>
      </w:r>
      <w:proofErr w:type="spellEnd"/>
      <w:r w:rsidR="00D2134A">
        <w:rPr>
          <w:rFonts w:ascii="Arial" w:hAnsi="Arial" w:cs="Arial"/>
          <w:sz w:val="22"/>
          <w:szCs w:val="22"/>
        </w:rPr>
        <w:t>. zn.</w:t>
      </w:r>
      <w:r>
        <w:rPr>
          <w:rFonts w:ascii="Arial" w:hAnsi="Arial" w:cs="Arial"/>
          <w:sz w:val="22"/>
          <w:szCs w:val="22"/>
        </w:rPr>
        <w:t xml:space="preserve"> 5C 159/2019. </w:t>
      </w:r>
    </w:p>
    <w:p w:rsidR="00110C77" w:rsidRPr="00110C77" w:rsidRDefault="00110C77" w:rsidP="00110C7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10C77">
        <w:rPr>
          <w:rFonts w:ascii="Arial" w:hAnsi="Arial" w:cs="Arial"/>
          <w:sz w:val="22"/>
          <w:szCs w:val="22"/>
        </w:rPr>
        <w:t>V případě, že převod pozemků dle této smlouvy na kupujícího bude v důsledku probíhajícího soudního sporu zmařen nebo pozdržen, vzdává se tímto kupující v celém rozsahu práva na náhradu jakékoliv škody nebo újmy, která by mu mohla být způsobena.</w:t>
      </w:r>
    </w:p>
    <w:p w:rsidR="00901036" w:rsidRPr="00162694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111C" w:rsidRPr="00162694" w:rsidRDefault="00A5111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VI.</w:t>
      </w:r>
    </w:p>
    <w:p w:rsidR="009A26A3" w:rsidRPr="00162694" w:rsidRDefault="009A26A3" w:rsidP="009A26A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1) Smluvní strany se dohodly, že prodávající podá návrh na vklad vlastnického práva na základě této smlouvy u příslušného katastrálního úřadu do 30 dnů ode dne účinnosti této smlouvy.</w:t>
      </w:r>
    </w:p>
    <w:p w:rsidR="009A26A3" w:rsidRPr="00162694" w:rsidRDefault="009A26A3" w:rsidP="009A26A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70034" w:rsidRPr="00162694" w:rsidRDefault="00170034" w:rsidP="00170034">
      <w:pPr>
        <w:pStyle w:val="vnintext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bCs/>
          <w:sz w:val="22"/>
          <w:szCs w:val="22"/>
        </w:rPr>
        <w:t xml:space="preserve">3) </w:t>
      </w:r>
      <w:r w:rsidR="00567CEE" w:rsidRPr="00162694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A5111C" w:rsidRDefault="00A5111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VII.</w:t>
      </w:r>
    </w:p>
    <w:p w:rsidR="00901036" w:rsidRPr="001626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1626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2) Tato smlouva je vyhotovena </w:t>
      </w:r>
      <w:r w:rsidR="00A5111C" w:rsidRPr="00162694">
        <w:rPr>
          <w:rFonts w:ascii="Arial" w:hAnsi="Arial" w:cs="Arial"/>
          <w:sz w:val="22"/>
          <w:szCs w:val="22"/>
        </w:rPr>
        <w:t xml:space="preserve">ve </w:t>
      </w:r>
      <w:r w:rsidR="00A5111C" w:rsidRPr="00162694">
        <w:rPr>
          <w:rFonts w:ascii="Arial" w:hAnsi="Arial" w:cs="Arial"/>
          <w:color w:val="000000"/>
          <w:sz w:val="22"/>
          <w:szCs w:val="22"/>
        </w:rPr>
        <w:t>3</w:t>
      </w:r>
      <w:r w:rsidR="00A5111C" w:rsidRPr="00162694">
        <w:rPr>
          <w:rFonts w:ascii="Arial" w:hAnsi="Arial" w:cs="Arial"/>
          <w:sz w:val="22"/>
          <w:szCs w:val="22"/>
        </w:rPr>
        <w:t xml:space="preserve"> stejnopisech</w:t>
      </w:r>
      <w:r w:rsidRPr="00162694">
        <w:rPr>
          <w:rFonts w:ascii="Arial" w:hAnsi="Arial" w:cs="Arial"/>
          <w:sz w:val="22"/>
          <w:szCs w:val="22"/>
        </w:rPr>
        <w:t>, z nichž každý má platnost originálu.</w:t>
      </w:r>
      <w:r w:rsidR="00A5111C">
        <w:rPr>
          <w:rFonts w:ascii="Arial" w:hAnsi="Arial" w:cs="Arial"/>
          <w:sz w:val="22"/>
          <w:szCs w:val="22"/>
        </w:rPr>
        <w:t xml:space="preserve"> Kupující obdrží 1 stejnopis </w:t>
      </w:r>
      <w:r w:rsidRPr="00162694">
        <w:rPr>
          <w:rFonts w:ascii="Arial" w:hAnsi="Arial" w:cs="Arial"/>
          <w:sz w:val="22"/>
          <w:szCs w:val="22"/>
        </w:rPr>
        <w:t>a ostatní jsou určeny pro prodávajícího.</w:t>
      </w:r>
    </w:p>
    <w:p w:rsidR="00DA2D80" w:rsidRDefault="00CE1B1F" w:rsidP="00DA2D8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DA2D80" w:rsidRPr="00DA2D80">
        <w:rPr>
          <w:rFonts w:ascii="Arial" w:hAnsi="Arial" w:cs="Arial"/>
          <w:sz w:val="22"/>
          <w:szCs w:val="22"/>
        </w:rPr>
        <w:t xml:space="preserve"> </w:t>
      </w:r>
    </w:p>
    <w:p w:rsidR="00CE1B1F" w:rsidRDefault="00CE1B1F" w:rsidP="00DA2D8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901036" w:rsidRPr="001626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FC7C54">
      <w:pPr>
        <w:pStyle w:val="para"/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VIII</w:t>
      </w:r>
      <w:r w:rsidR="00901036" w:rsidRPr="00162694">
        <w:rPr>
          <w:rFonts w:ascii="Arial" w:hAnsi="Arial" w:cs="Arial"/>
          <w:sz w:val="22"/>
          <w:szCs w:val="22"/>
        </w:rPr>
        <w:t>.</w:t>
      </w:r>
    </w:p>
    <w:p w:rsidR="009A26A3" w:rsidRPr="00162694" w:rsidRDefault="009A26A3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</w:t>
      </w:r>
      <w:r w:rsidR="00170034" w:rsidRPr="00162694">
        <w:rPr>
          <w:rFonts w:ascii="Arial" w:hAnsi="Arial" w:cs="Arial"/>
          <w:sz w:val="22"/>
          <w:szCs w:val="22"/>
        </w:rPr>
        <w:t>, ve znění posledních předpisů</w:t>
      </w:r>
      <w:r w:rsidRPr="00162694">
        <w:rPr>
          <w:rFonts w:ascii="Arial" w:hAnsi="Arial" w:cs="Arial"/>
          <w:sz w:val="22"/>
          <w:szCs w:val="22"/>
        </w:rPr>
        <w:t>, prověřil převoditelnost prodávaných pozemků a prohlašuje, že prodávané pozemky nejsou vyloučeny z převodu podle § 6 zákona č. 503/2012 Sb., o Státním pozemkovém úřadu a o změně některých souvisejících zákonů</w:t>
      </w:r>
      <w:r w:rsidR="00170034" w:rsidRPr="00162694">
        <w:rPr>
          <w:rFonts w:ascii="Arial" w:hAnsi="Arial" w:cs="Arial"/>
          <w:sz w:val="22"/>
          <w:szCs w:val="22"/>
        </w:rPr>
        <w:t>, ve znění posledních předpisů</w:t>
      </w:r>
      <w:r w:rsidRPr="00162694">
        <w:rPr>
          <w:rFonts w:ascii="Arial" w:hAnsi="Arial" w:cs="Arial"/>
          <w:sz w:val="22"/>
          <w:szCs w:val="22"/>
        </w:rPr>
        <w:t>.</w:t>
      </w:r>
    </w:p>
    <w:p w:rsidR="009A26A3" w:rsidRPr="00162694" w:rsidRDefault="009A26A3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2) Kupující prohlašuje, že převáděné pozemky užívá a že ve vztahu k převáděným pozemkům splňuje zákonem stanovené podmínky pro to, aby na něj mohly být podle § </w:t>
      </w:r>
      <w:r w:rsidR="00FC7C54" w:rsidRPr="00162694">
        <w:rPr>
          <w:rFonts w:ascii="Arial" w:hAnsi="Arial" w:cs="Arial"/>
          <w:sz w:val="22"/>
          <w:szCs w:val="22"/>
        </w:rPr>
        <w:t>10a odst. 1</w:t>
      </w:r>
      <w:r w:rsidRPr="00162694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</w:t>
      </w:r>
      <w:r w:rsidR="00170034" w:rsidRPr="00162694">
        <w:rPr>
          <w:rFonts w:ascii="Arial" w:hAnsi="Arial" w:cs="Arial"/>
          <w:sz w:val="22"/>
          <w:szCs w:val="22"/>
        </w:rPr>
        <w:t>, ve znění posledních předpisů</w:t>
      </w:r>
      <w:r w:rsidRPr="00162694">
        <w:rPr>
          <w:rFonts w:ascii="Arial" w:hAnsi="Arial" w:cs="Arial"/>
          <w:sz w:val="22"/>
          <w:szCs w:val="22"/>
        </w:rPr>
        <w:t>, převedeny.</w:t>
      </w:r>
    </w:p>
    <w:p w:rsidR="009A26A3" w:rsidRPr="00162694" w:rsidRDefault="009A26A3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3) Kupující bere na vědomí a je srozuměn s tím, že nepravdivost tvrzení obsažených ve výše uvedeném prohlášení má za následek neplatnost této smlouvy od samého počátku.</w:t>
      </w:r>
    </w:p>
    <w:p w:rsidR="009A26A3" w:rsidRDefault="009A26A3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lastRenderedPageBreak/>
        <w:t>4) Kupující prohlašuje, že splňuje zákonné podmínky v</w:t>
      </w:r>
      <w:r w:rsidR="00110C77">
        <w:rPr>
          <w:rFonts w:ascii="Arial" w:hAnsi="Arial" w:cs="Arial"/>
          <w:sz w:val="22"/>
          <w:szCs w:val="22"/>
        </w:rPr>
        <w:t>e smyslu § 16 odst. 1 zákona č. </w:t>
      </w:r>
      <w:r w:rsidRPr="00162694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170034" w:rsidRPr="00162694">
        <w:rPr>
          <w:rFonts w:ascii="Arial" w:hAnsi="Arial" w:cs="Arial"/>
          <w:sz w:val="22"/>
          <w:szCs w:val="22"/>
        </w:rPr>
        <w:t>, ve znění posledních předpisů</w:t>
      </w:r>
      <w:r w:rsidRPr="00162694">
        <w:rPr>
          <w:rFonts w:ascii="Arial" w:hAnsi="Arial" w:cs="Arial"/>
          <w:sz w:val="22"/>
          <w:szCs w:val="22"/>
        </w:rPr>
        <w:t>.</w:t>
      </w:r>
    </w:p>
    <w:p w:rsidR="00110C77" w:rsidRDefault="00110C77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</w:p>
    <w:p w:rsidR="00A5111C" w:rsidRDefault="00A5111C" w:rsidP="009A26A3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62694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1626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DA2D80">
        <w:rPr>
          <w:rFonts w:ascii="Arial" w:hAnsi="Arial" w:cs="Arial"/>
          <w:sz w:val="22"/>
          <w:szCs w:val="22"/>
        </w:rPr>
        <w:t>kaz toho připojují své podpisy.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Pr="00162694" w:rsidRDefault="00110C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99211A" w:rsidRDefault="00A5111C" w:rsidP="00A5111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C33358">
        <w:rPr>
          <w:rFonts w:ascii="Arial" w:hAnsi="Arial" w:cs="Arial"/>
          <w:sz w:val="22"/>
          <w:szCs w:val="22"/>
        </w:rPr>
        <w:t>22. 4. 2020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>V</w:t>
      </w:r>
      <w:r w:rsidR="00C33358">
        <w:rPr>
          <w:rFonts w:ascii="Arial" w:hAnsi="Arial" w:cs="Arial"/>
          <w:sz w:val="22"/>
          <w:szCs w:val="22"/>
        </w:rPr>
        <w:t> Brně 22. 4. 2020</w:t>
      </w:r>
    </w:p>
    <w:p w:rsidR="00A5111C" w:rsidRPr="0099211A" w:rsidRDefault="00A5111C" w:rsidP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99211A" w:rsidRDefault="00A5111C" w:rsidP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Default="00A5111C" w:rsidP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Pr="0099211A" w:rsidRDefault="00110C77" w:rsidP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99211A" w:rsidRDefault="00A5111C" w:rsidP="00A5111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="00D2134A">
        <w:rPr>
          <w:rFonts w:ascii="Arial" w:hAnsi="Arial" w:cs="Arial"/>
          <w:sz w:val="22"/>
          <w:szCs w:val="22"/>
        </w:rPr>
        <w:t>..................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>............................................</w:t>
      </w:r>
    </w:p>
    <w:p w:rsidR="00A5111C" w:rsidRPr="0099211A" w:rsidRDefault="00A5111C" w:rsidP="00A5111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b/>
          <w:sz w:val="22"/>
          <w:szCs w:val="22"/>
        </w:rPr>
        <w:t>Státní pozemkový úřad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VIVA Valtice</w:t>
      </w:r>
      <w:r w:rsidR="00D2134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s.r.o.</w:t>
      </w:r>
    </w:p>
    <w:p w:rsidR="00A5111C" w:rsidRDefault="00A5111C" w:rsidP="00A5111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 w:rsidRPr="00471D16">
        <w:rPr>
          <w:rFonts w:ascii="Arial" w:hAnsi="Arial" w:cs="Arial"/>
          <w:sz w:val="22"/>
          <w:szCs w:val="22"/>
        </w:rPr>
        <w:t>Krajského pozemkového úřadu</w:t>
      </w:r>
      <w:r w:rsidRPr="0099211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  <w:t>jednatel</w:t>
      </w:r>
    </w:p>
    <w:p w:rsidR="00A5111C" w:rsidRPr="0099211A" w:rsidRDefault="00A5111C" w:rsidP="00D2134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9211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</w:r>
      <w:r w:rsidR="00D2134A">
        <w:rPr>
          <w:rFonts w:ascii="Arial" w:hAnsi="Arial" w:cs="Arial"/>
          <w:sz w:val="22"/>
          <w:szCs w:val="22"/>
        </w:rPr>
        <w:tab/>
        <w:t>Ing. Zdeněk Kupský</w:t>
      </w:r>
    </w:p>
    <w:p w:rsidR="00901036" w:rsidRPr="00162694" w:rsidRDefault="00D2134A" w:rsidP="00A5111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5111C" w:rsidRPr="0099211A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kupující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pořadové číslo nabízen</w:t>
      </w:r>
      <w:r w:rsidR="00FD7A7E" w:rsidRPr="00162694">
        <w:rPr>
          <w:rFonts w:ascii="Arial" w:hAnsi="Arial" w:cs="Arial"/>
          <w:sz w:val="22"/>
          <w:szCs w:val="22"/>
        </w:rPr>
        <w:t>ých</w:t>
      </w:r>
      <w:r w:rsidRPr="00162694">
        <w:rPr>
          <w:rFonts w:ascii="Arial" w:hAnsi="Arial" w:cs="Arial"/>
          <w:sz w:val="22"/>
          <w:szCs w:val="22"/>
        </w:rPr>
        <w:t xml:space="preserve"> nemovitost</w:t>
      </w:r>
      <w:r w:rsidR="00FD7A7E" w:rsidRPr="00162694">
        <w:rPr>
          <w:rFonts w:ascii="Arial" w:hAnsi="Arial" w:cs="Arial"/>
          <w:sz w:val="22"/>
          <w:szCs w:val="22"/>
        </w:rPr>
        <w:t>í</w:t>
      </w:r>
      <w:r w:rsidRPr="00162694">
        <w:rPr>
          <w:rFonts w:ascii="Arial" w:hAnsi="Arial" w:cs="Arial"/>
          <w:sz w:val="22"/>
          <w:szCs w:val="22"/>
        </w:rPr>
        <w:t xml:space="preserve"> dle evidence PF ČR: </w:t>
      </w:r>
      <w:r w:rsidRPr="00162694">
        <w:rPr>
          <w:rFonts w:ascii="Arial" w:hAnsi="Arial" w:cs="Arial"/>
          <w:color w:val="000000"/>
          <w:sz w:val="22"/>
          <w:szCs w:val="22"/>
        </w:rPr>
        <w:t>474859, 1808959, 1809459, 1809559, 1809659, 1811559</w:t>
      </w:r>
      <w:r w:rsidRPr="00162694">
        <w:rPr>
          <w:rFonts w:ascii="Arial" w:hAnsi="Arial" w:cs="Arial"/>
          <w:color w:val="000000"/>
          <w:sz w:val="22"/>
          <w:szCs w:val="22"/>
        </w:rPr>
        <w:br/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110C77" w:rsidRPr="00162694" w:rsidRDefault="00110C77">
      <w:pPr>
        <w:widowControl/>
        <w:rPr>
          <w:rFonts w:ascii="Arial" w:hAnsi="Arial" w:cs="Arial"/>
          <w:sz w:val="22"/>
          <w:szCs w:val="22"/>
        </w:rPr>
      </w:pPr>
    </w:p>
    <w:p w:rsidR="0051145D" w:rsidRPr="00162694" w:rsidRDefault="0051145D" w:rsidP="0051145D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Za věcnou a formální správnost odpovídá</w:t>
      </w:r>
    </w:p>
    <w:p w:rsidR="0051145D" w:rsidRPr="00162694" w:rsidRDefault="0051145D" w:rsidP="0051145D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:rsidR="0051145D" w:rsidRPr="00162694" w:rsidRDefault="0051145D" w:rsidP="0051145D">
      <w:pPr>
        <w:widowControl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JUDr. Jarmila Báčová</w:t>
      </w:r>
    </w:p>
    <w:p w:rsidR="0051145D" w:rsidRDefault="0051145D" w:rsidP="0051145D">
      <w:pPr>
        <w:widowControl/>
        <w:rPr>
          <w:rFonts w:ascii="Arial" w:hAnsi="Arial" w:cs="Arial"/>
          <w:sz w:val="22"/>
          <w:szCs w:val="22"/>
        </w:rPr>
      </w:pPr>
    </w:p>
    <w:p w:rsidR="00110C77" w:rsidRPr="00162694" w:rsidRDefault="00110C77" w:rsidP="0051145D">
      <w:pPr>
        <w:widowControl/>
        <w:rPr>
          <w:rFonts w:ascii="Arial" w:hAnsi="Arial" w:cs="Arial"/>
          <w:sz w:val="22"/>
          <w:szCs w:val="22"/>
        </w:rPr>
      </w:pPr>
    </w:p>
    <w:p w:rsidR="0051145D" w:rsidRPr="00162694" w:rsidRDefault="0051145D" w:rsidP="0051145D">
      <w:pPr>
        <w:widowControl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.......................................</w:t>
      </w:r>
    </w:p>
    <w:p w:rsidR="0051145D" w:rsidRPr="00162694" w:rsidRDefault="0051145D" w:rsidP="0051145D">
      <w:pPr>
        <w:widowControl/>
        <w:ind w:firstLine="708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podpis</w:t>
      </w:r>
    </w:p>
    <w:p w:rsidR="0051145D" w:rsidRPr="00162694" w:rsidRDefault="005114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51145D" w:rsidRPr="00162694" w:rsidRDefault="005114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 xml:space="preserve">Za správnost: </w:t>
      </w:r>
      <w:r w:rsidRPr="00162694">
        <w:rPr>
          <w:rFonts w:ascii="Arial" w:hAnsi="Arial" w:cs="Arial"/>
          <w:color w:val="000000"/>
          <w:sz w:val="22"/>
          <w:szCs w:val="22"/>
        </w:rPr>
        <w:t>Indrová Michaela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1626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162694" w:rsidRDefault="00901036" w:rsidP="007D7782">
      <w:pPr>
        <w:widowControl/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ab/>
        <w:t>podpis</w:t>
      </w:r>
    </w:p>
    <w:p w:rsidR="00200211" w:rsidRDefault="00200211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20D57" w:rsidRDefault="00A20D5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20D57" w:rsidRDefault="00A20D5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5C77" w:rsidRDefault="00775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5C77" w:rsidRDefault="00775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62E3C" w:rsidRDefault="00662E3C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62E3C" w:rsidRDefault="00662E3C" w:rsidP="007D7782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0C77" w:rsidRDefault="00110C77" w:rsidP="007D77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smluv, vedeném dle zákona č. 340/2015 Sb.,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o registru smluv, dne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………………………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datum registrace</w:t>
      </w:r>
    </w:p>
    <w:p w:rsidR="00A5111C" w:rsidRPr="00162694" w:rsidRDefault="00A5111C" w:rsidP="00A5111C">
      <w:pPr>
        <w:jc w:val="both"/>
        <w:rPr>
          <w:rFonts w:ascii="Arial" w:hAnsi="Arial" w:cs="Arial"/>
          <w:i/>
          <w:sz w:val="22"/>
          <w:szCs w:val="22"/>
        </w:rPr>
      </w:pP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………………………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ID smlouvy</w:t>
      </w:r>
    </w:p>
    <w:p w:rsidR="00A5111C" w:rsidRDefault="00A5111C" w:rsidP="00A5111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111C" w:rsidRDefault="00A5111C" w:rsidP="00A5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5111C" w:rsidRDefault="00A5111C" w:rsidP="00A5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……………......</w:t>
      </w: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registraci provedl</w:t>
      </w:r>
    </w:p>
    <w:p w:rsidR="00A5111C" w:rsidRDefault="00A5111C" w:rsidP="00A5111C">
      <w:pPr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 w:rsidP="00A5111C">
      <w:pPr>
        <w:jc w:val="both"/>
        <w:rPr>
          <w:rFonts w:ascii="Arial" w:hAnsi="Arial" w:cs="Arial"/>
          <w:sz w:val="22"/>
          <w:szCs w:val="22"/>
        </w:rPr>
      </w:pPr>
    </w:p>
    <w:p w:rsidR="00A5111C" w:rsidRDefault="00A5111C" w:rsidP="00A5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</w:t>
      </w:r>
    </w:p>
    <w:p w:rsidR="00A5111C" w:rsidRDefault="00A5111C" w:rsidP="00A511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A5111C" w:rsidRPr="00162694" w:rsidRDefault="00A5111C" w:rsidP="00A511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ab/>
        <w:t>podpis odpovědného</w:t>
      </w:r>
    </w:p>
    <w:p w:rsidR="00A5111C" w:rsidRPr="00162694" w:rsidRDefault="00A5111C" w:rsidP="00A511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2694">
        <w:rPr>
          <w:rFonts w:ascii="Arial" w:hAnsi="Arial" w:cs="Arial"/>
          <w:sz w:val="22"/>
          <w:szCs w:val="22"/>
        </w:rPr>
        <w:t>dne ………………</w:t>
      </w:r>
      <w:r w:rsidRPr="00162694">
        <w:rPr>
          <w:rFonts w:ascii="Arial" w:hAnsi="Arial" w:cs="Arial"/>
          <w:sz w:val="22"/>
          <w:szCs w:val="22"/>
        </w:rPr>
        <w:tab/>
        <w:t>zaměstnance</w:t>
      </w:r>
    </w:p>
    <w:sectPr w:rsidR="00A5111C" w:rsidRPr="0016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EF" w:rsidRDefault="00BD64EF">
      <w:r>
        <w:separator/>
      </w:r>
    </w:p>
  </w:endnote>
  <w:endnote w:type="continuationSeparator" w:id="0">
    <w:p w:rsidR="00BD64EF" w:rsidRDefault="00B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F0" w:rsidRDefault="005A1E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31" w:rsidRPr="00F00197" w:rsidRDefault="00C35031" w:rsidP="00F001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F0" w:rsidRDefault="005A1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EF" w:rsidRDefault="00BD64EF">
      <w:r>
        <w:separator/>
      </w:r>
    </w:p>
  </w:footnote>
  <w:footnote w:type="continuationSeparator" w:id="0">
    <w:p w:rsidR="00BD64EF" w:rsidRDefault="00BD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F0" w:rsidRDefault="005A1E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F0" w:rsidRDefault="005A1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870FE"/>
    <w:rsid w:val="000A3772"/>
    <w:rsid w:val="000A78FD"/>
    <w:rsid w:val="00103C79"/>
    <w:rsid w:val="00110B9A"/>
    <w:rsid w:val="00110C77"/>
    <w:rsid w:val="00126C3C"/>
    <w:rsid w:val="00144350"/>
    <w:rsid w:val="00146E9E"/>
    <w:rsid w:val="00162694"/>
    <w:rsid w:val="00170034"/>
    <w:rsid w:val="00191388"/>
    <w:rsid w:val="00191C2A"/>
    <w:rsid w:val="00200211"/>
    <w:rsid w:val="002055A2"/>
    <w:rsid w:val="00212F85"/>
    <w:rsid w:val="00226BAB"/>
    <w:rsid w:val="00235161"/>
    <w:rsid w:val="002422BB"/>
    <w:rsid w:val="002461A1"/>
    <w:rsid w:val="00250966"/>
    <w:rsid w:val="00250A71"/>
    <w:rsid w:val="00252662"/>
    <w:rsid w:val="00283ADB"/>
    <w:rsid w:val="00283B90"/>
    <w:rsid w:val="002A7E69"/>
    <w:rsid w:val="002C0366"/>
    <w:rsid w:val="00302FDA"/>
    <w:rsid w:val="0035549F"/>
    <w:rsid w:val="003902C9"/>
    <w:rsid w:val="00391D88"/>
    <w:rsid w:val="00403D11"/>
    <w:rsid w:val="0041698C"/>
    <w:rsid w:val="0042737C"/>
    <w:rsid w:val="0051145D"/>
    <w:rsid w:val="00567CEE"/>
    <w:rsid w:val="005721E3"/>
    <w:rsid w:val="00572A90"/>
    <w:rsid w:val="005762BF"/>
    <w:rsid w:val="005A1EF0"/>
    <w:rsid w:val="005B7325"/>
    <w:rsid w:val="005C5424"/>
    <w:rsid w:val="00656702"/>
    <w:rsid w:val="00662E3C"/>
    <w:rsid w:val="00667B95"/>
    <w:rsid w:val="00673A25"/>
    <w:rsid w:val="00681103"/>
    <w:rsid w:val="006926A6"/>
    <w:rsid w:val="00694228"/>
    <w:rsid w:val="00696E47"/>
    <w:rsid w:val="00705312"/>
    <w:rsid w:val="00710F3F"/>
    <w:rsid w:val="00711D0D"/>
    <w:rsid w:val="00723001"/>
    <w:rsid w:val="0075358A"/>
    <w:rsid w:val="00775C77"/>
    <w:rsid w:val="0079042A"/>
    <w:rsid w:val="007917F9"/>
    <w:rsid w:val="007D1808"/>
    <w:rsid w:val="007D7782"/>
    <w:rsid w:val="00822630"/>
    <w:rsid w:val="00842EA5"/>
    <w:rsid w:val="008874D7"/>
    <w:rsid w:val="00893452"/>
    <w:rsid w:val="008E438D"/>
    <w:rsid w:val="008F3539"/>
    <w:rsid w:val="00901036"/>
    <w:rsid w:val="00992A94"/>
    <w:rsid w:val="009A26A3"/>
    <w:rsid w:val="009B5F14"/>
    <w:rsid w:val="009C3354"/>
    <w:rsid w:val="00A20D57"/>
    <w:rsid w:val="00A31C3B"/>
    <w:rsid w:val="00A32E68"/>
    <w:rsid w:val="00A402F7"/>
    <w:rsid w:val="00A5111C"/>
    <w:rsid w:val="00A562A3"/>
    <w:rsid w:val="00A72529"/>
    <w:rsid w:val="00A945C6"/>
    <w:rsid w:val="00AB3228"/>
    <w:rsid w:val="00AC17E9"/>
    <w:rsid w:val="00B02EF2"/>
    <w:rsid w:val="00B06D84"/>
    <w:rsid w:val="00B178A5"/>
    <w:rsid w:val="00B6631E"/>
    <w:rsid w:val="00B85D40"/>
    <w:rsid w:val="00BB0745"/>
    <w:rsid w:val="00BB664D"/>
    <w:rsid w:val="00BD0214"/>
    <w:rsid w:val="00BD2820"/>
    <w:rsid w:val="00BD64EF"/>
    <w:rsid w:val="00BE0AFB"/>
    <w:rsid w:val="00BE7CC1"/>
    <w:rsid w:val="00BF6D6B"/>
    <w:rsid w:val="00C15D2C"/>
    <w:rsid w:val="00C24AF5"/>
    <w:rsid w:val="00C33358"/>
    <w:rsid w:val="00C35031"/>
    <w:rsid w:val="00C51EDA"/>
    <w:rsid w:val="00C9419D"/>
    <w:rsid w:val="00CC57BF"/>
    <w:rsid w:val="00CE1B1F"/>
    <w:rsid w:val="00CE3324"/>
    <w:rsid w:val="00CF3D6B"/>
    <w:rsid w:val="00D061E2"/>
    <w:rsid w:val="00D2134A"/>
    <w:rsid w:val="00D213D0"/>
    <w:rsid w:val="00D2467A"/>
    <w:rsid w:val="00D60FBD"/>
    <w:rsid w:val="00D851F6"/>
    <w:rsid w:val="00DA2D80"/>
    <w:rsid w:val="00DC387F"/>
    <w:rsid w:val="00DC741D"/>
    <w:rsid w:val="00DD35B6"/>
    <w:rsid w:val="00DE06C6"/>
    <w:rsid w:val="00DE7C36"/>
    <w:rsid w:val="00E170CB"/>
    <w:rsid w:val="00E1764A"/>
    <w:rsid w:val="00E602DE"/>
    <w:rsid w:val="00E60DEA"/>
    <w:rsid w:val="00E83E1D"/>
    <w:rsid w:val="00EA7740"/>
    <w:rsid w:val="00F00197"/>
    <w:rsid w:val="00F1002C"/>
    <w:rsid w:val="00F2242C"/>
    <w:rsid w:val="00F26835"/>
    <w:rsid w:val="00F60A7A"/>
    <w:rsid w:val="00F61915"/>
    <w:rsid w:val="00F808A1"/>
    <w:rsid w:val="00F85970"/>
    <w:rsid w:val="00FC4F14"/>
    <w:rsid w:val="00FC6276"/>
    <w:rsid w:val="00FC7C54"/>
    <w:rsid w:val="00FD7A7E"/>
    <w:rsid w:val="00FE0D71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C481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C6276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C6276"/>
    <w:rPr>
      <w:rFonts w:cs="Times New Roman"/>
      <w:sz w:val="20"/>
      <w:szCs w:val="20"/>
      <w:lang w:val="x-none" w:eastAsia="en-US"/>
    </w:rPr>
  </w:style>
  <w:style w:type="paragraph" w:customStyle="1" w:styleId="VnitrniText0">
    <w:name w:val="VnitrniText"/>
    <w:basedOn w:val="Normln"/>
    <w:rsid w:val="00694228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2020-04-24T07:19:00Z</dcterms:created>
  <dcterms:modified xsi:type="dcterms:W3CDTF">2020-04-24T07:33:00Z</dcterms:modified>
</cp:coreProperties>
</file>