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154" w:h="5019" w:hRule="exact" w:wrap="none" w:vAnchor="page" w:hAnchor="page" w:x="1385" w:y="134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FP majetková a.s.</w:t>
      </w:r>
    </w:p>
    <w:p>
      <w:pPr>
        <w:pStyle w:val="Style5"/>
        <w:framePr w:w="9154" w:h="5019" w:hRule="exact" w:wrap="none" w:vAnchor="page" w:hAnchor="page" w:x="1385" w:y="1347"/>
        <w:tabs>
          <w:tab w:leader="none" w:pos="7872"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se sídlem: Podvirmý mlýn 2283/18, Libeň, 190 00 Praha 9</w:t>
        <w:tab/>
        <w:t>id. 1/4 a 3/4</w:t>
      </w:r>
    </w:p>
    <w:p>
      <w:pPr>
        <w:pStyle w:val="Style5"/>
        <w:framePr w:w="9154" w:h="5019" w:hRule="exact" w:wrap="none" w:vAnchor="page" w:hAnchor="page" w:x="1385" w:y="1347"/>
        <w:widowControl w:val="0"/>
        <w:keepNext w:val="0"/>
        <w:keepLines w:val="0"/>
        <w:shd w:val="clear" w:color="auto" w:fill="auto"/>
        <w:bidi w:val="0"/>
        <w:jc w:val="left"/>
        <w:spacing w:before="0" w:after="0"/>
        <w:ind w:left="0" w:right="5880" w:firstLine="0"/>
      </w:pPr>
      <w:r>
        <w:rPr>
          <w:lang w:val="cs-CZ" w:eastAsia="cs-CZ" w:bidi="cs-CZ"/>
          <w:sz w:val="24"/>
          <w:szCs w:val="24"/>
          <w:w w:val="100"/>
          <w:spacing w:val="0"/>
          <w:color w:val="000000"/>
          <w:position w:val="0"/>
        </w:rPr>
        <w:t>IČ: 24743364 DIČ: CZ24743364 zástupce: 1</w:t>
      </w:r>
    </w:p>
    <w:p>
      <w:pPr>
        <w:pStyle w:val="Style5"/>
        <w:framePr w:w="9154" w:h="5019" w:hRule="exact" w:wrap="none" w:vAnchor="page" w:hAnchor="page" w:x="1385" w:y="1347"/>
        <w:widowControl w:val="0"/>
        <w:keepNext w:val="0"/>
        <w:keepLines w:val="0"/>
        <w:shd w:val="clear" w:color="auto" w:fill="auto"/>
        <w:bidi w:val="0"/>
        <w:jc w:val="left"/>
        <w:spacing w:before="0" w:after="0"/>
        <w:ind w:left="0" w:right="0" w:firstLine="0"/>
      </w:pPr>
      <w:r>
        <w:rPr>
          <w:lang w:val="cs-CZ" w:eastAsia="cs-CZ" w:bidi="cs-CZ"/>
          <w:sz w:val="24"/>
          <w:szCs w:val="24"/>
          <w:w w:val="100"/>
          <w:spacing w:val="0"/>
          <w:color w:val="000000"/>
          <w:position w:val="0"/>
        </w:rPr>
        <w:t>zapsaná v obchodním rejstříku vedeném u Mpstského soudu v Praze, oddíl B, vložka 16524 bankovní spojení:</w:t>
      </w:r>
    </w:p>
    <w:p>
      <w:pPr>
        <w:pStyle w:val="Style5"/>
        <w:framePr w:w="9154" w:h="5019" w:hRule="exact" w:wrap="none" w:vAnchor="page" w:hAnchor="page" w:x="1385" w:y="1347"/>
        <w:widowControl w:val="0"/>
        <w:keepNext w:val="0"/>
        <w:keepLines w:val="0"/>
        <w:shd w:val="clear" w:color="auto" w:fill="auto"/>
        <w:bidi w:val="0"/>
        <w:spacing w:before="0" w:after="14"/>
        <w:ind w:left="0" w:right="0" w:firstLine="0"/>
      </w:pPr>
      <w:r>
        <w:rPr>
          <w:lang w:val="cs-CZ" w:eastAsia="cs-CZ" w:bidi="cs-CZ"/>
          <w:sz w:val="24"/>
          <w:szCs w:val="24"/>
          <w:w w:val="100"/>
          <w:spacing w:val="0"/>
          <w:color w:val="000000"/>
          <w:position w:val="0"/>
        </w:rPr>
        <w:t>VS: 727631191</w:t>
      </w:r>
    </w:p>
    <w:p>
      <w:pPr>
        <w:pStyle w:val="Style5"/>
        <w:framePr w:w="9154" w:h="5019" w:hRule="exact" w:wrap="none" w:vAnchor="page" w:hAnchor="page" w:x="1385" w:y="1347"/>
        <w:widowControl w:val="0"/>
        <w:keepNext w:val="0"/>
        <w:keepLines w:val="0"/>
        <w:shd w:val="clear" w:color="auto" w:fill="auto"/>
        <w:bidi w:val="0"/>
        <w:jc w:val="left"/>
        <w:spacing w:before="0" w:after="0" w:line="557" w:lineRule="exact"/>
        <w:ind w:left="0" w:right="5760" w:firstLine="0"/>
      </w:pPr>
      <w:r>
        <w:rPr>
          <w:lang w:val="cs-CZ" w:eastAsia="cs-CZ" w:bidi="cs-CZ"/>
          <w:sz w:val="24"/>
          <w:szCs w:val="24"/>
          <w:w w:val="100"/>
          <w:spacing w:val="0"/>
          <w:color w:val="000000"/>
          <w:position w:val="0"/>
        </w:rPr>
        <w:t xml:space="preserve">jako </w:t>
      </w:r>
      <w:r>
        <w:rPr>
          <w:rStyle w:val="CharStyle7"/>
        </w:rPr>
        <w:t xml:space="preserve">„prodávající" </w:t>
      </w:r>
      <w:r>
        <w:rPr>
          <w:lang w:val="cs-CZ" w:eastAsia="cs-CZ" w:bidi="cs-CZ"/>
          <w:sz w:val="24"/>
          <w:szCs w:val="24"/>
          <w:w w:val="100"/>
          <w:spacing w:val="0"/>
          <w:color w:val="000000"/>
          <w:position w:val="0"/>
        </w:rPr>
        <w:t>na straně jedné a</w:t>
      </w:r>
    </w:p>
    <w:p>
      <w:pPr>
        <w:pStyle w:val="Style3"/>
        <w:framePr w:w="9154" w:h="5019" w:hRule="exact" w:wrap="none" w:vAnchor="page" w:hAnchor="page" w:x="1385" w:y="1347"/>
        <w:widowControl w:val="0"/>
        <w:keepNext w:val="0"/>
        <w:keepLines w:val="0"/>
        <w:shd w:val="clear" w:color="auto" w:fill="auto"/>
        <w:bidi w:val="0"/>
        <w:spacing w:before="0" w:after="0" w:line="274" w:lineRule="exact"/>
        <w:ind w:left="0" w:right="0" w:firstLine="0"/>
      </w:pPr>
      <w:r>
        <w:rPr>
          <w:lang w:val="cs-CZ" w:eastAsia="cs-CZ" w:bidi="cs-CZ"/>
          <w:sz w:val="24"/>
          <w:szCs w:val="24"/>
          <w:w w:val="100"/>
          <w:spacing w:val="0"/>
          <w:color w:val="000000"/>
          <w:position w:val="0"/>
        </w:rPr>
        <w:t>Ředitelství silnic a dálnic ČR, státní příspěvková organizace</w:t>
      </w:r>
    </w:p>
    <w:p>
      <w:pPr>
        <w:pStyle w:val="Style5"/>
        <w:framePr w:w="9154" w:h="5019" w:hRule="exact" w:wrap="none" w:vAnchor="page" w:hAnchor="page" w:x="1385" w:y="1347"/>
        <w:widowControl w:val="0"/>
        <w:keepNext w:val="0"/>
        <w:keepLines w:val="0"/>
        <w:shd w:val="clear" w:color="auto" w:fill="auto"/>
        <w:bidi w:val="0"/>
        <w:jc w:val="left"/>
        <w:spacing w:before="0" w:after="267"/>
        <w:ind w:left="0" w:right="3840" w:firstLine="0"/>
      </w:pPr>
      <w:r>
        <w:rPr>
          <w:lang w:val="cs-CZ" w:eastAsia="cs-CZ" w:bidi="cs-CZ"/>
          <w:sz w:val="24"/>
          <w:szCs w:val="24"/>
          <w:w w:val="100"/>
          <w:spacing w:val="0"/>
          <w:color w:val="000000"/>
          <w:position w:val="0"/>
        </w:rPr>
        <w:t>se sídlem: Na Pa</w:t>
      </w:r>
      <w:r>
        <w:rPr>
          <w:rStyle w:val="CharStyle8"/>
          <w:lang w:val="cs-CZ" w:eastAsia="cs-CZ" w:bidi="cs-CZ"/>
        </w:rPr>
        <w:t>nkr</w:t>
      </w:r>
      <w:r>
        <w:rPr>
          <w:lang w:val="cs-CZ" w:eastAsia="cs-CZ" w:bidi="cs-CZ"/>
          <w:sz w:val="24"/>
          <w:szCs w:val="24"/>
          <w:w w:val="100"/>
          <w:spacing w:val="0"/>
          <w:color w:val="000000"/>
          <w:position w:val="0"/>
        </w:rPr>
        <w:t>áci 546/56, 140 00 Praha 4 - Nusle IČ: 65993390 DIČ: CZ 65993390 zástupce: ^</w:t>
      </w:r>
    </w:p>
    <w:p>
      <w:pPr>
        <w:pStyle w:val="Style5"/>
        <w:framePr w:w="9154" w:h="5019" w:hRule="exact" w:wrap="none" w:vAnchor="page" w:hAnchor="page" w:x="1385" w:y="1347"/>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 xml:space="preserve">jako </w:t>
      </w:r>
      <w:r>
        <w:rPr>
          <w:rStyle w:val="CharStyle7"/>
        </w:rPr>
        <w:t xml:space="preserve">„kupující" </w:t>
      </w:r>
      <w:r>
        <w:rPr>
          <w:lang w:val="cs-CZ" w:eastAsia="cs-CZ" w:bidi="cs-CZ"/>
          <w:sz w:val="24"/>
          <w:szCs w:val="24"/>
          <w:w w:val="100"/>
          <w:spacing w:val="0"/>
          <w:color w:val="000000"/>
          <w:position w:val="0"/>
        </w:rPr>
        <w:t>na straně druhé</w:t>
      </w:r>
    </w:p>
    <w:p>
      <w:pPr>
        <w:pStyle w:val="Style5"/>
        <w:framePr w:w="9154" w:h="1445" w:hRule="exact" w:wrap="none" w:vAnchor="page" w:hAnchor="page" w:x="1385" w:y="6864"/>
        <w:widowControl w:val="0"/>
        <w:keepNext w:val="0"/>
        <w:keepLines w:val="0"/>
        <w:shd w:val="clear" w:color="auto" w:fill="auto"/>
        <w:bidi w:val="0"/>
        <w:spacing w:before="0" w:after="0" w:line="278" w:lineRule="exact"/>
        <w:ind w:left="0" w:right="0" w:firstLine="0"/>
      </w:pPr>
      <w:r>
        <w:rPr>
          <w:lang w:val="cs-CZ" w:eastAsia="cs-CZ" w:bidi="cs-CZ"/>
          <w:sz w:val="24"/>
          <w:szCs w:val="24"/>
          <w:w w:val="100"/>
          <w:spacing w:val="0"/>
          <w:color w:val="000000"/>
          <w:position w:val="0"/>
        </w:rPr>
        <w:t>uzavřeli níže uvedeného dne, měsíce a roku, v souladu s příslušnými ustanoveními zákona ě. 89/2012 Sb., občanský zákoník, ve znění pozdějších předpisů, dále zákona č. 219/2000 Sb., o majetku České republiky a jejím vystupování v právních vztazích, ve znění pozdějších předpisů, zákona č. 13/1997 Sb., o pozemních komunikacích, ve znění pozdějších předpisů, tuto</w:t>
      </w:r>
    </w:p>
    <w:p>
      <w:pPr>
        <w:pStyle w:val="Style9"/>
        <w:framePr w:w="9154" w:h="5710" w:hRule="exact" w:wrap="none" w:vAnchor="page" w:hAnchor="page" w:x="1385" w:y="8536"/>
        <w:widowControl w:val="0"/>
        <w:keepNext w:val="0"/>
        <w:keepLines w:val="0"/>
        <w:shd w:val="clear" w:color="auto" w:fill="auto"/>
        <w:bidi w:val="0"/>
        <w:spacing w:before="0" w:after="0"/>
        <w:ind w:left="0" w:right="20" w:firstLine="0"/>
      </w:pPr>
      <w:bookmarkStart w:id="0" w:name="bookmark0"/>
      <w:r>
        <w:rPr>
          <w:lang w:val="cs-CZ" w:eastAsia="cs-CZ" w:bidi="cs-CZ"/>
          <w:w w:val="100"/>
          <w:color w:val="000000"/>
          <w:position w:val="0"/>
        </w:rPr>
        <w:t>KUPNÍ SMLOUVU</w:t>
      </w:r>
      <w:bookmarkEnd w:id="0"/>
    </w:p>
    <w:p>
      <w:pPr>
        <w:pStyle w:val="Style11"/>
        <w:framePr w:w="9154" w:h="5710" w:hRule="exact" w:wrap="none" w:vAnchor="page" w:hAnchor="page" w:x="1385" w:y="8536"/>
        <w:widowControl w:val="0"/>
        <w:keepNext w:val="0"/>
        <w:keepLines w:val="0"/>
        <w:shd w:val="clear" w:color="auto" w:fill="auto"/>
        <w:bidi w:val="0"/>
        <w:spacing w:before="0" w:after="286"/>
        <w:ind w:left="0" w:right="20" w:firstLine="0"/>
      </w:pPr>
      <w:r>
        <w:rPr>
          <w:lang w:val="cs-CZ" w:eastAsia="cs-CZ" w:bidi="cs-CZ"/>
          <w:w w:val="100"/>
          <w:spacing w:val="0"/>
          <w:color w:val="000000"/>
          <w:position w:val="0"/>
        </w:rPr>
        <w:t>č. 7276/31/19/31210/KRÁ-l</w:t>
      </w:r>
    </w:p>
    <w:p>
      <w:pPr>
        <w:pStyle w:val="Style13"/>
        <w:framePr w:w="9154" w:h="5710" w:hRule="exact" w:wrap="none" w:vAnchor="page" w:hAnchor="page" w:x="1385" w:y="8536"/>
        <w:widowControl w:val="0"/>
        <w:keepNext w:val="0"/>
        <w:keepLines w:val="0"/>
        <w:shd w:val="clear" w:color="auto" w:fill="auto"/>
        <w:bidi w:val="0"/>
        <w:jc w:val="left"/>
        <w:spacing w:before="0" w:after="0"/>
        <w:ind w:left="4480" w:right="0" w:firstLine="0"/>
      </w:pPr>
      <w:bookmarkStart w:id="1" w:name="bookmark1"/>
      <w:r>
        <w:rPr>
          <w:lang w:val="cs-CZ" w:eastAsia="cs-CZ" w:bidi="cs-CZ"/>
          <w:w w:val="100"/>
          <w:spacing w:val="0"/>
          <w:color w:val="000000"/>
          <w:position w:val="0"/>
        </w:rPr>
        <w:t>I.</w:t>
      </w:r>
      <w:bookmarkEnd w:id="1"/>
    </w:p>
    <w:p>
      <w:pPr>
        <w:pStyle w:val="Style5"/>
        <w:numPr>
          <w:ilvl w:val="0"/>
          <w:numId w:val="1"/>
        </w:numPr>
        <w:framePr w:w="9154" w:h="5710" w:hRule="exact" w:wrap="none" w:vAnchor="page" w:hAnchor="page" w:x="1385" w:y="8536"/>
        <w:tabs>
          <w:tab w:leader="none" w:pos="458" w:val="left"/>
        </w:tabs>
        <w:widowControl w:val="0"/>
        <w:keepNext w:val="0"/>
        <w:keepLines w:val="0"/>
        <w:shd w:val="clear" w:color="auto" w:fill="auto"/>
        <w:bidi w:val="0"/>
        <w:spacing w:before="0" w:after="240"/>
        <w:ind w:left="0" w:right="0" w:firstLine="0"/>
      </w:pPr>
      <w:r>
        <w:rPr>
          <w:lang w:val="cs-CZ" w:eastAsia="cs-CZ" w:bidi="cs-CZ"/>
          <w:sz w:val="24"/>
          <w:szCs w:val="24"/>
          <w:w w:val="100"/>
          <w:spacing w:val="0"/>
          <w:color w:val="000000"/>
          <w:position w:val="0"/>
        </w:rPr>
        <w:t>Prodávající je vlastníkem id. podílů ve výši 1/4 pozemků - pozemkové parcely č. 925/7 o výměře 1166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xml:space="preserve"> a pozemkové parcely č. 925/51 o výměře 1092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zapsaných v katastru nemovitostí u Katastrálního úřadu pro Středočeský kraj, Katastrální pracoviště Mladá Boleslav na LV č. 651 pro obec Brodce, katastrální území Brodce nad Jizerou, a id. podílů ve výši 3/4 pozemků - pozemkové parcely č. 925/52 o výměře 162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xml:space="preserve"> a pozemkové parcely č. 925/53 o výměře 46 m</w:t>
      </w:r>
      <w:r>
        <w:rPr>
          <w:lang w:val="cs-CZ" w:eastAsia="cs-CZ" w:bidi="cs-CZ"/>
          <w:vertAlign w:val="superscript"/>
          <w:sz w:val="24"/>
          <w:szCs w:val="24"/>
          <w:w w:val="100"/>
          <w:spacing w:val="0"/>
          <w:color w:val="000000"/>
          <w:position w:val="0"/>
        </w:rPr>
        <w:t>2</w:t>
      </w:r>
      <w:r>
        <w:rPr>
          <w:lang w:val="cs-CZ" w:eastAsia="cs-CZ" w:bidi="cs-CZ"/>
          <w:sz w:val="24"/>
          <w:szCs w:val="24"/>
          <w:w w:val="100"/>
          <w:spacing w:val="0"/>
          <w:color w:val="000000"/>
          <w:position w:val="0"/>
        </w:rPr>
        <w:t>, zapsaných v katastru nemovitostí u Katastrálního úřadu pro Středočeský kraj, Katastrální pracoviště Mladá Boleslav na LV č. 417 pro obec Brodce, katastrální území Brodce nad Jizerou (dále jen „předmět smlouvy").</w:t>
      </w:r>
    </w:p>
    <w:p>
      <w:pPr>
        <w:pStyle w:val="Style5"/>
        <w:framePr w:w="9154" w:h="5710" w:hRule="exact" w:wrap="none" w:vAnchor="page" w:hAnchor="page" w:x="1385" w:y="8536"/>
        <w:widowControl w:val="0"/>
        <w:keepNext w:val="0"/>
        <w:keepLines w:val="0"/>
        <w:shd w:val="clear" w:color="auto" w:fill="auto"/>
        <w:bidi w:val="0"/>
        <w:jc w:val="left"/>
        <w:spacing w:before="0" w:after="0"/>
        <w:ind w:left="4480" w:right="0" w:firstLine="0"/>
      </w:pPr>
      <w:r>
        <w:rPr>
          <w:lang w:val="cs-CZ" w:eastAsia="cs-CZ" w:bidi="cs-CZ"/>
          <w:sz w:val="24"/>
          <w:szCs w:val="24"/>
          <w:w w:val="100"/>
          <w:spacing w:val="0"/>
          <w:color w:val="000000"/>
          <w:position w:val="0"/>
        </w:rPr>
        <w:t>II.</w:t>
      </w:r>
    </w:p>
    <w:p>
      <w:pPr>
        <w:pStyle w:val="Style5"/>
        <w:numPr>
          <w:ilvl w:val="0"/>
          <w:numId w:val="3"/>
        </w:numPr>
        <w:framePr w:w="9154" w:h="5710" w:hRule="exact" w:wrap="none" w:vAnchor="page" w:hAnchor="page" w:x="1385" w:y="8536"/>
        <w:tabs>
          <w:tab w:leader="none" w:pos="453"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Prodávající touto smlouvou prodává a odevzdává předmět smlouvy uvedený v čl. I. odst.</w:t>
      </w:r>
    </w:p>
    <w:p>
      <w:pPr>
        <w:pStyle w:val="Style5"/>
        <w:numPr>
          <w:ilvl w:val="1"/>
          <w:numId w:val="3"/>
        </w:numPr>
        <w:framePr w:w="9154" w:h="5710" w:hRule="exact" w:wrap="none" w:vAnchor="page" w:hAnchor="page" w:x="1385" w:y="8536"/>
        <w:tabs>
          <w:tab w:leader="none" w:pos="453" w:val="left"/>
        </w:tabs>
        <w:widowControl w:val="0"/>
        <w:keepNext w:val="0"/>
        <w:keepLines w:val="0"/>
        <w:shd w:val="clear" w:color="auto" w:fill="auto"/>
        <w:bidi w:val="0"/>
        <w:spacing w:before="0" w:after="236"/>
        <w:ind w:left="0" w:right="0" w:firstLine="0"/>
      </w:pPr>
      <w:r>
        <w:rPr>
          <w:lang w:val="cs-CZ" w:eastAsia="cs-CZ" w:bidi="cs-CZ"/>
          <w:sz w:val="24"/>
          <w:szCs w:val="24"/>
          <w:w w:val="100"/>
          <w:spacing w:val="0"/>
          <w:color w:val="000000"/>
          <w:position w:val="0"/>
        </w:rPr>
        <w:t>této smlouvy kupujícímu za kupní cenu uvedenou v článku III. odst. 3.2 této smlouvy.</w:t>
      </w:r>
    </w:p>
    <w:p>
      <w:pPr>
        <w:pStyle w:val="Style5"/>
        <w:numPr>
          <w:ilvl w:val="0"/>
          <w:numId w:val="3"/>
        </w:numPr>
        <w:framePr w:w="9154" w:h="5710" w:hRule="exact" w:wrap="none" w:vAnchor="page" w:hAnchor="page" w:x="1385" w:y="8536"/>
        <w:tabs>
          <w:tab w:leader="none" w:pos="477" w:val="left"/>
        </w:tabs>
        <w:widowControl w:val="0"/>
        <w:keepNext w:val="0"/>
        <w:keepLines w:val="0"/>
        <w:shd w:val="clear" w:color="auto" w:fill="auto"/>
        <w:bidi w:val="0"/>
        <w:spacing w:before="0" w:after="0" w:line="278" w:lineRule="exact"/>
        <w:ind w:left="0" w:right="0" w:firstLine="0"/>
      </w:pPr>
      <w:r>
        <w:rPr>
          <w:lang w:val="cs-CZ" w:eastAsia="cs-CZ" w:bidi="cs-CZ"/>
          <w:sz w:val="24"/>
          <w:szCs w:val="24"/>
          <w:w w:val="100"/>
          <w:spacing w:val="0"/>
          <w:color w:val="000000"/>
          <w:position w:val="0"/>
        </w:rPr>
        <w:t>Kupující předmět smlouvy kupuje a přijímá do vlastnictví České republiky a stává se příslušným s předmětem smlouvy hospodařit, neboť na předmětu smlouvy je situováno těleso a příslušenství dálnice D10.</w:t>
      </w:r>
    </w:p>
    <w:p>
      <w:pPr>
        <w:pStyle w:val="Style5"/>
        <w:framePr w:w="9154" w:h="884" w:hRule="exact" w:wrap="none" w:vAnchor="page" w:hAnchor="page" w:x="1385" w:y="14461"/>
        <w:widowControl w:val="0"/>
        <w:keepNext w:val="0"/>
        <w:keepLines w:val="0"/>
        <w:shd w:val="clear" w:color="auto" w:fill="auto"/>
        <w:bidi w:val="0"/>
        <w:jc w:val="left"/>
        <w:spacing w:before="0" w:after="0"/>
        <w:ind w:left="4480" w:right="0" w:firstLine="0"/>
      </w:pPr>
      <w:r>
        <w:rPr>
          <w:lang w:val="cs-CZ" w:eastAsia="cs-CZ" w:bidi="cs-CZ"/>
          <w:sz w:val="24"/>
          <w:szCs w:val="24"/>
          <w:w w:val="100"/>
          <w:spacing w:val="0"/>
          <w:color w:val="000000"/>
          <w:position w:val="0"/>
        </w:rPr>
        <w:t>III.</w:t>
      </w:r>
    </w:p>
    <w:p>
      <w:pPr>
        <w:pStyle w:val="Style5"/>
        <w:numPr>
          <w:ilvl w:val="0"/>
          <w:numId w:val="5"/>
        </w:numPr>
        <w:framePr w:w="9154" w:h="884" w:hRule="exact" w:wrap="none" w:vAnchor="page" w:hAnchor="page" w:x="1385" w:y="14461"/>
        <w:tabs>
          <w:tab w:leader="none" w:pos="448"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Předmět smlouvy je popsán a ohodnocen ve znaleckém posudku č. 238-56/2019 ze dne 9. 11. 2019 zpracovaném znalcem</w:t>
      </w:r>
    </w:p>
    <w:p>
      <w:pPr>
        <w:pStyle w:val="Style15"/>
        <w:framePr w:wrap="none" w:vAnchor="page" w:hAnchor="page" w:x="5326" w:y="15560"/>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Stránka 1 z 3</w:t>
      </w:r>
    </w:p>
    <w:p>
      <w:pPr>
        <w:pStyle w:val="Style17"/>
        <w:framePr w:wrap="none" w:vAnchor="page" w:hAnchor="page" w:x="46" w:y="16533"/>
        <w:widowControl w:val="0"/>
        <w:keepNext w:val="0"/>
        <w:keepLines w:val="0"/>
        <w:shd w:val="clear" w:color="auto" w:fill="auto"/>
        <w:bidi w:val="0"/>
        <w:jc w:val="left"/>
        <w:spacing w:before="0" w:after="0" w:line="240" w:lineRule="exact"/>
        <w:ind w:left="0" w:right="0" w:firstLine="0"/>
      </w:pPr>
      <w:r>
        <w:rPr>
          <w:rStyle w:val="CharStyle19"/>
          <w:i/>
          <w:iCs/>
        </w:rPr>
        <w:t>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144" w:h="14058" w:hRule="exact" w:wrap="none" w:vAnchor="page" w:hAnchor="page" w:x="1390" w:y="1320"/>
        <w:widowControl w:val="0"/>
        <w:keepNext w:val="0"/>
        <w:keepLines w:val="0"/>
        <w:shd w:val="clear" w:color="auto" w:fill="auto"/>
        <w:bidi w:val="0"/>
        <w:spacing w:before="0" w:after="240" w:line="278" w:lineRule="exact"/>
        <w:ind w:left="0" w:right="0" w:firstLine="0"/>
      </w:pPr>
      <w:r>
        <w:rPr>
          <w:lang w:val="cs-CZ" w:eastAsia="cs-CZ" w:bidi="cs-CZ"/>
          <w:sz w:val="24"/>
          <w:szCs w:val="24"/>
          <w:w w:val="100"/>
          <w:spacing w:val="0"/>
          <w:color w:val="000000"/>
          <w:position w:val="0"/>
        </w:rPr>
        <w:t>Radotín. Dle tohoto znaleckého posudku jsou pozemkové parcely č. 925/7, č. 925/51, č. 925/52 a č. 925/53 v katastrálním území Brodce nad Jizerou ohodnoceny ve výši 814 200,- Kč.</w:t>
      </w:r>
    </w:p>
    <w:p>
      <w:pPr>
        <w:pStyle w:val="Style5"/>
        <w:numPr>
          <w:ilvl w:val="0"/>
          <w:numId w:val="7"/>
        </w:numPr>
        <w:framePr w:w="9144" w:h="14058" w:hRule="exact" w:wrap="none" w:vAnchor="page" w:hAnchor="page" w:x="1390" w:y="1320"/>
        <w:tabs>
          <w:tab w:leader="none" w:pos="418" w:val="left"/>
        </w:tabs>
        <w:widowControl w:val="0"/>
        <w:keepNext w:val="0"/>
        <w:keepLines w:val="0"/>
        <w:shd w:val="clear" w:color="auto" w:fill="auto"/>
        <w:bidi w:val="0"/>
        <w:spacing w:before="0" w:after="0" w:line="278" w:lineRule="exact"/>
        <w:ind w:left="0" w:right="0" w:firstLine="0"/>
      </w:pPr>
      <w:r>
        <w:rPr>
          <w:lang w:val="cs-CZ" w:eastAsia="cs-CZ" w:bidi="cs-CZ"/>
          <w:sz w:val="24"/>
          <w:szCs w:val="24"/>
          <w:w w:val="100"/>
          <w:spacing w:val="0"/>
          <w:color w:val="000000"/>
          <w:position w:val="0"/>
        </w:rPr>
        <w:t>Smluvní strany se dohodly, že prodávající touto' smlouvou prodává a odevzdává předmět smlouvy specifikovaný v článku I. odst. 1.1 této smlouvy kupujícímu, a to včetně všech součástí a příslušenství, za kupní cenu ve výši</w:t>
      </w:r>
    </w:p>
    <w:p>
      <w:pPr>
        <w:pStyle w:val="Style20"/>
        <w:framePr w:w="9144" w:h="14058" w:hRule="exact" w:wrap="none" w:vAnchor="page" w:hAnchor="page" w:x="1390" w:y="1320"/>
        <w:widowControl w:val="0"/>
        <w:keepNext w:val="0"/>
        <w:keepLines w:val="0"/>
        <w:shd w:val="clear" w:color="auto" w:fill="auto"/>
        <w:bidi w:val="0"/>
        <w:spacing w:before="0" w:after="0" w:line="240" w:lineRule="exact"/>
        <w:ind w:left="20" w:right="0" w:firstLine="0"/>
      </w:pPr>
      <w:bookmarkStart w:id="2" w:name="bookmark2"/>
      <w:r>
        <w:rPr>
          <w:lang w:val="cs-CZ" w:eastAsia="cs-CZ" w:bidi="cs-CZ"/>
          <w:sz w:val="24"/>
          <w:szCs w:val="24"/>
          <w:w w:val="100"/>
          <w:spacing w:val="0"/>
          <w:color w:val="000000"/>
          <w:position w:val="0"/>
        </w:rPr>
        <w:t>237 887,- Kč</w:t>
      </w:r>
      <w:bookmarkEnd w:id="2"/>
    </w:p>
    <w:p>
      <w:pPr>
        <w:pStyle w:val="Style5"/>
        <w:framePr w:w="9144" w:h="14058" w:hRule="exact" w:wrap="none" w:vAnchor="page" w:hAnchor="page" w:x="1390" w:y="1320"/>
        <w:widowControl w:val="0"/>
        <w:keepNext w:val="0"/>
        <w:keepLines w:val="0"/>
        <w:shd w:val="clear" w:color="auto" w:fill="auto"/>
        <w:bidi w:val="0"/>
        <w:jc w:val="center"/>
        <w:spacing w:before="0" w:after="147" w:line="240" w:lineRule="exact"/>
        <w:ind w:left="20" w:right="0" w:firstLine="0"/>
      </w:pPr>
      <w:r>
        <w:rPr>
          <w:lang w:val="cs-CZ" w:eastAsia="cs-CZ" w:bidi="cs-CZ"/>
          <w:sz w:val="24"/>
          <w:szCs w:val="24"/>
          <w:w w:val="100"/>
          <w:spacing w:val="0"/>
          <w:color w:val="000000"/>
          <w:position w:val="0"/>
        </w:rPr>
        <w:t>(tj. slovy: dvěstětřicetsedmtisícosmsetosmdesátsedmkorunčeských).</w:t>
      </w:r>
    </w:p>
    <w:p>
      <w:pPr>
        <w:pStyle w:val="Style5"/>
        <w:numPr>
          <w:ilvl w:val="0"/>
          <w:numId w:val="7"/>
        </w:numPr>
        <w:framePr w:w="9144" w:h="14058" w:hRule="exact" w:wrap="none" w:vAnchor="page" w:hAnchor="page" w:x="1390" w:y="1320"/>
        <w:tabs>
          <w:tab w:leader="none" w:pos="433"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Kupní cenu se kupující zavazuje zaplatit prodávajícímu na jeho účet uvedený v záhlaví této smlouvy do 60 dnů ode dne, kdy obdrží vyrozumění o provedeném vkladu vlastnického práva k předmětu smlouvy do katastru nemovitostí ve prospěch kupujícího.</w:t>
      </w:r>
    </w:p>
    <w:p>
      <w:pPr>
        <w:pStyle w:val="Style20"/>
        <w:framePr w:w="9144" w:h="14058" w:hRule="exact" w:wrap="none" w:vAnchor="page" w:hAnchor="page" w:x="1390" w:y="1320"/>
        <w:widowControl w:val="0"/>
        <w:keepNext w:val="0"/>
        <w:keepLines w:val="0"/>
        <w:shd w:val="clear" w:color="auto" w:fill="auto"/>
        <w:bidi w:val="0"/>
        <w:jc w:val="left"/>
        <w:spacing w:before="0" w:after="0" w:line="240" w:lineRule="exact"/>
        <w:ind w:left="4420" w:right="0" w:firstLine="0"/>
      </w:pPr>
      <w:bookmarkStart w:id="3" w:name="bookmark3"/>
      <w:r>
        <w:rPr>
          <w:lang w:val="cs-CZ" w:eastAsia="cs-CZ" w:bidi="cs-CZ"/>
          <w:sz w:val="24"/>
          <w:szCs w:val="24"/>
          <w:w w:val="100"/>
          <w:spacing w:val="0"/>
          <w:color w:val="000000"/>
          <w:position w:val="0"/>
        </w:rPr>
        <w:t>IV.</w:t>
      </w:r>
      <w:bookmarkEnd w:id="3"/>
    </w:p>
    <w:p>
      <w:pPr>
        <w:pStyle w:val="Style5"/>
        <w:numPr>
          <w:ilvl w:val="0"/>
          <w:numId w:val="9"/>
        </w:numPr>
        <w:framePr w:w="9144" w:h="14058" w:hRule="exact" w:wrap="none" w:vAnchor="page" w:hAnchor="page" w:x="1390" w:y="1320"/>
        <w:tabs>
          <w:tab w:leader="none" w:pos="407" w:val="left"/>
        </w:tabs>
        <w:widowControl w:val="0"/>
        <w:keepNext w:val="0"/>
        <w:keepLines w:val="0"/>
        <w:shd w:val="clear" w:color="auto" w:fill="auto"/>
        <w:bidi w:val="0"/>
        <w:spacing w:before="0" w:after="236"/>
        <w:ind w:left="0" w:right="0" w:firstLine="0"/>
      </w:pPr>
      <w:r>
        <w:rPr>
          <w:lang w:val="cs-CZ" w:eastAsia="cs-CZ" w:bidi="cs-CZ"/>
          <w:sz w:val="24"/>
          <w:szCs w:val="24"/>
          <w:w w:val="100"/>
          <w:spacing w:val="0"/>
          <w:color w:val="000000"/>
          <w:position w:val="0"/>
        </w:rPr>
        <w:t>Předmět smlouvy se prodává ve stavu, jak je popsán ve shora uvedeném znaleckém posudku. Prodávající dále prohlašuje, že na něm nevážnou žádné dluhy, břemena, zástavní práva a že neví o žádných vadách faktických ani právních, na které by měl být kupující zvláště upozorněn. Smluvní strany se dohodly, že na kupujícího nepřecházejí žádné dluhy, ani případný dluh zajištěný zástavním právem váznoucím na předmětu smlouvy.</w:t>
      </w:r>
    </w:p>
    <w:p>
      <w:pPr>
        <w:pStyle w:val="Style5"/>
        <w:numPr>
          <w:ilvl w:val="0"/>
          <w:numId w:val="9"/>
        </w:numPr>
        <w:framePr w:w="9144" w:h="14058" w:hRule="exact" w:wrap="none" w:vAnchor="page" w:hAnchor="page" w:x="1390" w:y="1320"/>
        <w:tabs>
          <w:tab w:leader="none" w:pos="428" w:val="left"/>
        </w:tabs>
        <w:widowControl w:val="0"/>
        <w:keepNext w:val="0"/>
        <w:keepLines w:val="0"/>
        <w:shd w:val="clear" w:color="auto" w:fill="auto"/>
        <w:bidi w:val="0"/>
        <w:spacing w:before="0" w:after="240" w:line="278" w:lineRule="exact"/>
        <w:ind w:left="0" w:right="0" w:firstLine="0"/>
      </w:pPr>
      <w:r>
        <w:rPr>
          <w:lang w:val="cs-CZ" w:eastAsia="cs-CZ" w:bidi="cs-CZ"/>
          <w:sz w:val="24"/>
          <w:szCs w:val="24"/>
          <w:w w:val="100"/>
          <w:spacing w:val="0"/>
          <w:color w:val="000000"/>
          <w:position w:val="0"/>
        </w:rPr>
        <w:t>Prodávající prohlašuje, že předmět smlouvy je zatížen pachtovní smlouvou uzavřenou mezi prodávajícím a společností Agrijan s.r.o., IČO 04937431, sídlo: Husovo náměstí 67, PSČ: 294 28, Chotětov a to s výpovědní lhůtou 1 rok. Podmínky pachtovní smlouvy bere Kupující na vědomí.</w:t>
      </w:r>
    </w:p>
    <w:p>
      <w:pPr>
        <w:pStyle w:val="Style5"/>
        <w:numPr>
          <w:ilvl w:val="0"/>
          <w:numId w:val="9"/>
        </w:numPr>
        <w:framePr w:w="9144" w:h="14058" w:hRule="exact" w:wrap="none" w:vAnchor="page" w:hAnchor="page" w:x="1390" w:y="1320"/>
        <w:tabs>
          <w:tab w:leader="none" w:pos="428" w:val="left"/>
        </w:tabs>
        <w:widowControl w:val="0"/>
        <w:keepNext w:val="0"/>
        <w:keepLines w:val="0"/>
        <w:shd w:val="clear" w:color="auto" w:fill="auto"/>
        <w:bidi w:val="0"/>
        <w:spacing w:before="0" w:after="271" w:line="278" w:lineRule="exact"/>
        <w:ind w:left="0" w:right="0" w:firstLine="0"/>
      </w:pPr>
      <w:r>
        <w:rPr>
          <w:lang w:val="cs-CZ" w:eastAsia="cs-CZ" w:bidi="cs-CZ"/>
          <w:sz w:val="24"/>
          <w:szCs w:val="24"/>
          <w:w w:val="100"/>
          <w:spacing w:val="0"/>
          <w:color w:val="000000"/>
          <w:position w:val="0"/>
        </w:rPr>
        <w:t>Kupující prohlašuje, že zná dostatečně stav předmětu smlouvy a v tomto stavu jej s ujištěním prodávajícího dle předchozích ustanovení této smlouvy bez výhrad přijímá.</w:t>
      </w:r>
    </w:p>
    <w:p>
      <w:pPr>
        <w:pStyle w:val="Style20"/>
        <w:framePr w:w="9144" w:h="14058" w:hRule="exact" w:wrap="none" w:vAnchor="page" w:hAnchor="page" w:x="1390" w:y="1320"/>
        <w:widowControl w:val="0"/>
        <w:keepNext w:val="0"/>
        <w:keepLines w:val="0"/>
        <w:shd w:val="clear" w:color="auto" w:fill="auto"/>
        <w:bidi w:val="0"/>
        <w:jc w:val="left"/>
        <w:spacing w:before="0" w:after="0" w:line="240" w:lineRule="exact"/>
        <w:ind w:left="4420" w:right="0" w:firstLine="0"/>
      </w:pPr>
      <w:bookmarkStart w:id="4" w:name="bookmark4"/>
      <w:r>
        <w:rPr>
          <w:lang w:val="cs-CZ" w:eastAsia="cs-CZ" w:bidi="cs-CZ"/>
          <w:sz w:val="24"/>
          <w:szCs w:val="24"/>
          <w:w w:val="100"/>
          <w:spacing w:val="0"/>
          <w:color w:val="000000"/>
          <w:position w:val="0"/>
        </w:rPr>
        <w:t>V.</w:t>
      </w:r>
      <w:bookmarkEnd w:id="4"/>
    </w:p>
    <w:p>
      <w:pPr>
        <w:pStyle w:val="Style5"/>
        <w:numPr>
          <w:ilvl w:val="0"/>
          <w:numId w:val="11"/>
        </w:numPr>
        <w:framePr w:w="9144" w:h="14058" w:hRule="exact" w:wrap="none" w:vAnchor="page" w:hAnchor="page" w:x="1390" w:y="1320"/>
        <w:tabs>
          <w:tab w:leader="none" w:pos="407" w:val="left"/>
        </w:tabs>
        <w:widowControl w:val="0"/>
        <w:keepNext w:val="0"/>
        <w:keepLines w:val="0"/>
        <w:shd w:val="clear" w:color="auto" w:fill="auto"/>
        <w:bidi w:val="0"/>
        <w:spacing w:before="0" w:after="236"/>
        <w:ind w:left="0" w:right="0" w:firstLine="0"/>
      </w:pPr>
      <w:r>
        <w:rPr>
          <w:lang w:val="cs-CZ" w:eastAsia="cs-CZ" w:bidi="cs-CZ"/>
          <w:sz w:val="24"/>
          <w:szCs w:val="24"/>
          <w:w w:val="100"/>
          <w:spacing w:val="0"/>
          <w:color w:val="000000"/>
          <w:position w:val="0"/>
        </w:rPr>
        <w:t>Vlastnictví k předmětu smlouvy, jakož i veškerá práva a povinnosti, nebezpečí a užitky s převodem spojené, se nabývá vkladem do katastru nemovitostí v souladu s ustanovením § 10 zákona č. 256/2013 Sb., o katastru nemovitostí (katastrální zákon), ve znění pozdějších předpisů. Smluvní strany se dohodly, že podání návrhu na vklad do katastru nemovitostí zajistí kupující, který současně uhradí příslušný správní poplatek s ním spojený.</w:t>
      </w:r>
    </w:p>
    <w:p>
      <w:pPr>
        <w:pStyle w:val="Style5"/>
        <w:numPr>
          <w:ilvl w:val="0"/>
          <w:numId w:val="11"/>
        </w:numPr>
        <w:framePr w:w="9144" w:h="14058" w:hRule="exact" w:wrap="none" w:vAnchor="page" w:hAnchor="page" w:x="1390" w:y="1320"/>
        <w:tabs>
          <w:tab w:leader="none" w:pos="423"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Smluvní strany se zavazují, pro případ, že katastrální úřad z jakéhokoliv důvodu neprovede zápis věcných práv podle této smlouvy, učinit bezodkladně veškeré nezbytné úkony k odstranění překážek pro zápis práva do katastru nemovitostí.</w:t>
      </w:r>
    </w:p>
    <w:p>
      <w:pPr>
        <w:pStyle w:val="Style20"/>
        <w:framePr w:w="9144" w:h="14058" w:hRule="exact" w:wrap="none" w:vAnchor="page" w:hAnchor="page" w:x="1390" w:y="1320"/>
        <w:widowControl w:val="0"/>
        <w:keepNext w:val="0"/>
        <w:keepLines w:val="0"/>
        <w:shd w:val="clear" w:color="auto" w:fill="auto"/>
        <w:bidi w:val="0"/>
        <w:jc w:val="left"/>
        <w:spacing w:before="0" w:after="0" w:line="274" w:lineRule="exact"/>
        <w:ind w:left="4420" w:right="0" w:firstLine="0"/>
      </w:pPr>
      <w:bookmarkStart w:id="5" w:name="bookmark5"/>
      <w:r>
        <w:rPr>
          <w:lang w:val="cs-CZ" w:eastAsia="cs-CZ" w:bidi="cs-CZ"/>
          <w:sz w:val="24"/>
          <w:szCs w:val="24"/>
          <w:w w:val="100"/>
          <w:spacing w:val="0"/>
          <w:color w:val="000000"/>
          <w:position w:val="0"/>
        </w:rPr>
        <w:t>VI.</w:t>
      </w:r>
      <w:bookmarkEnd w:id="5"/>
    </w:p>
    <w:p>
      <w:pPr>
        <w:pStyle w:val="Style5"/>
        <w:numPr>
          <w:ilvl w:val="0"/>
          <w:numId w:val="13"/>
        </w:numPr>
        <w:framePr w:w="9144" w:h="14058" w:hRule="exact" w:wrap="none" w:vAnchor="page" w:hAnchor="page" w:x="1390" w:y="1320"/>
        <w:tabs>
          <w:tab w:leader="none" w:pos="407" w:val="left"/>
        </w:tabs>
        <w:widowControl w:val="0"/>
        <w:keepNext w:val="0"/>
        <w:keepLines w:val="0"/>
        <w:shd w:val="clear" w:color="auto" w:fill="auto"/>
        <w:bidi w:val="0"/>
        <w:spacing w:before="0" w:after="240"/>
        <w:ind w:left="0" w:right="0" w:firstLine="0"/>
      </w:pPr>
      <w:r>
        <w:rPr>
          <w:lang w:val="cs-CZ" w:eastAsia="cs-CZ" w:bidi="cs-CZ"/>
          <w:sz w:val="24"/>
          <w:szCs w:val="24"/>
          <w:w w:val="100"/>
          <w:spacing w:val="0"/>
          <w:color w:val="000000"/>
          <w:position w:val="0"/>
        </w:rPr>
        <w:t>Nabytí vlastnického práva k nemovité věci Českou republikou dle této smlouvy je v souladu s ust. § 6 odst. 1 písm. a) zákonného opatření Senátu č. 340/2013 Sb., o dani z nabytí nemovitých věcí, osvobozeno od daně z nabytí nemovitostí. Dle ust. § 40 zákonného opatření Senátu č. 340/2013 Sb., o dani z nabytí nemovité věci, se daňové přiznání nepodává.</w:t>
      </w:r>
    </w:p>
    <w:p>
      <w:pPr>
        <w:pStyle w:val="Style20"/>
        <w:framePr w:w="9144" w:h="14058" w:hRule="exact" w:wrap="none" w:vAnchor="page" w:hAnchor="page" w:x="1390" w:y="1320"/>
        <w:widowControl w:val="0"/>
        <w:keepNext w:val="0"/>
        <w:keepLines w:val="0"/>
        <w:shd w:val="clear" w:color="auto" w:fill="auto"/>
        <w:bidi w:val="0"/>
        <w:jc w:val="left"/>
        <w:spacing w:before="0" w:after="0" w:line="274" w:lineRule="exact"/>
        <w:ind w:left="4420" w:right="0" w:firstLine="0"/>
      </w:pPr>
      <w:bookmarkStart w:id="6" w:name="bookmark6"/>
      <w:r>
        <w:rPr>
          <w:lang w:val="cs-CZ" w:eastAsia="cs-CZ" w:bidi="cs-CZ"/>
          <w:sz w:val="24"/>
          <w:szCs w:val="24"/>
          <w:w w:val="100"/>
          <w:spacing w:val="0"/>
          <w:color w:val="000000"/>
          <w:position w:val="0"/>
        </w:rPr>
        <w:t>VII.</w:t>
      </w:r>
      <w:bookmarkEnd w:id="6"/>
    </w:p>
    <w:p>
      <w:pPr>
        <w:pStyle w:val="Style5"/>
        <w:numPr>
          <w:ilvl w:val="0"/>
          <w:numId w:val="15"/>
        </w:numPr>
        <w:framePr w:w="9144" w:h="14058" w:hRule="exact" w:wrap="none" w:vAnchor="page" w:hAnchor="page" w:x="1390" w:y="1320"/>
        <w:tabs>
          <w:tab w:leader="none" w:pos="407"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Ředitelství silnic a dálnic ČR je ve smyslu Nařízení Evropského parlamentu a Rady (EU) 2016/679 ze dne 27. dubna 2016, o ochraně fyzických osob v souvislosti se zpracováním osobních údajů a o volném pohybu těchto údajů a o zrušení směrnice 95/46/ES (obecné nařízení o ochraně osobních údajů), správcem osobních údajů subjektů údajů. Informace o</w:t>
      </w:r>
    </w:p>
    <w:p>
      <w:pPr>
        <w:pStyle w:val="Style15"/>
        <w:framePr w:wrap="none" w:vAnchor="page" w:hAnchor="page" w:x="5306" w:y="15551"/>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Stránka 2 z 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9182" w:h="1714" w:hRule="exact" w:wrap="none" w:vAnchor="page" w:hAnchor="page" w:x="1371" w:y="1324"/>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 xml:space="preserve">jejich zpracování vyžadované platnými právními předpisy, včetně jejich rozsahu a účelu zpracování a přehledu práv a povinností Ředitelství silnic a dálnic ČR, jsou zveřejněny na webové stránce Ředitelství silnic a dálnic ČR </w:t>
      </w:r>
      <w:r>
        <w:rPr>
          <w:rStyle w:val="CharStyle8"/>
        </w:rPr>
        <w:t>(</w:t>
      </w:r>
      <w:r>
        <w:fldChar w:fldCharType="begin"/>
      </w:r>
      <w:r>
        <w:rPr>
          <w:rStyle w:val="CharStyle8"/>
        </w:rPr>
        <w:instrText> HYPERLINK "http://www.rsd.cz/wps/portal/web/rsd/gdpr" </w:instrText>
      </w:r>
      <w:r>
        <w:fldChar w:fldCharType="separate"/>
      </w:r>
      <w:r>
        <w:rPr>
          <w:rStyle w:val="Hyperlink"/>
        </w:rPr>
        <w:t>www.rsd.cz/wps/portal/web/rsd/gdpr</w:t>
      </w:r>
      <w:r>
        <w:fldChar w:fldCharType="end"/>
      </w:r>
      <w:r>
        <w:rPr>
          <w:rStyle w:val="CharStyle8"/>
        </w:rPr>
        <w:t>)</w:t>
      </w:r>
      <w:r>
        <w:rPr>
          <w:lang w:val="en-US" w:eastAsia="en-US" w:bidi="en-US"/>
          <w:sz w:val="24"/>
          <w:szCs w:val="24"/>
          <w:w w:val="100"/>
          <w:spacing w:val="0"/>
          <w:color w:val="000000"/>
          <w:position w:val="0"/>
        </w:rPr>
        <w:t xml:space="preserve"> </w:t>
      </w:r>
      <w:r>
        <w:rPr>
          <w:lang w:val="cs-CZ" w:eastAsia="cs-CZ" w:bidi="cs-CZ"/>
          <w:sz w:val="24"/>
          <w:szCs w:val="24"/>
          <w:w w:val="100"/>
          <w:spacing w:val="0"/>
          <w:color w:val="000000"/>
          <w:position w:val="0"/>
        </w:rPr>
        <w:t>a při uzavírání smlouvy, nebo kdykoli v průběhu jejího trvání, budou subjektu údajů poskytnuty na jeho vyžádání, adresované písemně na adresu sídla Ředitelství silnic a dálnic ČR nebo do jeho datové schránky ID zjq4rhz.</w:t>
      </w:r>
    </w:p>
    <w:p>
      <w:pPr>
        <w:pStyle w:val="Style22"/>
        <w:framePr w:w="9182" w:h="1714" w:hRule="exact" w:wrap="none" w:vAnchor="page" w:hAnchor="page" w:x="1371" w:y="3263"/>
        <w:widowControl w:val="0"/>
        <w:keepNext w:val="0"/>
        <w:keepLines w:val="0"/>
        <w:shd w:val="clear" w:color="auto" w:fill="auto"/>
        <w:bidi w:val="0"/>
        <w:spacing w:before="0" w:after="0"/>
        <w:ind w:left="0" w:right="20" w:firstLine="0"/>
      </w:pPr>
      <w:bookmarkStart w:id="7" w:name="bookmark7"/>
      <w:r>
        <w:rPr>
          <w:lang w:val="cs-CZ" w:eastAsia="cs-CZ" w:bidi="cs-CZ"/>
          <w:sz w:val="24"/>
          <w:szCs w:val="24"/>
          <w:w w:val="100"/>
          <w:spacing w:val="0"/>
          <w:color w:val="000000"/>
          <w:position w:val="0"/>
        </w:rPr>
        <w:t>VIII.</w:t>
      </w:r>
      <w:bookmarkEnd w:id="7"/>
    </w:p>
    <w:p>
      <w:pPr>
        <w:pStyle w:val="Style5"/>
        <w:numPr>
          <w:ilvl w:val="0"/>
          <w:numId w:val="17"/>
        </w:numPr>
        <w:framePr w:w="9182" w:h="1714" w:hRule="exact" w:wrap="none" w:vAnchor="page" w:hAnchor="page" w:x="1371" w:y="3263"/>
        <w:tabs>
          <w:tab w:leader="none" w:pos="414" w:val="left"/>
        </w:tabs>
        <w:widowControl w:val="0"/>
        <w:keepNext w:val="0"/>
        <w:keepLines w:val="0"/>
        <w:shd w:val="clear" w:color="auto" w:fill="auto"/>
        <w:bidi w:val="0"/>
        <w:spacing w:before="0" w:after="0"/>
        <w:ind w:left="0" w:right="0" w:firstLine="0"/>
      </w:pPr>
      <w:r>
        <w:rPr>
          <w:lang w:val="cs-CZ" w:eastAsia="cs-CZ" w:bidi="cs-CZ"/>
          <w:sz w:val="24"/>
          <w:szCs w:val="24"/>
          <w:w w:val="100"/>
          <w:spacing w:val="0"/>
          <w:color w:val="000000"/>
          <w:position w:val="0"/>
        </w:rPr>
        <w:t>Prodávající bere na vědomí, že kupující je subjektem, jenž v určitých případech podléhá zákonné povinnosti uveřejňovat smlouvy v souladu se zákonem č. 340/2015 Sb., o zvláštních podmínkách účinnosti některých smluv, uveřejňování těchto smluv a o registru smluv (zákon o registru smluv), ve znění pozdějších předpisů, v registru smluv vedeném pro tyto účely Ministerstvem vnitra.</w:t>
      </w:r>
    </w:p>
    <w:p>
      <w:pPr>
        <w:pStyle w:val="Style22"/>
        <w:framePr w:w="9182" w:h="5419" w:hRule="exact" w:wrap="none" w:vAnchor="page" w:hAnchor="page" w:x="1371" w:y="5224"/>
        <w:widowControl w:val="0"/>
        <w:keepNext w:val="0"/>
        <w:keepLines w:val="0"/>
        <w:shd w:val="clear" w:color="auto" w:fill="auto"/>
        <w:bidi w:val="0"/>
        <w:spacing w:before="0" w:after="0" w:line="240" w:lineRule="exact"/>
        <w:ind w:left="0" w:right="20" w:firstLine="0"/>
      </w:pPr>
      <w:bookmarkStart w:id="8" w:name="bookmark8"/>
      <w:r>
        <w:rPr>
          <w:lang w:val="cs-CZ" w:eastAsia="cs-CZ" w:bidi="cs-CZ"/>
          <w:sz w:val="24"/>
          <w:szCs w:val="24"/>
          <w:w w:val="100"/>
          <w:spacing w:val="0"/>
          <w:color w:val="000000"/>
          <w:position w:val="0"/>
        </w:rPr>
        <w:t>IX.</w:t>
      </w:r>
      <w:bookmarkEnd w:id="8"/>
    </w:p>
    <w:p>
      <w:pPr>
        <w:pStyle w:val="Style5"/>
        <w:numPr>
          <w:ilvl w:val="0"/>
          <w:numId w:val="19"/>
        </w:numPr>
        <w:framePr w:w="9182" w:h="5419" w:hRule="exact" w:wrap="none" w:vAnchor="page" w:hAnchor="page" w:x="1371" w:y="5224"/>
        <w:tabs>
          <w:tab w:leader="none" w:pos="414"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Kupní smlouvaje vyhotovena ve čtyřech stejnopisech, z nichž jedno vyhotovení je určeno pro katastrální úřad, jedno vyhotovení pro stranu prodávající a dvě vyhotovení pro stranu kupující.</w:t>
      </w:r>
    </w:p>
    <w:p>
      <w:pPr>
        <w:pStyle w:val="Style5"/>
        <w:numPr>
          <w:ilvl w:val="0"/>
          <w:numId w:val="19"/>
        </w:numPr>
        <w:framePr w:w="9182" w:h="5419" w:hRule="exact" w:wrap="none" w:vAnchor="page" w:hAnchor="page" w:x="1371" w:y="5224"/>
        <w:tabs>
          <w:tab w:leader="none" w:pos="453" w:val="left"/>
        </w:tabs>
        <w:widowControl w:val="0"/>
        <w:keepNext w:val="0"/>
        <w:keepLines w:val="0"/>
        <w:shd w:val="clear" w:color="auto" w:fill="auto"/>
        <w:bidi w:val="0"/>
        <w:spacing w:before="0" w:after="236"/>
        <w:ind w:left="0" w:right="0" w:firstLine="0"/>
      </w:pPr>
      <w:r>
        <w:rPr>
          <w:lang w:val="cs-CZ" w:eastAsia="cs-CZ" w:bidi="cs-CZ"/>
          <w:sz w:val="24"/>
          <w:szCs w:val="24"/>
          <w:w w:val="100"/>
          <w:spacing w:val="0"/>
          <w:color w:val="000000"/>
          <w:position w:val="0"/>
        </w:rPr>
        <w:t>Účastníci této smlouvy prohlašují, že smlouva byla sepsána na základě pravdivých údajů dle jejich pravé a svobodné vůle, že smluvnímu ujednání nejsou na překážku žádné okolnosti bránící nakládání s předmětem smlouvy a že nejsou omezeni ve svéprávnosti, na důkaz čehož ji vlastnoručně podepisují.</w:t>
      </w:r>
    </w:p>
    <w:p>
      <w:pPr>
        <w:pStyle w:val="Style5"/>
        <w:numPr>
          <w:ilvl w:val="0"/>
          <w:numId w:val="19"/>
        </w:numPr>
        <w:framePr w:w="9182" w:h="5419" w:hRule="exact" w:wrap="none" w:vAnchor="page" w:hAnchor="page" w:x="1371" w:y="5224"/>
        <w:tabs>
          <w:tab w:leader="none" w:pos="419" w:val="left"/>
        </w:tabs>
        <w:widowControl w:val="0"/>
        <w:keepNext w:val="0"/>
        <w:keepLines w:val="0"/>
        <w:shd w:val="clear" w:color="auto" w:fill="auto"/>
        <w:bidi w:val="0"/>
        <w:spacing w:before="0" w:after="244" w:line="278" w:lineRule="exact"/>
        <w:ind w:left="0" w:right="0" w:firstLine="0"/>
      </w:pPr>
      <w:r>
        <w:rPr>
          <w:lang w:val="cs-CZ" w:eastAsia="cs-CZ" w:bidi="cs-CZ"/>
          <w:sz w:val="24"/>
          <w:szCs w:val="24"/>
          <w:w w:val="100"/>
          <w:spacing w:val="0"/>
          <w:color w:val="000000"/>
          <w:position w:val="0"/>
        </w:rPr>
        <w:t>Smluvní strany prohlašují, že se dohodly na všech náležitostech, u nichž bylo dosažení shody předpokladem pro uzavření této smlouvy.</w:t>
      </w:r>
    </w:p>
    <w:p>
      <w:pPr>
        <w:pStyle w:val="Style5"/>
        <w:numPr>
          <w:ilvl w:val="0"/>
          <w:numId w:val="19"/>
        </w:numPr>
        <w:framePr w:w="9182" w:h="5419" w:hRule="exact" w:wrap="none" w:vAnchor="page" w:hAnchor="page" w:x="1371" w:y="5224"/>
        <w:tabs>
          <w:tab w:leader="none" w:pos="429" w:val="left"/>
        </w:tabs>
        <w:widowControl w:val="0"/>
        <w:keepNext w:val="0"/>
        <w:keepLines w:val="0"/>
        <w:shd w:val="clear" w:color="auto" w:fill="auto"/>
        <w:bidi w:val="0"/>
        <w:spacing w:before="0" w:after="507"/>
        <w:ind w:left="0" w:right="0" w:firstLine="0"/>
      </w:pPr>
      <w:r>
        <w:rPr>
          <w:lang w:val="cs-CZ" w:eastAsia="cs-CZ" w:bidi="cs-CZ"/>
          <w:sz w:val="24"/>
          <w:szCs w:val="24"/>
          <w:w w:val="100"/>
          <w:spacing w:val="0"/>
          <w:color w:val="000000"/>
          <w:position w:val="0"/>
        </w:rPr>
        <w:t>Smluvní strany prohlašují, že mezi nimi nebyla dohodnuta žádná jiná vedlejší ujednání ve smyslu ustanovení § 2132 a násl. zákona č. 89/2012 Sb., občanský zákoník, ve znění pozdějších předpisů, než ta, jež jsou obsažena v textu této smlouvy.</w:t>
      </w:r>
    </w:p>
    <w:p>
      <w:pPr>
        <w:pStyle w:val="Style5"/>
        <w:framePr w:w="9182" w:h="5419" w:hRule="exact" w:wrap="none" w:vAnchor="page" w:hAnchor="page" w:x="1371" w:y="5224"/>
        <w:tabs>
          <w:tab w:leader="dot" w:pos="2251" w:val="left"/>
          <w:tab w:leader="none" w:pos="3485" w:val="left"/>
          <w:tab w:leader="none" w:pos="5251" w:val="left"/>
        </w:tabs>
        <w:widowControl w:val="0"/>
        <w:keepNext w:val="0"/>
        <w:keepLines w:val="0"/>
        <w:shd w:val="clear" w:color="auto" w:fill="auto"/>
        <w:bidi w:val="0"/>
        <w:spacing w:before="0" w:after="0" w:line="240" w:lineRule="exact"/>
        <w:ind w:left="0" w:right="0" w:firstLine="0"/>
      </w:pPr>
      <w:r>
        <w:rPr>
          <w:lang w:val="cs-CZ" w:eastAsia="cs-CZ" w:bidi="cs-CZ"/>
          <w:sz w:val="24"/>
          <w:szCs w:val="24"/>
          <w:w w:val="100"/>
          <w:spacing w:val="0"/>
          <w:color w:val="000000"/>
          <w:position w:val="0"/>
        </w:rPr>
        <w:t>V ....</w:t>
      </w:r>
      <w:r>
        <w:rPr>
          <w:rStyle w:val="CharStyle24"/>
        </w:rPr>
        <w:t>ííčÚÚ.ú.</w:t>
      </w:r>
      <w:r>
        <w:rPr>
          <w:lang w:val="cs-CZ" w:eastAsia="cs-CZ" w:bidi="cs-CZ"/>
          <w:sz w:val="24"/>
          <w:szCs w:val="24"/>
          <w:w w:val="100"/>
          <w:spacing w:val="0"/>
          <w:color w:val="000000"/>
          <w:position w:val="0"/>
        </w:rPr>
        <w:tab/>
        <w:t>dne</w:t>
        <w:tab/>
        <w:t>..íí</w:t>
        <w:tab/>
        <w:t xml:space="preserve">V Kolíně dne </w:t>
      </w:r>
      <w:r>
        <w:rPr>
          <w:rStyle w:val="CharStyle25"/>
        </w:rPr>
        <w:t>...í</w:t>
      </w:r>
      <w:r>
        <w:rPr>
          <w:lang w:val="cs-CZ" w:eastAsia="cs-CZ" w:bidi="cs-CZ"/>
          <w:sz w:val="24"/>
          <w:szCs w:val="24"/>
          <w:w w:val="100"/>
          <w:spacing w:val="0"/>
          <w:color w:val="000000"/>
          <w:position w:val="0"/>
        </w:rPr>
        <w:t xml:space="preserve"> ?:.í?:.</w:t>
      </w:r>
    </w:p>
    <w:p>
      <w:pPr>
        <w:pStyle w:val="Style15"/>
        <w:framePr w:wrap="none" w:vAnchor="page" w:hAnchor="page" w:x="5307" w:y="15546"/>
        <w:widowControl w:val="0"/>
        <w:keepNext w:val="0"/>
        <w:keepLines w:val="0"/>
        <w:shd w:val="clear" w:color="auto" w:fill="auto"/>
        <w:bidi w:val="0"/>
        <w:jc w:val="left"/>
        <w:spacing w:before="0" w:after="0" w:line="220" w:lineRule="exact"/>
        <w:ind w:left="0" w:right="0" w:firstLine="0"/>
      </w:pPr>
      <w:r>
        <w:rPr>
          <w:lang w:val="cs-CZ" w:eastAsia="cs-CZ" w:bidi="cs-CZ"/>
          <w:w w:val="100"/>
          <w:spacing w:val="0"/>
          <w:color w:val="000000"/>
          <w:position w:val="0"/>
        </w:rPr>
        <w:t>Stránka 3 z 3</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2.%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3.%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4.%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5.%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6.%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7.%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8.%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9.%1"/>
      <w:rPr>
        <w:lang w:val="cs-CZ" w:eastAsia="cs-CZ" w:bidi="cs-CZ"/>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Tahoma" w:eastAsia="Tahoma" w:hAnsi="Tahoma" w:cs="Tahoma"/>
      <w:w w:val="100"/>
      <w:spacing w:val="0"/>
      <w:color w:val="000000"/>
      <w:position w:val="0"/>
    </w:rPr>
  </w:style>
  <w:style w:type="character" w:default="1" w:styleId="DefaultParagraphFont">
    <w:name w:val="Default Paragraph Font"/>
    <w:rPr>
      <w:lang w:val="cs-CZ" w:eastAsia="cs-CZ" w:bidi="cs-CZ"/>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Základní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7">
    <w:name w:val="Základní text (2) + Tučné"/>
    <w:basedOn w:val="CharStyle6"/>
    <w:rPr>
      <w:lang w:val="cs-CZ" w:eastAsia="cs-CZ" w:bidi="cs-CZ"/>
      <w:b/>
      <w:bCs/>
      <w:sz w:val="24"/>
      <w:szCs w:val="24"/>
      <w:w w:val="100"/>
      <w:spacing w:val="0"/>
      <w:color w:val="000000"/>
      <w:position w:val="0"/>
    </w:rPr>
  </w:style>
  <w:style w:type="character" w:customStyle="1" w:styleId="CharStyle8">
    <w:name w:val="Základní text (2)"/>
    <w:basedOn w:val="CharStyle6"/>
    <w:rPr>
      <w:lang w:val="en-US" w:eastAsia="en-US" w:bidi="en-US"/>
      <w:u w:val="single"/>
      <w:sz w:val="24"/>
      <w:szCs w:val="24"/>
      <w:w w:val="100"/>
      <w:spacing w:val="0"/>
      <w:color w:val="000000"/>
      <w:position w:val="0"/>
    </w:rPr>
  </w:style>
  <w:style w:type="character" w:customStyle="1" w:styleId="CharStyle10">
    <w:name w:val="Nadpis #1 (2)_"/>
    <w:basedOn w:val="DefaultParagraphFont"/>
    <w:link w:val="Style9"/>
    <w:rPr>
      <w:b/>
      <w:bCs/>
      <w:i w:val="0"/>
      <w:iCs w:val="0"/>
      <w:u w:val="none"/>
      <w:strike w:val="0"/>
      <w:smallCaps w:val="0"/>
      <w:sz w:val="32"/>
      <w:szCs w:val="32"/>
      <w:rFonts w:ascii="Times New Roman" w:eastAsia="Times New Roman" w:hAnsi="Times New Roman" w:cs="Times New Roman"/>
      <w:spacing w:val="90"/>
    </w:rPr>
  </w:style>
  <w:style w:type="character" w:customStyle="1" w:styleId="CharStyle12">
    <w:name w:val="Základní text (6)_"/>
    <w:basedOn w:val="DefaultParagraphFont"/>
    <w:link w:val="Style11"/>
    <w:rPr>
      <w:b/>
      <w:bCs/>
      <w:i w:val="0"/>
      <w:iCs w:val="0"/>
      <w:u w:val="none"/>
      <w:strike w:val="0"/>
      <w:smallCaps w:val="0"/>
      <w:sz w:val="26"/>
      <w:szCs w:val="26"/>
      <w:rFonts w:ascii="Times New Roman" w:eastAsia="Times New Roman" w:hAnsi="Times New Roman" w:cs="Times New Roman"/>
    </w:rPr>
  </w:style>
  <w:style w:type="character" w:customStyle="1" w:styleId="CharStyle14">
    <w:name w:val="Nadpis #1 (3)_"/>
    <w:basedOn w:val="DefaultParagraphFont"/>
    <w:link w:val="Style13"/>
    <w:rPr>
      <w:b/>
      <w:bCs/>
      <w:i w:val="0"/>
      <w:iCs w:val="0"/>
      <w:u w:val="none"/>
      <w:strike w:val="0"/>
      <w:smallCaps w:val="0"/>
      <w:sz w:val="18"/>
      <w:szCs w:val="18"/>
      <w:rFonts w:ascii="Times New Roman" w:eastAsia="Times New Roman" w:hAnsi="Times New Roman" w:cs="Times New Roman"/>
    </w:rPr>
  </w:style>
  <w:style w:type="character" w:customStyle="1" w:styleId="CharStyle16">
    <w:name w:val="Záhlaví nebo Zápatí_"/>
    <w:basedOn w:val="DefaultParagraphFont"/>
    <w:link w:val="Style15"/>
    <w:rPr>
      <w:b w:val="0"/>
      <w:bCs w:val="0"/>
      <w:i w:val="0"/>
      <w:iCs w:val="0"/>
      <w:u w:val="none"/>
      <w:strike w:val="0"/>
      <w:smallCaps w:val="0"/>
      <w:sz w:val="22"/>
      <w:szCs w:val="22"/>
      <w:rFonts w:ascii="Times New Roman" w:eastAsia="Times New Roman" w:hAnsi="Times New Roman" w:cs="Times New Roman"/>
    </w:rPr>
  </w:style>
  <w:style w:type="character" w:customStyle="1" w:styleId="CharStyle18">
    <w:name w:val="Základní text (5)_"/>
    <w:basedOn w:val="DefaultParagraphFont"/>
    <w:link w:val="Style17"/>
    <w:rPr>
      <w:b w:val="0"/>
      <w:bCs w:val="0"/>
      <w:i/>
      <w:iCs/>
      <w:u w:val="none"/>
      <w:strike w:val="0"/>
      <w:smallCaps w:val="0"/>
      <w:rFonts w:ascii="Segoe UI" w:eastAsia="Segoe UI" w:hAnsi="Segoe UI" w:cs="Segoe UI"/>
    </w:rPr>
  </w:style>
  <w:style w:type="character" w:customStyle="1" w:styleId="CharStyle19">
    <w:name w:val="Základní text (5)"/>
    <w:basedOn w:val="CharStyle18"/>
    <w:rPr>
      <w:lang w:val="cs-CZ" w:eastAsia="cs-CZ" w:bidi="cs-CZ"/>
      <w:sz w:val="24"/>
      <w:szCs w:val="24"/>
      <w:w w:val="100"/>
      <w:spacing w:val="0"/>
      <w:color w:val="000000"/>
      <w:position w:val="0"/>
    </w:rPr>
  </w:style>
  <w:style w:type="character" w:customStyle="1" w:styleId="CharStyle21">
    <w:name w:val="Nadpis #3_"/>
    <w:basedOn w:val="DefaultParagraphFont"/>
    <w:link w:val="Style20"/>
    <w:rPr>
      <w:b/>
      <w:bCs/>
      <w:i w:val="0"/>
      <w:iCs w:val="0"/>
      <w:u w:val="none"/>
      <w:strike w:val="0"/>
      <w:smallCaps w:val="0"/>
      <w:rFonts w:ascii="Times New Roman" w:eastAsia="Times New Roman" w:hAnsi="Times New Roman" w:cs="Times New Roman"/>
    </w:rPr>
  </w:style>
  <w:style w:type="character" w:customStyle="1" w:styleId="CharStyle23">
    <w:name w:val="Nadpis #2 (3)_"/>
    <w:basedOn w:val="DefaultParagraphFont"/>
    <w:link w:val="Style22"/>
    <w:rPr>
      <w:b/>
      <w:bCs/>
      <w:i w:val="0"/>
      <w:iCs w:val="0"/>
      <w:u w:val="none"/>
      <w:strike w:val="0"/>
      <w:smallCaps w:val="0"/>
      <w:rFonts w:ascii="Times New Roman" w:eastAsia="Times New Roman" w:hAnsi="Times New Roman" w:cs="Times New Roman"/>
    </w:rPr>
  </w:style>
  <w:style w:type="character" w:customStyle="1" w:styleId="CharStyle24">
    <w:name w:val="Základní text (2)"/>
    <w:basedOn w:val="CharStyle6"/>
    <w:rPr>
      <w:lang w:val="cs-CZ" w:eastAsia="cs-CZ" w:bidi="cs-CZ"/>
      <w:sz w:val="24"/>
      <w:szCs w:val="24"/>
      <w:w w:val="100"/>
      <w:spacing w:val="0"/>
      <w:color w:val="000000"/>
      <w:position w:val="0"/>
    </w:rPr>
  </w:style>
  <w:style w:type="character" w:customStyle="1" w:styleId="CharStyle25">
    <w:name w:val="Základní text (2)"/>
    <w:basedOn w:val="CharStyle6"/>
    <w:rPr>
      <w:lang w:val="cs-CZ" w:eastAsia="cs-CZ" w:bidi="cs-CZ"/>
      <w:sz w:val="24"/>
      <w:szCs w:val="24"/>
      <w:w w:val="100"/>
      <w:spacing w:val="0"/>
      <w:color w:val="000000"/>
      <w:position w:val="0"/>
    </w:rPr>
  </w:style>
  <w:style w:type="paragraph" w:customStyle="1" w:styleId="Style3">
    <w:name w:val="Základní text (3)"/>
    <w:basedOn w:val="Normal"/>
    <w:link w:val="CharStyle4"/>
    <w:pPr>
      <w:widowControl w:val="0"/>
      <w:shd w:val="clear" w:color="auto" w:fill="FFFFFF"/>
      <w:jc w:val="both"/>
      <w:spacing w:line="0" w:lineRule="exact"/>
    </w:pPr>
    <w:rPr>
      <w:b/>
      <w:bCs/>
      <w:i w:val="0"/>
      <w:iCs w:val="0"/>
      <w:u w:val="none"/>
      <w:strike w:val="0"/>
      <w:smallCaps w:val="0"/>
      <w:rFonts w:ascii="Times New Roman" w:eastAsia="Times New Roman" w:hAnsi="Times New Roman" w:cs="Times New Roman"/>
    </w:rPr>
  </w:style>
  <w:style w:type="paragraph" w:customStyle="1" w:styleId="Style5">
    <w:name w:val="Základní text (2)"/>
    <w:basedOn w:val="Normal"/>
    <w:link w:val="CharStyle6"/>
    <w:pPr>
      <w:widowControl w:val="0"/>
      <w:shd w:val="clear" w:color="auto" w:fill="FFFFFF"/>
      <w:jc w:val="both"/>
      <w:spacing w:line="274" w:lineRule="exact"/>
    </w:pPr>
    <w:rPr>
      <w:b w:val="0"/>
      <w:bCs w:val="0"/>
      <w:i w:val="0"/>
      <w:iCs w:val="0"/>
      <w:u w:val="none"/>
      <w:strike w:val="0"/>
      <w:smallCaps w:val="0"/>
      <w:rFonts w:ascii="Times New Roman" w:eastAsia="Times New Roman" w:hAnsi="Times New Roman" w:cs="Times New Roman"/>
    </w:rPr>
  </w:style>
  <w:style w:type="paragraph" w:customStyle="1" w:styleId="Style9">
    <w:name w:val="Nadpis #1 (2)"/>
    <w:basedOn w:val="Normal"/>
    <w:link w:val="CharStyle10"/>
    <w:pPr>
      <w:widowControl w:val="0"/>
      <w:shd w:val="clear" w:color="auto" w:fill="FFFFFF"/>
      <w:jc w:val="center"/>
      <w:outlineLvl w:val="0"/>
      <w:spacing w:before="240" w:line="331" w:lineRule="exact"/>
    </w:pPr>
    <w:rPr>
      <w:b/>
      <w:bCs/>
      <w:i w:val="0"/>
      <w:iCs w:val="0"/>
      <w:u w:val="none"/>
      <w:strike w:val="0"/>
      <w:smallCaps w:val="0"/>
      <w:sz w:val="32"/>
      <w:szCs w:val="32"/>
      <w:rFonts w:ascii="Times New Roman" w:eastAsia="Times New Roman" w:hAnsi="Times New Roman" w:cs="Times New Roman"/>
      <w:spacing w:val="90"/>
    </w:rPr>
  </w:style>
  <w:style w:type="paragraph" w:customStyle="1" w:styleId="Style11">
    <w:name w:val="Základní text (6)"/>
    <w:basedOn w:val="Normal"/>
    <w:link w:val="CharStyle12"/>
    <w:pPr>
      <w:widowControl w:val="0"/>
      <w:shd w:val="clear" w:color="auto" w:fill="FFFFFF"/>
      <w:jc w:val="center"/>
      <w:spacing w:after="240" w:line="331" w:lineRule="exact"/>
    </w:pPr>
    <w:rPr>
      <w:b/>
      <w:bCs/>
      <w:i w:val="0"/>
      <w:iCs w:val="0"/>
      <w:u w:val="none"/>
      <w:strike w:val="0"/>
      <w:smallCaps w:val="0"/>
      <w:sz w:val="26"/>
      <w:szCs w:val="26"/>
      <w:rFonts w:ascii="Times New Roman" w:eastAsia="Times New Roman" w:hAnsi="Times New Roman" w:cs="Times New Roman"/>
    </w:rPr>
  </w:style>
  <w:style w:type="paragraph" w:customStyle="1" w:styleId="Style13">
    <w:name w:val="Nadpis #1 (3)"/>
    <w:basedOn w:val="Normal"/>
    <w:link w:val="CharStyle14"/>
    <w:pPr>
      <w:widowControl w:val="0"/>
      <w:shd w:val="clear" w:color="auto" w:fill="FFFFFF"/>
      <w:outlineLvl w:val="0"/>
      <w:spacing w:before="240" w:line="274" w:lineRule="exact"/>
    </w:pPr>
    <w:rPr>
      <w:b/>
      <w:bCs/>
      <w:i w:val="0"/>
      <w:iCs w:val="0"/>
      <w:u w:val="none"/>
      <w:strike w:val="0"/>
      <w:smallCaps w:val="0"/>
      <w:sz w:val="18"/>
      <w:szCs w:val="18"/>
      <w:rFonts w:ascii="Times New Roman" w:eastAsia="Times New Roman" w:hAnsi="Times New Roman" w:cs="Times New Roman"/>
    </w:rPr>
  </w:style>
  <w:style w:type="paragraph" w:customStyle="1" w:styleId="Style15">
    <w:name w:val="Záhlaví nebo Zápatí"/>
    <w:basedOn w:val="Normal"/>
    <w:link w:val="CharStyle16"/>
    <w:pPr>
      <w:widowControl w:val="0"/>
      <w:shd w:val="clear" w:color="auto" w:fill="FFFFFF"/>
      <w:jc w:val="center"/>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7">
    <w:name w:val="Základní text (5)"/>
    <w:basedOn w:val="Normal"/>
    <w:link w:val="CharStyle18"/>
    <w:pPr>
      <w:widowControl w:val="0"/>
      <w:shd w:val="clear" w:color="auto" w:fill="FFFFFF"/>
      <w:spacing w:line="0" w:lineRule="exact"/>
    </w:pPr>
    <w:rPr>
      <w:b w:val="0"/>
      <w:bCs w:val="0"/>
      <w:i/>
      <w:iCs/>
      <w:u w:val="none"/>
      <w:strike w:val="0"/>
      <w:smallCaps w:val="0"/>
      <w:rFonts w:ascii="Segoe UI" w:eastAsia="Segoe UI" w:hAnsi="Segoe UI" w:cs="Segoe UI"/>
    </w:rPr>
  </w:style>
  <w:style w:type="paragraph" w:customStyle="1" w:styleId="Style20">
    <w:name w:val="Nadpis #3"/>
    <w:basedOn w:val="Normal"/>
    <w:link w:val="CharStyle21"/>
    <w:pPr>
      <w:widowControl w:val="0"/>
      <w:shd w:val="clear" w:color="auto" w:fill="FFFFFF"/>
      <w:jc w:val="center"/>
      <w:outlineLvl w:val="2"/>
      <w:spacing w:after="60" w:line="0" w:lineRule="exact"/>
    </w:pPr>
    <w:rPr>
      <w:b/>
      <w:bCs/>
      <w:i w:val="0"/>
      <w:iCs w:val="0"/>
      <w:u w:val="none"/>
      <w:strike w:val="0"/>
      <w:smallCaps w:val="0"/>
      <w:rFonts w:ascii="Times New Roman" w:eastAsia="Times New Roman" w:hAnsi="Times New Roman" w:cs="Times New Roman"/>
    </w:rPr>
  </w:style>
  <w:style w:type="paragraph" w:customStyle="1" w:styleId="Style22">
    <w:name w:val="Nadpis #2 (3)"/>
    <w:basedOn w:val="Normal"/>
    <w:link w:val="CharStyle23"/>
    <w:pPr>
      <w:widowControl w:val="0"/>
      <w:shd w:val="clear" w:color="auto" w:fill="FFFFFF"/>
      <w:jc w:val="center"/>
      <w:outlineLvl w:val="1"/>
      <w:spacing w:before="240" w:line="274"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