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F3F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4F3F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F3F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4F3F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4F3F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4F3F2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4F3F21">
        <w:rPr>
          <w:b/>
          <w:snapToGrid w:val="0"/>
          <w:sz w:val="28"/>
          <w:szCs w:val="28"/>
        </w:rPr>
        <w:t>07 – 104/2015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04B5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4F3F21">
        <w:rPr>
          <w:rFonts w:ascii="Times New Roman" w:hAnsi="Times New Roman"/>
          <w:snapToGrid w:val="0"/>
          <w:sz w:val="24"/>
        </w:rPr>
        <w:t>13507003</w:t>
      </w:r>
    </w:p>
    <w:p w:rsidR="004F3F21" w:rsidRDefault="004F3F21" w:rsidP="004F3F21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FA4E25">
        <w:rPr>
          <w:b/>
          <w:snapToGrid w:val="0"/>
          <w:sz w:val="24"/>
        </w:rPr>
        <w:t>Statutární město Ostrava</w:t>
      </w:r>
    </w:p>
    <w:p w:rsidR="004F3F21" w:rsidRPr="00206D3F" w:rsidRDefault="004F3F21" w:rsidP="004F3F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B5245">
        <w:rPr>
          <w:rFonts w:ascii="Times New Roman" w:hAnsi="Times New Roman"/>
          <w:b/>
          <w:snapToGrid w:val="0"/>
          <w:sz w:val="24"/>
        </w:rPr>
        <w:t xml:space="preserve">Městský obvod </w:t>
      </w:r>
      <w:r w:rsidRPr="00E414D7">
        <w:rPr>
          <w:rFonts w:ascii="Times New Roman" w:hAnsi="Times New Roman"/>
          <w:b/>
          <w:snapToGrid w:val="0"/>
          <w:sz w:val="24"/>
        </w:rPr>
        <w:t>Ostrava-Jih</w:t>
      </w:r>
    </w:p>
    <w:p w:rsidR="004F3F21" w:rsidRDefault="004F3F21" w:rsidP="004F3F21">
      <w:pPr>
        <w:ind w:firstLine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E414D7">
        <w:rPr>
          <w:b/>
          <w:snapToGrid w:val="0"/>
          <w:sz w:val="24"/>
        </w:rPr>
        <w:t xml:space="preserve">Ostrava </w:t>
      </w:r>
      <w:r>
        <w:rPr>
          <w:b/>
          <w:snapToGrid w:val="0"/>
          <w:sz w:val="24"/>
        </w:rPr>
        <w:t>–</w:t>
      </w:r>
      <w:r w:rsidRPr="00E414D7">
        <w:rPr>
          <w:b/>
          <w:snapToGrid w:val="0"/>
          <w:sz w:val="24"/>
        </w:rPr>
        <w:t xml:space="preserve"> Hrabůvka</w:t>
      </w:r>
      <w:r>
        <w:rPr>
          <w:b/>
          <w:snapToGrid w:val="0"/>
          <w:sz w:val="24"/>
        </w:rPr>
        <w:t xml:space="preserve">, </w:t>
      </w:r>
      <w:r w:rsidRPr="00E414D7">
        <w:rPr>
          <w:b/>
          <w:snapToGrid w:val="0"/>
          <w:sz w:val="24"/>
        </w:rPr>
        <w:t>Horní 791/3</w:t>
      </w:r>
      <w:r>
        <w:rPr>
          <w:b/>
          <w:snapToGrid w:val="0"/>
          <w:sz w:val="24"/>
        </w:rPr>
        <w:t xml:space="preserve">, PSČ </w:t>
      </w:r>
      <w:r w:rsidRPr="00E414D7">
        <w:rPr>
          <w:b/>
          <w:snapToGrid w:val="0"/>
          <w:sz w:val="24"/>
        </w:rPr>
        <w:t>700 30</w:t>
      </w:r>
    </w:p>
    <w:p w:rsidR="004F3F21" w:rsidRPr="00E414D7" w:rsidRDefault="004F3F21" w:rsidP="004F3F21">
      <w:pPr>
        <w:ind w:firstLine="284"/>
        <w:rPr>
          <w:b/>
          <w:snapToGrid w:val="0"/>
          <w:sz w:val="24"/>
        </w:rPr>
      </w:pPr>
      <w:r w:rsidRPr="00206D3F">
        <w:rPr>
          <w:b/>
          <w:snapToGrid w:val="0"/>
          <w:sz w:val="24"/>
        </w:rPr>
        <w:t>zastoupen:</w:t>
      </w:r>
      <w:r>
        <w:rPr>
          <w:b/>
          <w:snapToGrid w:val="0"/>
          <w:sz w:val="24"/>
        </w:rPr>
        <w:t xml:space="preserve"> </w:t>
      </w:r>
      <w:r w:rsidRPr="00E414D7">
        <w:rPr>
          <w:snapToGrid w:val="0"/>
          <w:sz w:val="24"/>
        </w:rPr>
        <w:t>Bc. Martin</w:t>
      </w:r>
      <w:r>
        <w:rPr>
          <w:snapToGrid w:val="0"/>
          <w:sz w:val="24"/>
        </w:rPr>
        <w:t>em</w:t>
      </w:r>
      <w:r w:rsidRPr="00E414D7">
        <w:rPr>
          <w:snapToGrid w:val="0"/>
          <w:sz w:val="24"/>
        </w:rPr>
        <w:t xml:space="preserve"> Bednář</w:t>
      </w:r>
      <w:r>
        <w:rPr>
          <w:snapToGrid w:val="0"/>
          <w:sz w:val="24"/>
        </w:rPr>
        <w:t>em</w:t>
      </w:r>
      <w:r w:rsidRPr="00E414D7">
        <w:rPr>
          <w:snapToGrid w:val="0"/>
          <w:sz w:val="24"/>
        </w:rPr>
        <w:t>, starost</w:t>
      </w:r>
      <w:r>
        <w:rPr>
          <w:snapToGrid w:val="0"/>
          <w:sz w:val="24"/>
        </w:rPr>
        <w:t>ou</w:t>
      </w:r>
    </w:p>
    <w:p w:rsidR="004F3F21" w:rsidRDefault="004F3F21" w:rsidP="004F3F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:rsidR="009404F5" w:rsidRDefault="004F3F21" w:rsidP="004F3F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4F3F21" w:rsidRPr="004F3F21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04B5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4F3F2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4F3F21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F3F21" w:rsidRDefault="004F3F2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F3F21" w:rsidRDefault="004F3F2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F3F21" w:rsidRDefault="004F3F2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F3F21" w:rsidRDefault="004F3F2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F3F21" w:rsidRDefault="004F3F2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F3F21" w:rsidRPr="00DE2BC9" w:rsidRDefault="004F3F2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4F3F21" w:rsidRDefault="00226595" w:rsidP="004F3F21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4F3F21">
        <w:rPr>
          <w:rFonts w:ascii="Times New Roman" w:hAnsi="Times New Roman"/>
          <w:snapToGrid w:val="0"/>
          <w:sz w:val="24"/>
        </w:rPr>
        <w:t xml:space="preserve"> </w:t>
      </w:r>
      <w:r w:rsidRPr="004F3F21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4F3F21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4F3F2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F3F21">
        <w:rPr>
          <w:rFonts w:ascii="Times New Roman" w:hAnsi="Times New Roman"/>
          <w:b/>
          <w:snapToGrid w:val="0"/>
          <w:sz w:val="24"/>
        </w:rPr>
        <w:t>požaduje kontrolu</w:t>
      </w:r>
      <w:r w:rsidRPr="004F3F21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4F3F21" w:rsidRDefault="00226595" w:rsidP="004F3F21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F3F21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4F3F21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4F3F21" w:rsidRDefault="00226595" w:rsidP="004F3F21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4F3F21">
        <w:rPr>
          <w:rFonts w:ascii="Times New Roman" w:hAnsi="Times New Roman"/>
          <w:sz w:val="24"/>
        </w:rPr>
        <w:t xml:space="preserve"> </w:t>
      </w:r>
      <w:r w:rsidRPr="004F3F21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4F3F21" w:rsidRDefault="00226595" w:rsidP="004F3F21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4F3F21" w:rsidRDefault="00226595" w:rsidP="004F3F21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4F3F21">
        <w:rPr>
          <w:rFonts w:ascii="Times New Roman" w:hAnsi="Times New Roman"/>
          <w:snapToGrid w:val="0"/>
          <w:sz w:val="24"/>
        </w:rPr>
        <w:t xml:space="preserve"> 1 x ročně na měsíc </w:t>
      </w:r>
      <w:r w:rsidR="004F3F21" w:rsidRPr="004F3F21">
        <w:rPr>
          <w:rFonts w:ascii="Times New Roman" w:hAnsi="Times New Roman"/>
          <w:snapToGrid w:val="0"/>
          <w:sz w:val="24"/>
        </w:rPr>
        <w:t>PROSINEC</w:t>
      </w:r>
      <w:r w:rsidRPr="004F3F21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4F3F21" w:rsidRDefault="004F3F21" w:rsidP="004F3F2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4F3F21" w:rsidRDefault="004F3F21" w:rsidP="004F3F2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4F3F21" w:rsidRDefault="004F3F21" w:rsidP="004F3F2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F04B56" w:rsidRDefault="00F04B56" w:rsidP="004F3F2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F04B56" w:rsidRDefault="00F04B56" w:rsidP="004F3F2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4F3F21" w:rsidRDefault="00226595" w:rsidP="004F3F21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F3F21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4F3F21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4F3F21" w:rsidRDefault="00226595" w:rsidP="004F3F2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4F3F21">
        <w:rPr>
          <w:rFonts w:ascii="Times New Roman" w:hAnsi="Times New Roman"/>
          <w:sz w:val="24"/>
        </w:rPr>
        <w:t>í od plátců vyinkasované platby</w:t>
      </w:r>
      <w:r w:rsidRPr="004F3F21">
        <w:rPr>
          <w:rFonts w:ascii="Times New Roman" w:hAnsi="Times New Roman"/>
          <w:sz w:val="24"/>
        </w:rPr>
        <w:t xml:space="preserve"> úhrnem vybraných plateb</w:t>
      </w:r>
      <w:r w:rsidRPr="004F3F21">
        <w:rPr>
          <w:rFonts w:ascii="Times New Roman" w:hAnsi="Times New Roman"/>
          <w:b/>
          <w:sz w:val="24"/>
        </w:rPr>
        <w:t xml:space="preserve">, </w:t>
      </w:r>
      <w:r w:rsidRPr="004F3F21">
        <w:rPr>
          <w:rFonts w:ascii="Times New Roman" w:hAnsi="Times New Roman"/>
          <w:sz w:val="24"/>
        </w:rPr>
        <w:t xml:space="preserve">a to </w:t>
      </w:r>
      <w:r w:rsidRPr="004F3F21">
        <w:rPr>
          <w:rFonts w:ascii="Times New Roman" w:hAnsi="Times New Roman"/>
          <w:b/>
          <w:sz w:val="24"/>
        </w:rPr>
        <w:t>k 20. dni daného měsíce a doúčtování</w:t>
      </w:r>
      <w:r w:rsidRPr="004F3F21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4F3F21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4F3F21" w:rsidRDefault="00226595" w:rsidP="004F3F2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F3F21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4F3F21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4F3F21">
        <w:rPr>
          <w:rFonts w:ascii="Times New Roman" w:hAnsi="Times New Roman"/>
          <w:snapToGrid w:val="0"/>
          <w:sz w:val="24"/>
        </w:rPr>
        <w:t>)</w:t>
      </w:r>
      <w:r w:rsidR="00EB25E9" w:rsidRPr="004F3F2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F3F21">
        <w:rPr>
          <w:rFonts w:ascii="Times New Roman" w:hAnsi="Times New Roman"/>
          <w:b/>
          <w:snapToGrid w:val="0"/>
          <w:sz w:val="24"/>
        </w:rPr>
        <w:t>na adresu</w:t>
      </w:r>
      <w:r w:rsidR="004F3F21">
        <w:rPr>
          <w:rFonts w:ascii="Times New Roman" w:hAnsi="Times New Roman"/>
          <w:b/>
          <w:snapToGrid w:val="0"/>
          <w:sz w:val="24"/>
        </w:rPr>
        <w:t xml:space="preserve"> Statutární město Ostrava, Městský obvod Ostrava-Jih, Horní 791/3, 700 30 Ostrava-Hrabůvka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C61618" w:rsidRPr="00C61618">
        <w:t>2</w:t>
      </w:r>
      <w:r w:rsidRPr="00C61618">
        <w:t>.</w:t>
      </w:r>
      <w:r w:rsidR="00C61618" w:rsidRPr="00C61618">
        <w:t>1</w:t>
      </w:r>
      <w:r w:rsidRPr="00C61618">
        <w:t>.</w:t>
      </w:r>
      <w:r w:rsidR="00C61618" w:rsidRPr="00C61618">
        <w:t>7</w:t>
      </w:r>
      <w:r w:rsidRPr="00C61618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61618" w:rsidRDefault="00226595" w:rsidP="00C6161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6161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61618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C61618">
        <w:rPr>
          <w:rFonts w:ascii="Times New Roman" w:hAnsi="Times New Roman"/>
          <w:snapToGrid w:val="0"/>
          <w:sz w:val="24"/>
        </w:rPr>
        <w:t>(kódová stránka 1250).</w:t>
      </w:r>
    </w:p>
    <w:p w:rsidR="00C61618" w:rsidRDefault="00C61618" w:rsidP="00C61618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C61618" w:rsidRDefault="00C61618" w:rsidP="00C61618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F04B56" w:rsidRPr="00C61618" w:rsidRDefault="00F04B56" w:rsidP="00C61618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</w:t>
      </w:r>
      <w:r w:rsidR="003C3646">
        <w:rPr>
          <w:rFonts w:ascii="Times New Roman" w:hAnsi="Times New Roman"/>
          <w:snapToGrid w:val="0"/>
          <w:sz w:val="24"/>
        </w:rPr>
        <w:t xml:space="preserve">(dále jen „Důvěrné informace“) </w:t>
      </w:r>
      <w:r>
        <w:rPr>
          <w:rFonts w:ascii="Times New Roman" w:hAnsi="Times New Roman"/>
          <w:snapToGrid w:val="0"/>
          <w:sz w:val="24"/>
        </w:rPr>
        <w:t xml:space="preserve">a rovněž se zavazují chránit systém a jeho prvky před zneužitím. Pro účely této Smlouvy jsou </w:t>
      </w:r>
      <w:r w:rsidR="003C3646">
        <w:rPr>
          <w:rFonts w:ascii="Times New Roman" w:hAnsi="Times New Roman"/>
          <w:snapToGrid w:val="0"/>
          <w:sz w:val="24"/>
        </w:rPr>
        <w:t>D</w:t>
      </w:r>
      <w:r>
        <w:rPr>
          <w:rFonts w:ascii="Times New Roman" w:hAnsi="Times New Roman"/>
          <w:snapToGrid w:val="0"/>
          <w:sz w:val="24"/>
        </w:rPr>
        <w:t xml:space="preserve">ůvěrnými informacemi </w:t>
      </w:r>
      <w:r w:rsidR="003C3646">
        <w:rPr>
          <w:rFonts w:ascii="Times New Roman" w:hAnsi="Times New Roman"/>
          <w:snapToGrid w:val="0"/>
          <w:sz w:val="24"/>
        </w:rPr>
        <w:t>informace obsažené v této Smlouvě</w:t>
      </w:r>
      <w:r>
        <w:rPr>
          <w:rFonts w:ascii="Times New Roman" w:hAnsi="Times New Roman"/>
          <w:snapToGrid w:val="0"/>
          <w:sz w:val="24"/>
        </w:rPr>
        <w:t>, zápisy z jednání Smluvních stran a jakékoliv dokumenty, které budou zpracovány na základě této Smlouvy, jakož i další podklady a informace, které budou předávány mezi Smluvními stranami při plnění povinností ze Smlouvy</w:t>
      </w:r>
      <w:r w:rsidR="003C3646">
        <w:rPr>
          <w:rFonts w:ascii="Times New Roman" w:hAnsi="Times New Roman"/>
          <w:snapToGrid w:val="0"/>
          <w:sz w:val="24"/>
        </w:rPr>
        <w:t>, aniž by bylo nutné je za Důvěrné výslovně označovat.</w:t>
      </w:r>
      <w:r>
        <w:rPr>
          <w:rFonts w:ascii="Times New Roman" w:hAnsi="Times New Roman"/>
          <w:snapToGrid w:val="0"/>
          <w:sz w:val="24"/>
        </w:rPr>
        <w:t xml:space="preserve">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  <w:r w:rsidR="00A97FBB">
        <w:rPr>
          <w:rFonts w:ascii="Times New Roman" w:hAnsi="Times New Roman"/>
          <w:snapToGrid w:val="0"/>
          <w:sz w:val="24"/>
        </w:rPr>
        <w:t xml:space="preserve"> O porušení povinností podle tohoto článku smlouvy nepůjde v případě, že některá ze smluvních stran zveřejní tuto smlouvu či informace v ní obsažené na základě povinnosti dané jí zákonem.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C61618" w:rsidRDefault="00C61618" w:rsidP="00C6161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C61618" w:rsidRPr="00DE2BC9" w:rsidRDefault="00C61618" w:rsidP="00C6161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52F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C6161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C6161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C61618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C61618" w:rsidRPr="00C61618">
        <w:rPr>
          <w:rFonts w:ascii="Times New Roman" w:hAnsi="Times New Roman"/>
          <w:b/>
          <w:snapToGrid w:val="0"/>
          <w:sz w:val="24"/>
          <w:szCs w:val="24"/>
        </w:rPr>
        <w:br/>
      </w:r>
      <w:r w:rsidRPr="00C61618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C61618" w:rsidRPr="00C61618">
        <w:rPr>
          <w:rFonts w:ascii="Times New Roman" w:hAnsi="Times New Roman"/>
          <w:b/>
          <w:snapToGrid w:val="0"/>
          <w:sz w:val="24"/>
          <w:szCs w:val="24"/>
        </w:rPr>
        <w:t xml:space="preserve"> 07 – 175/2007 z</w:t>
      </w:r>
      <w:r w:rsidRPr="00C61618">
        <w:rPr>
          <w:rFonts w:ascii="Times New Roman" w:hAnsi="Times New Roman"/>
          <w:b/>
          <w:snapToGrid w:val="0"/>
          <w:sz w:val="24"/>
          <w:szCs w:val="24"/>
        </w:rPr>
        <w:t>e dne</w:t>
      </w:r>
      <w:r w:rsidR="00C61618" w:rsidRPr="00C6161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C61618" w:rsidRPr="00C61618">
        <w:rPr>
          <w:rFonts w:ascii="Times New Roman" w:hAnsi="Times New Roman"/>
          <w:b/>
          <w:snapToGrid w:val="0"/>
          <w:sz w:val="24"/>
          <w:szCs w:val="24"/>
        </w:rPr>
        <w:t>07.08.2007</w:t>
      </w:r>
      <w:proofErr w:type="gramEnd"/>
      <w:r w:rsidRPr="00C61618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61618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61618">
        <w:rPr>
          <w:rFonts w:ascii="Times New Roman" w:hAnsi="Times New Roman"/>
          <w:snapToGrid w:val="0"/>
          <w:sz w:val="24"/>
        </w:rPr>
        <w:t>Bc. Martin Bednář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61618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F04B56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F04B56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087C6B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4F3F21">
      <w:rPr>
        <w:sz w:val="16"/>
      </w:rPr>
      <w:t>07 – 1</w:t>
    </w:r>
    <w:r w:rsidR="00697250">
      <w:rPr>
        <w:sz w:val="16"/>
      </w:rPr>
      <w:t>04</w:t>
    </w:r>
    <w:r w:rsidR="004F3F21">
      <w:rPr>
        <w:sz w:val="16"/>
      </w:rPr>
      <w:t>/20</w:t>
    </w:r>
    <w:r w:rsidR="00697250">
      <w:rPr>
        <w:sz w:val="16"/>
      </w:rPr>
      <w:t>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04B5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B453B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1AA3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C3646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4BFD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3F21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97250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97FBB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1618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B2EBA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4B56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0340619"/>
  <w15:docId w15:val="{8AB57A88-BE04-4B69-A316-526D83EE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2268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Kubesová Kamila</cp:lastModifiedBy>
  <cp:revision>3</cp:revision>
  <cp:lastPrinted>2013-11-27T08:41:00Z</cp:lastPrinted>
  <dcterms:created xsi:type="dcterms:W3CDTF">2020-04-23T08:15:00Z</dcterms:created>
  <dcterms:modified xsi:type="dcterms:W3CDTF">2020-04-23T08:16:00Z</dcterms:modified>
</cp:coreProperties>
</file>