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5819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5819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EE56E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E56E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EE56E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EE56E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58199E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EE56E5">
        <w:rPr>
          <w:b/>
          <w:snapToGrid w:val="0"/>
          <w:sz w:val="28"/>
          <w:szCs w:val="28"/>
        </w:rPr>
        <w:t>104</w:t>
      </w:r>
      <w:r w:rsidR="008F536D">
        <w:rPr>
          <w:b/>
          <w:snapToGrid w:val="0"/>
          <w:sz w:val="28"/>
          <w:szCs w:val="28"/>
        </w:rPr>
        <w:t>/201</w:t>
      </w:r>
      <w:r w:rsidR="00255B3F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10F5D" w:rsidRDefault="00BA53A8" w:rsidP="00B10F5D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B10F5D">
        <w:rPr>
          <w:b/>
          <w:snapToGrid w:val="0"/>
          <w:sz w:val="24"/>
        </w:rPr>
        <w:t>Česká pošta, s. p.</w:t>
      </w:r>
    </w:p>
    <w:p w:rsidR="00B10F5D" w:rsidRPr="00DE2BC9" w:rsidRDefault="00B10F5D" w:rsidP="00B10F5D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10F5D" w:rsidRDefault="00B10F5D" w:rsidP="00B10F5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10F5D" w:rsidRDefault="00B10F5D" w:rsidP="00B10F5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10F5D" w:rsidRDefault="00B10F5D" w:rsidP="00B10F5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10F5D" w:rsidRDefault="00B10F5D" w:rsidP="00B10F5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10F5D" w:rsidRDefault="00B10F5D" w:rsidP="00B10F5D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10F5D" w:rsidRPr="00814721" w:rsidRDefault="00B10F5D" w:rsidP="00B10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10F5D" w:rsidRDefault="00B10F5D" w:rsidP="00B10F5D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10F5D" w:rsidRDefault="00B10F5D" w:rsidP="00B10F5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65C0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10F5D" w:rsidRPr="00DE2BC9" w:rsidRDefault="00B10F5D" w:rsidP="00B10F5D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8199E">
        <w:rPr>
          <w:snapToGrid w:val="0"/>
          <w:sz w:val="24"/>
        </w:rPr>
        <w:t>13507003</w:t>
      </w:r>
    </w:p>
    <w:p w:rsidR="00EE56E5" w:rsidRDefault="00EE56E5" w:rsidP="00EE56E5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FA4E25">
        <w:rPr>
          <w:b/>
          <w:snapToGrid w:val="0"/>
          <w:sz w:val="24"/>
        </w:rPr>
        <w:t>Statutární město Ostrava</w:t>
      </w:r>
    </w:p>
    <w:p w:rsidR="00EE56E5" w:rsidRPr="00206D3F" w:rsidRDefault="00EE56E5" w:rsidP="00EE56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0B5245">
        <w:rPr>
          <w:rFonts w:ascii="Times New Roman" w:hAnsi="Times New Roman"/>
          <w:b/>
          <w:snapToGrid w:val="0"/>
          <w:sz w:val="24"/>
        </w:rPr>
        <w:t xml:space="preserve">Městský obvod </w:t>
      </w:r>
      <w:r w:rsidRPr="00E414D7">
        <w:rPr>
          <w:rFonts w:ascii="Times New Roman" w:hAnsi="Times New Roman"/>
          <w:b/>
          <w:snapToGrid w:val="0"/>
          <w:sz w:val="24"/>
        </w:rPr>
        <w:t>Ostrava-Jih</w:t>
      </w:r>
    </w:p>
    <w:p w:rsidR="00EE56E5" w:rsidRDefault="00EE56E5" w:rsidP="00EE56E5">
      <w:pPr>
        <w:ind w:firstLine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E414D7">
        <w:rPr>
          <w:b/>
          <w:snapToGrid w:val="0"/>
          <w:sz w:val="24"/>
        </w:rPr>
        <w:t xml:space="preserve">Ostrava </w:t>
      </w:r>
      <w:r>
        <w:rPr>
          <w:b/>
          <w:snapToGrid w:val="0"/>
          <w:sz w:val="24"/>
        </w:rPr>
        <w:t>–</w:t>
      </w:r>
      <w:r w:rsidRPr="00E414D7">
        <w:rPr>
          <w:b/>
          <w:snapToGrid w:val="0"/>
          <w:sz w:val="24"/>
        </w:rPr>
        <w:t xml:space="preserve"> Hrabůvka</w:t>
      </w:r>
      <w:r>
        <w:rPr>
          <w:b/>
          <w:snapToGrid w:val="0"/>
          <w:sz w:val="24"/>
        </w:rPr>
        <w:t xml:space="preserve">, </w:t>
      </w:r>
      <w:r w:rsidRPr="00E414D7">
        <w:rPr>
          <w:b/>
          <w:snapToGrid w:val="0"/>
          <w:sz w:val="24"/>
        </w:rPr>
        <w:t>Horní 791/3</w:t>
      </w:r>
      <w:r>
        <w:rPr>
          <w:b/>
          <w:snapToGrid w:val="0"/>
          <w:sz w:val="24"/>
        </w:rPr>
        <w:t xml:space="preserve">, PSČ </w:t>
      </w:r>
      <w:r w:rsidRPr="00E414D7">
        <w:rPr>
          <w:b/>
          <w:snapToGrid w:val="0"/>
          <w:sz w:val="24"/>
        </w:rPr>
        <w:t>700 30</w:t>
      </w:r>
    </w:p>
    <w:p w:rsidR="00EE56E5" w:rsidRPr="00E414D7" w:rsidRDefault="00EE56E5" w:rsidP="00EE56E5">
      <w:pPr>
        <w:ind w:firstLine="284"/>
        <w:rPr>
          <w:b/>
          <w:snapToGrid w:val="0"/>
          <w:sz w:val="24"/>
        </w:rPr>
      </w:pPr>
      <w:r w:rsidRPr="00206D3F">
        <w:rPr>
          <w:b/>
          <w:snapToGrid w:val="0"/>
          <w:sz w:val="24"/>
        </w:rPr>
        <w:t>zastoupen</w:t>
      </w:r>
      <w:r>
        <w:rPr>
          <w:b/>
          <w:snapToGrid w:val="0"/>
          <w:sz w:val="24"/>
        </w:rPr>
        <w:t>é</w:t>
      </w:r>
      <w:r w:rsidRPr="00206D3F">
        <w:rPr>
          <w:b/>
          <w:snapToGrid w:val="0"/>
          <w:sz w:val="24"/>
        </w:rPr>
        <w:t>:</w:t>
      </w:r>
      <w:r>
        <w:rPr>
          <w:b/>
          <w:snapToGrid w:val="0"/>
          <w:sz w:val="24"/>
        </w:rPr>
        <w:t xml:space="preserve"> </w:t>
      </w:r>
      <w:r w:rsidRPr="00E414D7">
        <w:rPr>
          <w:snapToGrid w:val="0"/>
          <w:sz w:val="24"/>
        </w:rPr>
        <w:t>Bc. Martin</w:t>
      </w:r>
      <w:r>
        <w:rPr>
          <w:snapToGrid w:val="0"/>
          <w:sz w:val="24"/>
        </w:rPr>
        <w:t>em</w:t>
      </w:r>
      <w:r w:rsidRPr="00E414D7">
        <w:rPr>
          <w:snapToGrid w:val="0"/>
          <w:sz w:val="24"/>
        </w:rPr>
        <w:t xml:space="preserve"> Bednář</w:t>
      </w:r>
      <w:r>
        <w:rPr>
          <w:snapToGrid w:val="0"/>
          <w:sz w:val="24"/>
        </w:rPr>
        <w:t>em</w:t>
      </w:r>
      <w:r w:rsidRPr="00E414D7">
        <w:rPr>
          <w:snapToGrid w:val="0"/>
          <w:sz w:val="24"/>
        </w:rPr>
        <w:t>, starost</w:t>
      </w:r>
      <w:r>
        <w:rPr>
          <w:snapToGrid w:val="0"/>
          <w:sz w:val="24"/>
        </w:rPr>
        <w:t>ou</w:t>
      </w:r>
    </w:p>
    <w:p w:rsidR="00EE56E5" w:rsidRDefault="00EE56E5" w:rsidP="00EE56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:rsidR="00EE56E5" w:rsidRDefault="00EE56E5" w:rsidP="00EE56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:rsidR="00EE56E5" w:rsidRPr="003721EA" w:rsidRDefault="00EE56E5" w:rsidP="008C2FC8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4F3F21">
        <w:rPr>
          <w:rFonts w:ascii="Times New Roman" w:hAnsi="Times New Roman"/>
          <w:snapToGrid w:val="0"/>
          <w:sz w:val="24"/>
        </w:rPr>
        <w:t>Komerční banka, a.s.</w:t>
      </w:r>
    </w:p>
    <w:p w:rsidR="00EE56E5" w:rsidRPr="00C62FB9" w:rsidRDefault="00EE56E5" w:rsidP="00EE56E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65C0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EE56E5" w:rsidRDefault="00EE56E5" w:rsidP="00EE56E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EE56E5" w:rsidRPr="00DE2BC9" w:rsidRDefault="00EE56E5" w:rsidP="00EE56E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E56E5" w:rsidRDefault="00EE56E5" w:rsidP="00EE56E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8C2FC8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EE56E5">
        <w:rPr>
          <w:rFonts w:ascii="Times New Roman" w:hAnsi="Times New Roman"/>
          <w:b/>
          <w:sz w:val="24"/>
        </w:rPr>
        <w:t>27</w:t>
      </w:r>
      <w:r w:rsidR="007C328F">
        <w:rPr>
          <w:rFonts w:ascii="Times New Roman" w:hAnsi="Times New Roman"/>
          <w:b/>
          <w:sz w:val="24"/>
        </w:rPr>
        <w:t>.</w:t>
      </w:r>
      <w:r w:rsidR="00EE56E5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255B3F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58199E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E56E5">
        <w:rPr>
          <w:rFonts w:ascii="Times New Roman" w:hAnsi="Times New Roman"/>
          <w:b/>
          <w:snapToGrid w:val="0"/>
          <w:sz w:val="24"/>
          <w:szCs w:val="24"/>
        </w:rPr>
        <w:t>104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55B3F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E62850" w:rsidRDefault="00E62850" w:rsidP="008C2FC8">
      <w:pPr>
        <w:pStyle w:val="Codstavec"/>
        <w:tabs>
          <w:tab w:val="left" w:pos="426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2.1.7,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E62850" w:rsidRPr="00DE2BC9" w:rsidRDefault="00E62850" w:rsidP="00E62850">
      <w:pPr>
        <w:pStyle w:val="Zkladntext"/>
        <w:numPr>
          <w:ilvl w:val="2"/>
          <w:numId w:val="22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E62850" w:rsidRDefault="00E62850" w:rsidP="008C2FC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2.1.7,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E62850" w:rsidRPr="00F7086C" w:rsidRDefault="00E62850" w:rsidP="00E62850">
      <w:pPr>
        <w:pStyle w:val="Zkladntext"/>
        <w:numPr>
          <w:ilvl w:val="2"/>
          <w:numId w:val="23"/>
        </w:numPr>
        <w:tabs>
          <w:tab w:val="left" w:pos="709"/>
        </w:tabs>
        <w:spacing w:before="120"/>
        <w:rPr>
          <w:szCs w:val="22"/>
        </w:rPr>
      </w:pPr>
      <w:r w:rsidRPr="00F708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F708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E62850" w:rsidRDefault="00E62850" w:rsidP="008C2FC8">
      <w:pPr>
        <w:pStyle w:val="Codstavec"/>
        <w:tabs>
          <w:tab w:val="left" w:pos="426"/>
          <w:tab w:val="left" w:pos="851"/>
        </w:tabs>
        <w:spacing w:before="48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4.1,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E62850" w:rsidRPr="00DE2BC9" w:rsidRDefault="00E62850" w:rsidP="00E62850">
      <w:pPr>
        <w:pStyle w:val="Codstavec"/>
        <w:numPr>
          <w:ilvl w:val="1"/>
          <w:numId w:val="1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E62850" w:rsidRPr="00DE2BC9" w:rsidRDefault="00E62850" w:rsidP="00E62850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E62850" w:rsidRDefault="00E62850" w:rsidP="00E62850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E62850" w:rsidRDefault="00E62850" w:rsidP="008C2FC8">
      <w:pPr>
        <w:pStyle w:val="Codstavec"/>
        <w:tabs>
          <w:tab w:val="left" w:pos="426"/>
        </w:tabs>
        <w:spacing w:before="48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4.1,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E62850" w:rsidRPr="00DE2BC9" w:rsidRDefault="00E62850" w:rsidP="00E62850">
      <w:pPr>
        <w:pStyle w:val="Codstavec"/>
        <w:tabs>
          <w:tab w:val="left" w:pos="709"/>
          <w:tab w:val="left" w:pos="993"/>
        </w:tabs>
        <w:spacing w:before="240"/>
        <w:ind w:left="708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31534D" w:rsidRDefault="0030189E" w:rsidP="008C2FC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31534D" w:rsidRPr="002D570B">
        <w:rPr>
          <w:rFonts w:ascii="Times New Roman" w:hAnsi="Times New Roman"/>
          <w:b/>
          <w:sz w:val="24"/>
        </w:rPr>
        <w:t xml:space="preserve">Dosavadní ustanovení </w:t>
      </w:r>
      <w:r w:rsidR="0031534D">
        <w:rPr>
          <w:rFonts w:ascii="Times New Roman" w:hAnsi="Times New Roman"/>
          <w:b/>
          <w:sz w:val="24"/>
        </w:rPr>
        <w:t>čl. V. Zvláštní ujednání</w:t>
      </w:r>
      <w:r w:rsidR="0031534D" w:rsidRPr="002D570B">
        <w:rPr>
          <w:rFonts w:ascii="Times New Roman" w:hAnsi="Times New Roman"/>
          <w:b/>
          <w:sz w:val="24"/>
        </w:rPr>
        <w:t xml:space="preserve">, </w:t>
      </w:r>
      <w:r w:rsidR="0031534D">
        <w:rPr>
          <w:rFonts w:ascii="Times New Roman" w:hAnsi="Times New Roman"/>
          <w:b/>
          <w:sz w:val="24"/>
        </w:rPr>
        <w:t xml:space="preserve">odst. 5.4, </w:t>
      </w:r>
      <w:r w:rsidR="0031534D" w:rsidRPr="002D570B">
        <w:rPr>
          <w:rFonts w:ascii="Times New Roman" w:hAnsi="Times New Roman"/>
          <w:b/>
          <w:sz w:val="24"/>
        </w:rPr>
        <w:t xml:space="preserve">Smlouvy </w:t>
      </w:r>
      <w:r w:rsidR="0031534D" w:rsidRPr="002D570B">
        <w:rPr>
          <w:rFonts w:ascii="Times New Roman" w:hAnsi="Times New Roman"/>
          <w:b/>
          <w:sz w:val="24"/>
          <w:u w:val="single"/>
        </w:rPr>
        <w:t>se ruší</w:t>
      </w:r>
      <w:r w:rsidR="0031534D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1534D" w:rsidRDefault="0031534D" w:rsidP="0031534D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8C2FC8" w:rsidRDefault="008C2FC8" w:rsidP="0031534D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</w:p>
    <w:p w:rsidR="008C2FC8" w:rsidRDefault="008C2FC8" w:rsidP="0031534D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</w:p>
    <w:p w:rsidR="008C2FC8" w:rsidRDefault="008C2FC8" w:rsidP="0031534D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</w:p>
    <w:p w:rsidR="0031534D" w:rsidRDefault="0030189E" w:rsidP="008C2FC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31534D" w:rsidRPr="002D570B">
        <w:rPr>
          <w:rFonts w:ascii="Times New Roman" w:hAnsi="Times New Roman"/>
          <w:b/>
          <w:sz w:val="24"/>
        </w:rPr>
        <w:t xml:space="preserve">Dosavadní ustanovení </w:t>
      </w:r>
      <w:r w:rsidR="0031534D">
        <w:rPr>
          <w:rFonts w:ascii="Times New Roman" w:hAnsi="Times New Roman"/>
          <w:b/>
          <w:sz w:val="24"/>
        </w:rPr>
        <w:t>čl. V. Zvláštní ujednání</w:t>
      </w:r>
      <w:r w:rsidR="0031534D" w:rsidRPr="002D570B">
        <w:rPr>
          <w:rFonts w:ascii="Times New Roman" w:hAnsi="Times New Roman"/>
          <w:b/>
          <w:sz w:val="24"/>
        </w:rPr>
        <w:t xml:space="preserve">, </w:t>
      </w:r>
      <w:r w:rsidR="0031534D">
        <w:rPr>
          <w:rFonts w:ascii="Times New Roman" w:hAnsi="Times New Roman"/>
          <w:b/>
          <w:sz w:val="24"/>
        </w:rPr>
        <w:t xml:space="preserve">odst. 5.4, </w:t>
      </w:r>
      <w:r w:rsidR="0031534D" w:rsidRPr="002D570B">
        <w:rPr>
          <w:rFonts w:ascii="Times New Roman" w:hAnsi="Times New Roman"/>
          <w:b/>
          <w:sz w:val="24"/>
        </w:rPr>
        <w:t xml:space="preserve">Smlouvy </w:t>
      </w:r>
      <w:r w:rsidR="0031534D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31534D">
        <w:rPr>
          <w:rFonts w:ascii="Times New Roman" w:hAnsi="Times New Roman"/>
          <w:b/>
          <w:sz w:val="24"/>
          <w:u w:val="single"/>
        </w:rPr>
        <w:t>nahrazuje</w:t>
      </w:r>
      <w:r w:rsidR="0031534D" w:rsidRPr="002D570B">
        <w:rPr>
          <w:rFonts w:ascii="Times New Roman" w:hAnsi="Times New Roman"/>
          <w:b/>
          <w:sz w:val="24"/>
        </w:rPr>
        <w:t xml:space="preserve"> v tomto úplném</w:t>
      </w:r>
      <w:r w:rsidR="0031534D">
        <w:rPr>
          <w:rFonts w:ascii="Times New Roman" w:hAnsi="Times New Roman"/>
          <w:b/>
          <w:sz w:val="24"/>
        </w:rPr>
        <w:t xml:space="preserve"> novém</w:t>
      </w:r>
      <w:r w:rsidR="0031534D" w:rsidRPr="002D570B">
        <w:rPr>
          <w:rFonts w:ascii="Times New Roman" w:hAnsi="Times New Roman"/>
          <w:b/>
          <w:sz w:val="24"/>
        </w:rPr>
        <w:t xml:space="preserve"> znění:</w:t>
      </w:r>
    </w:p>
    <w:p w:rsidR="00071802" w:rsidRPr="0058199E" w:rsidRDefault="0031534D" w:rsidP="0058199E">
      <w:pPr>
        <w:pStyle w:val="Codstavec"/>
        <w:spacing w:before="120"/>
        <w:ind w:left="567" w:hanging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Pr="0090644A" w:rsidRDefault="0030189E" w:rsidP="008C2FC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</w:t>
      </w:r>
      <w:r w:rsidR="00A42062">
        <w:rPr>
          <w:rFonts w:ascii="Times New Roman" w:hAnsi="Times New Roman"/>
          <w:b/>
          <w:sz w:val="24"/>
        </w:rPr>
        <w:t>. 1.1 Kontaktní osoby a spojení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58199E" w:rsidRDefault="00FE751C" w:rsidP="00165C06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165C06">
        <w:rPr>
          <w:rFonts w:ascii="Times New Roman" w:hAnsi="Times New Roman"/>
          <w:sz w:val="24"/>
        </w:rPr>
        <w:t>xxx</w:t>
      </w:r>
      <w:proofErr w:type="spellEnd"/>
    </w:p>
    <w:p w:rsidR="008C2FC8" w:rsidRDefault="008C2FC8" w:rsidP="00FE751C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</w:p>
    <w:p w:rsidR="00C57379" w:rsidRPr="0090644A" w:rsidRDefault="0030189E" w:rsidP="008C2FC8">
      <w:pPr>
        <w:pStyle w:val="Codstavec"/>
        <w:tabs>
          <w:tab w:val="left" w:pos="0"/>
        </w:tabs>
        <w:spacing w:before="480"/>
        <w:ind w:left="425" w:hanging="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42062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58199E" w:rsidRDefault="007D2664" w:rsidP="00165C06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165C06">
        <w:rPr>
          <w:rFonts w:ascii="Times New Roman" w:hAnsi="Times New Roman"/>
          <w:sz w:val="24"/>
        </w:rPr>
        <w:t>xxx</w:t>
      </w:r>
      <w:proofErr w:type="spellEnd"/>
    </w:p>
    <w:p w:rsidR="0090644A" w:rsidRDefault="0030189E" w:rsidP="008C2FC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10</w:t>
      </w:r>
      <w:r w:rsidR="0090644A">
        <w:rPr>
          <w:b/>
        </w:rPr>
        <w:t>.</w:t>
      </w:r>
      <w:r w:rsidR="0090644A">
        <w:rPr>
          <w:b/>
        </w:rPr>
        <w:tab/>
      </w:r>
      <w:r w:rsidR="00E92258">
        <w:t>Tento dodatek se stává platným dnem jeho podpisu oběma smluvními stranami</w:t>
      </w:r>
      <w:r w:rsidR="00E92258">
        <w:rPr>
          <w:b/>
          <w:szCs w:val="24"/>
        </w:rPr>
        <w:t xml:space="preserve"> a účinným 1. </w:t>
      </w:r>
      <w:r w:rsidR="00E92258" w:rsidRPr="00764A27">
        <w:rPr>
          <w:b/>
          <w:szCs w:val="24"/>
        </w:rPr>
        <w:t xml:space="preserve">kalendářním dnem měsíce následujícího po měsíci, v </w:t>
      </w:r>
      <w:r w:rsidR="00E92258">
        <w:rPr>
          <w:b/>
          <w:szCs w:val="24"/>
        </w:rPr>
        <w:t>němž byl zveřejněn</w:t>
      </w:r>
      <w:r w:rsidR="00E92258" w:rsidRPr="00764A27">
        <w:rPr>
          <w:b/>
          <w:szCs w:val="24"/>
        </w:rPr>
        <w:t xml:space="preserve"> v registru smluv podle zákona o registru smluv. Dle dohody Smluvních stran zajistí odeslání </w:t>
      </w:r>
      <w:r w:rsidR="00E92258">
        <w:rPr>
          <w:b/>
          <w:szCs w:val="24"/>
        </w:rPr>
        <w:t xml:space="preserve">tohoto dodatku </w:t>
      </w:r>
      <w:r w:rsidR="00E92258" w:rsidRPr="00764A27">
        <w:rPr>
          <w:b/>
          <w:szCs w:val="24"/>
        </w:rPr>
        <w:t>správci registru smluv Příkazník.</w:t>
      </w:r>
    </w:p>
    <w:p w:rsidR="00922CA7" w:rsidRDefault="0030189E" w:rsidP="008C2FC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11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0189E" w:rsidP="008C2FC8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165C06">
      <w:pPr>
        <w:pStyle w:val="Codstavec"/>
        <w:tabs>
          <w:tab w:val="left" w:pos="5387"/>
        </w:tabs>
        <w:spacing w:before="2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064C8">
        <w:rPr>
          <w:rFonts w:ascii="Times New Roman" w:hAnsi="Times New Roman"/>
          <w:sz w:val="24"/>
        </w:rPr>
        <w:t>V</w:t>
      </w:r>
      <w:r w:rsidR="00F105A0">
        <w:rPr>
          <w:rFonts w:ascii="Times New Roman" w:hAnsi="Times New Roman"/>
          <w:sz w:val="24"/>
        </w:rPr>
        <w:t> </w:t>
      </w:r>
      <w:r w:rsidR="0058199E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165C06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</w:t>
      </w:r>
      <w:bookmarkStart w:id="0" w:name="_GoBack"/>
      <w:bookmarkEnd w:id="0"/>
      <w:r w:rsidRPr="00DE2BC9">
        <w:rPr>
          <w:rFonts w:ascii="Times New Roman" w:hAnsi="Times New Roman"/>
          <w:sz w:val="24"/>
        </w:rPr>
        <w:t>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10F5D" w:rsidRPr="00DE2BC9" w:rsidRDefault="00B10F5D" w:rsidP="00B10F5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Bc. Martin Bednář</w:t>
      </w:r>
    </w:p>
    <w:p w:rsidR="00B10F5D" w:rsidRDefault="00B10F5D" w:rsidP="00B10F5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starosta</w:t>
      </w:r>
    </w:p>
    <w:p w:rsidR="00EF0FD7" w:rsidRDefault="00B10F5D" w:rsidP="00B10F5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58199E">
      <w:rPr>
        <w:sz w:val="16"/>
      </w:rPr>
      <w:t>7</w:t>
    </w:r>
    <w:r w:rsidR="002F71B9">
      <w:rPr>
        <w:sz w:val="16"/>
      </w:rPr>
      <w:t xml:space="preserve"> – </w:t>
    </w:r>
    <w:r w:rsidR="00EE56E5">
      <w:rPr>
        <w:sz w:val="16"/>
      </w:rPr>
      <w:t>104</w:t>
    </w:r>
    <w:r w:rsidR="008F536D">
      <w:rPr>
        <w:sz w:val="16"/>
      </w:rPr>
      <w:t>/201</w:t>
    </w:r>
    <w:r w:rsidR="00255B3F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65C06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7D5FA8"/>
    <w:multiLevelType w:val="multilevel"/>
    <w:tmpl w:val="0316AE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514520"/>
    <w:multiLevelType w:val="multilevel"/>
    <w:tmpl w:val="891C5F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2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1"/>
  </w:num>
  <w:num w:numId="19">
    <w:abstractNumId w:val="3"/>
  </w:num>
  <w:num w:numId="20">
    <w:abstractNumId w:val="10"/>
  </w:num>
  <w:num w:numId="21">
    <w:abstractNumId w:val="2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64C8"/>
    <w:rsid w:val="0001005F"/>
    <w:rsid w:val="00016ECD"/>
    <w:rsid w:val="00030579"/>
    <w:rsid w:val="00046BDB"/>
    <w:rsid w:val="00060D27"/>
    <w:rsid w:val="00064258"/>
    <w:rsid w:val="000657C1"/>
    <w:rsid w:val="00065A23"/>
    <w:rsid w:val="00071802"/>
    <w:rsid w:val="00093258"/>
    <w:rsid w:val="000949C6"/>
    <w:rsid w:val="00094E36"/>
    <w:rsid w:val="000A7695"/>
    <w:rsid w:val="000A7EF1"/>
    <w:rsid w:val="000B3C49"/>
    <w:rsid w:val="000C0E4B"/>
    <w:rsid w:val="000C260F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5C06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97E69"/>
    <w:rsid w:val="002A5B84"/>
    <w:rsid w:val="002B1BD4"/>
    <w:rsid w:val="002C0A95"/>
    <w:rsid w:val="002D2FBF"/>
    <w:rsid w:val="002F71B9"/>
    <w:rsid w:val="0030189E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768B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199E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B60C6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1CB0"/>
    <w:rsid w:val="008B311E"/>
    <w:rsid w:val="008B5592"/>
    <w:rsid w:val="008C2FC8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273C6"/>
    <w:rsid w:val="00A32FFD"/>
    <w:rsid w:val="00A42062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0F5D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1C98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0F65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74657"/>
    <w:rsid w:val="00C82525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2850"/>
    <w:rsid w:val="00E64661"/>
    <w:rsid w:val="00E660C2"/>
    <w:rsid w:val="00E774DD"/>
    <w:rsid w:val="00E90F75"/>
    <w:rsid w:val="00E92258"/>
    <w:rsid w:val="00E9234B"/>
    <w:rsid w:val="00E96C63"/>
    <w:rsid w:val="00EA76C9"/>
    <w:rsid w:val="00ED7925"/>
    <w:rsid w:val="00EE53CD"/>
    <w:rsid w:val="00EE56E5"/>
    <w:rsid w:val="00EF0FD7"/>
    <w:rsid w:val="00F0361B"/>
    <w:rsid w:val="00F05BDB"/>
    <w:rsid w:val="00F105A0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2BA7D2"/>
  <w15:docId w15:val="{95ACC732-D940-47EE-B1CD-6ABC1A9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2019-03-20T06:47:00Z</cp:lastPrinted>
  <dcterms:created xsi:type="dcterms:W3CDTF">2020-04-23T07:59:00Z</dcterms:created>
  <dcterms:modified xsi:type="dcterms:W3CDTF">2020-04-23T08:02:00Z</dcterms:modified>
</cp:coreProperties>
</file>