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EEB46" w14:textId="77777777" w:rsidR="00045ABF" w:rsidRPr="00E4523E" w:rsidRDefault="00F331CB" w:rsidP="00E4523E">
      <w:pPr>
        <w:tabs>
          <w:tab w:val="left" w:pos="2670"/>
          <w:tab w:val="center" w:pos="4535"/>
        </w:tabs>
        <w:spacing w:line="260" w:lineRule="atLeast"/>
        <w:jc w:val="center"/>
        <w:rPr>
          <w:rFonts w:eastAsia="Times New Roman" w:cs="Arial"/>
          <w:b/>
          <w:bCs/>
          <w:color w:val="000000"/>
          <w:sz w:val="28"/>
          <w:szCs w:val="28"/>
          <w:lang w:eastAsia="cs-CZ"/>
        </w:rPr>
      </w:pPr>
      <w:r w:rsidRPr="002A0527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DODATEK Č. </w:t>
      </w:r>
      <w:r w:rsidR="00582AC9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5</w:t>
      </w:r>
      <w:r w:rsidR="00E452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045ABF" w:rsidRPr="00045ABF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KE SMLOUVĚ </w:t>
      </w:r>
      <w:r w:rsidR="00E4523E" w:rsidRPr="00E452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NA REALIZACI VEŘEJNÉ ZAKÁZKY</w:t>
      </w:r>
      <w:r w:rsidR="00E4523E" w:rsidRPr="004E2024">
        <w:rPr>
          <w:rFonts w:cs="Arial"/>
          <w:bCs/>
          <w:color w:val="000000"/>
        </w:rPr>
        <w:t xml:space="preserve"> </w:t>
      </w:r>
    </w:p>
    <w:p w14:paraId="0604B7D9" w14:textId="77777777" w:rsidR="00E4523E" w:rsidRDefault="00E4523E" w:rsidP="00045ABF">
      <w:pPr>
        <w:pStyle w:val="Identifikacestran"/>
        <w:spacing w:line="260" w:lineRule="atLeast"/>
        <w:jc w:val="left"/>
        <w:rPr>
          <w:rFonts w:ascii="Arial" w:hAnsi="Arial" w:cs="Arial"/>
          <w:bCs/>
          <w:color w:val="000000"/>
          <w:szCs w:val="24"/>
          <w:lang w:eastAsia="cs-CZ"/>
        </w:rPr>
      </w:pPr>
    </w:p>
    <w:p w14:paraId="7E0DA405" w14:textId="77777777" w:rsidR="00045ABF" w:rsidRPr="00867F69" w:rsidRDefault="00E4523E" w:rsidP="00E4523E">
      <w:pPr>
        <w:pStyle w:val="Identifikacestran"/>
        <w:spacing w:line="260" w:lineRule="atLeast"/>
        <w:jc w:val="center"/>
        <w:rPr>
          <w:rFonts w:ascii="Arial" w:hAnsi="Arial" w:cs="Arial"/>
          <w:b/>
          <w:color w:val="000000"/>
          <w:sz w:val="32"/>
        </w:rPr>
      </w:pPr>
      <w:r w:rsidRPr="00867F69">
        <w:rPr>
          <w:rFonts w:ascii="Arial" w:hAnsi="Arial" w:cs="Arial"/>
          <w:b/>
          <w:bCs/>
          <w:color w:val="000000"/>
          <w:sz w:val="28"/>
          <w:szCs w:val="24"/>
          <w:lang w:eastAsia="cs-CZ"/>
        </w:rPr>
        <w:t>„Pilotní projekt dramaturgického inkubátoru“</w:t>
      </w:r>
    </w:p>
    <w:p w14:paraId="6C5A49C0" w14:textId="77777777" w:rsidR="00EC46A4" w:rsidRDefault="00EC46A4" w:rsidP="00045ABF">
      <w:pPr>
        <w:tabs>
          <w:tab w:val="left" w:pos="1890"/>
        </w:tabs>
        <w:spacing w:line="260" w:lineRule="atLeast"/>
        <w:rPr>
          <w:rFonts w:cs="Arial"/>
          <w:b/>
        </w:rPr>
      </w:pPr>
    </w:p>
    <w:p w14:paraId="5ECC475B" w14:textId="77777777" w:rsidR="004C0F7E" w:rsidRPr="000E1EAE" w:rsidRDefault="004C0F7E" w:rsidP="00024F64">
      <w:pPr>
        <w:tabs>
          <w:tab w:val="left" w:pos="1890"/>
        </w:tabs>
        <w:spacing w:line="28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Níže uvedeného dne, měsíce a roku:</w:t>
      </w:r>
    </w:p>
    <w:p w14:paraId="5DDA4A98" w14:textId="77777777" w:rsidR="004C0F7E" w:rsidRPr="000E1EAE" w:rsidRDefault="004C0F7E" w:rsidP="00024F64">
      <w:pPr>
        <w:tabs>
          <w:tab w:val="left" w:pos="1890"/>
        </w:tabs>
        <w:spacing w:line="280" w:lineRule="atLeast"/>
        <w:rPr>
          <w:rFonts w:cs="Arial"/>
          <w:b/>
          <w:sz w:val="20"/>
          <w:szCs w:val="20"/>
        </w:rPr>
      </w:pPr>
    </w:p>
    <w:p w14:paraId="1A6C8F93" w14:textId="77777777" w:rsidR="00E4523E" w:rsidRPr="000E1EAE" w:rsidRDefault="00E4523E" w:rsidP="00024F64">
      <w:pPr>
        <w:pStyle w:val="Identifikacestran"/>
        <w:rPr>
          <w:rFonts w:ascii="Arial" w:hAnsi="Arial" w:cs="Arial"/>
          <w:b/>
          <w:color w:val="000000"/>
          <w:sz w:val="20"/>
        </w:rPr>
      </w:pPr>
      <w:r w:rsidRPr="000E1EAE">
        <w:rPr>
          <w:rFonts w:ascii="Arial" w:hAnsi="Arial" w:cs="Arial"/>
          <w:b/>
          <w:color w:val="000000"/>
          <w:sz w:val="20"/>
        </w:rPr>
        <w:t>Státní fond kinematografie</w:t>
      </w:r>
    </w:p>
    <w:p w14:paraId="51CCB286" w14:textId="77777777" w:rsidR="00E4523E" w:rsidRPr="000E1EAE" w:rsidRDefault="00E4523E" w:rsidP="00024F64">
      <w:pPr>
        <w:pStyle w:val="Identifikacestran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se sídlem: Dukelských hrdinů 530/47, Holešovice, 170 00 Praha 7</w:t>
      </w:r>
    </w:p>
    <w:p w14:paraId="34E99A65" w14:textId="77777777" w:rsidR="00066FB2" w:rsidRDefault="00E4523E" w:rsidP="00024F64">
      <w:pPr>
        <w:pStyle w:val="Identifikacestran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IČO: 01454455  </w:t>
      </w:r>
    </w:p>
    <w:p w14:paraId="00D4D4C2" w14:textId="77777777" w:rsidR="00E4523E" w:rsidRPr="000E1EAE" w:rsidRDefault="00E4523E" w:rsidP="00024F64">
      <w:pPr>
        <w:pStyle w:val="Identifikacestran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zapsaný v obchodním rejstříku vedeném Městským soudem v Praze pod </w:t>
      </w:r>
      <w:proofErr w:type="spellStart"/>
      <w:r w:rsidRPr="000E1EAE">
        <w:rPr>
          <w:rFonts w:ascii="Arial" w:hAnsi="Arial" w:cs="Arial"/>
          <w:color w:val="000000"/>
          <w:sz w:val="20"/>
        </w:rPr>
        <w:t>sp</w:t>
      </w:r>
      <w:proofErr w:type="spellEnd"/>
      <w:r w:rsidRPr="000E1EAE">
        <w:rPr>
          <w:rFonts w:ascii="Arial" w:hAnsi="Arial" w:cs="Arial"/>
          <w:color w:val="000000"/>
          <w:sz w:val="20"/>
        </w:rPr>
        <w:t>. zn. A 76076</w:t>
      </w:r>
    </w:p>
    <w:p w14:paraId="7FF2D590" w14:textId="77777777" w:rsidR="00E4523E" w:rsidRPr="000E1EAE" w:rsidRDefault="00E4523E" w:rsidP="00024F64">
      <w:pPr>
        <w:pStyle w:val="Identifikacestran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zastoupený: Mgr. Helenou Bezděk Fraňkovou, ředitelkou </w:t>
      </w:r>
    </w:p>
    <w:p w14:paraId="21F7F345" w14:textId="77777777" w:rsidR="00E4523E" w:rsidRPr="000E1EAE" w:rsidRDefault="00E4523E" w:rsidP="00024F64">
      <w:pPr>
        <w:pStyle w:val="Identifikacestran"/>
        <w:rPr>
          <w:rFonts w:ascii="Arial" w:hAnsi="Arial" w:cs="Arial"/>
          <w:color w:val="000000"/>
          <w:sz w:val="20"/>
        </w:rPr>
      </w:pPr>
    </w:p>
    <w:p w14:paraId="403C6A1E" w14:textId="77777777" w:rsidR="00E4523E" w:rsidRPr="000E1EAE" w:rsidRDefault="00E4523E" w:rsidP="00024F64">
      <w:pPr>
        <w:pStyle w:val="Identifikacestran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(dále jen „</w:t>
      </w:r>
      <w:r w:rsidRPr="000E1EAE">
        <w:rPr>
          <w:rFonts w:ascii="Arial" w:hAnsi="Arial" w:cs="Arial"/>
          <w:b/>
          <w:color w:val="000000"/>
          <w:sz w:val="20"/>
        </w:rPr>
        <w:t>Objednatel</w:t>
      </w:r>
      <w:r w:rsidRPr="000E1EAE">
        <w:rPr>
          <w:rFonts w:ascii="Arial" w:hAnsi="Arial" w:cs="Arial"/>
          <w:color w:val="000000"/>
          <w:sz w:val="20"/>
        </w:rPr>
        <w:t>“)</w:t>
      </w:r>
    </w:p>
    <w:p w14:paraId="68BFE8BF" w14:textId="77777777" w:rsidR="00E4523E" w:rsidRPr="000E1EAE" w:rsidRDefault="00E4523E" w:rsidP="00024F64">
      <w:pPr>
        <w:pStyle w:val="Identifikacestran"/>
        <w:rPr>
          <w:rFonts w:ascii="Arial" w:hAnsi="Arial" w:cs="Arial"/>
          <w:color w:val="000000"/>
          <w:sz w:val="20"/>
        </w:rPr>
      </w:pPr>
    </w:p>
    <w:p w14:paraId="2550DE26" w14:textId="77777777" w:rsidR="00E4523E" w:rsidRPr="000E1EAE" w:rsidRDefault="00E4523E" w:rsidP="00024F64">
      <w:pPr>
        <w:pStyle w:val="Identifikacestran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a</w:t>
      </w:r>
    </w:p>
    <w:p w14:paraId="2A672DD3" w14:textId="77777777" w:rsidR="00E4523E" w:rsidRPr="000E1EAE" w:rsidRDefault="00E4523E" w:rsidP="00024F64">
      <w:pPr>
        <w:pStyle w:val="Smluvnstrana"/>
        <w:jc w:val="left"/>
        <w:rPr>
          <w:rFonts w:ascii="Arial" w:hAnsi="Arial" w:cs="Arial"/>
          <w:color w:val="000000"/>
          <w:sz w:val="20"/>
        </w:rPr>
      </w:pPr>
    </w:p>
    <w:p w14:paraId="5355BF35" w14:textId="77777777" w:rsidR="00E4523E" w:rsidRPr="000E1EAE" w:rsidRDefault="00E4523E" w:rsidP="00024F64">
      <w:pPr>
        <w:pStyle w:val="Smluvnstrana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Akademie múzických umění v Praze</w:t>
      </w:r>
    </w:p>
    <w:p w14:paraId="1B954001" w14:textId="77777777" w:rsidR="00E4523E" w:rsidRPr="000E1EAE" w:rsidRDefault="00E4523E" w:rsidP="00024F64">
      <w:pPr>
        <w:spacing w:line="28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se sídlem: Praha 1, Malostranské nám. 259/12, PSČ 118 00</w:t>
      </w:r>
    </w:p>
    <w:p w14:paraId="47C5217B" w14:textId="77777777" w:rsidR="00E4523E" w:rsidRPr="000E1EAE" w:rsidRDefault="00E4523E" w:rsidP="00024F64">
      <w:pPr>
        <w:spacing w:line="28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IČO: 61384984, DIČ: CZ61384984</w:t>
      </w:r>
    </w:p>
    <w:p w14:paraId="70A25195" w14:textId="77777777" w:rsidR="00045ABF" w:rsidRPr="000E1EAE" w:rsidRDefault="00E4523E" w:rsidP="00024F64">
      <w:pPr>
        <w:tabs>
          <w:tab w:val="right" w:pos="9072"/>
          <w:tab w:val="right" w:pos="9360"/>
        </w:tabs>
        <w:spacing w:line="28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Veřejná vysoká š</w:t>
      </w:r>
      <w:r w:rsidR="004020AA">
        <w:rPr>
          <w:rFonts w:cs="Arial"/>
          <w:color w:val="000000"/>
          <w:sz w:val="20"/>
          <w:szCs w:val="20"/>
        </w:rPr>
        <w:t>kola dle zákona č. 111/1998 Sb.</w:t>
      </w:r>
      <w:r w:rsidRPr="000E1EAE">
        <w:rPr>
          <w:rFonts w:cs="Arial"/>
          <w:color w:val="000000"/>
          <w:sz w:val="20"/>
          <w:szCs w:val="20"/>
        </w:rPr>
        <w:t xml:space="preserve"> ve znění pozdějších předpisů</w:t>
      </w:r>
    </w:p>
    <w:p w14:paraId="1E20C288" w14:textId="77777777" w:rsidR="00E4523E" w:rsidRPr="000E1EAE" w:rsidRDefault="00E4523E" w:rsidP="00024F64">
      <w:pPr>
        <w:tabs>
          <w:tab w:val="right" w:pos="9072"/>
          <w:tab w:val="right" w:pos="9360"/>
        </w:tabs>
        <w:spacing w:line="28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 xml:space="preserve">zastoupena: doc. Janem </w:t>
      </w:r>
      <w:proofErr w:type="spellStart"/>
      <w:r w:rsidRPr="000E1EAE">
        <w:rPr>
          <w:rFonts w:cs="Arial"/>
          <w:color w:val="000000"/>
          <w:sz w:val="20"/>
          <w:szCs w:val="20"/>
        </w:rPr>
        <w:t>Hančilem</w:t>
      </w:r>
      <w:proofErr w:type="spellEnd"/>
      <w:r w:rsidRPr="000E1EAE">
        <w:rPr>
          <w:rFonts w:cs="Arial"/>
          <w:color w:val="000000"/>
          <w:sz w:val="20"/>
          <w:szCs w:val="20"/>
        </w:rPr>
        <w:t>, rektorem</w:t>
      </w:r>
    </w:p>
    <w:p w14:paraId="69D3A98E" w14:textId="77777777" w:rsidR="00346385" w:rsidRPr="000E1EAE" w:rsidRDefault="00346385" w:rsidP="00024F64">
      <w:pPr>
        <w:spacing w:line="280" w:lineRule="atLeast"/>
        <w:rPr>
          <w:rFonts w:cs="Arial"/>
          <w:sz w:val="20"/>
          <w:szCs w:val="20"/>
        </w:rPr>
      </w:pPr>
    </w:p>
    <w:p w14:paraId="781C97BB" w14:textId="77777777" w:rsidR="00E4523E" w:rsidRPr="000E1EAE" w:rsidRDefault="00E4523E" w:rsidP="00024F64">
      <w:pPr>
        <w:spacing w:line="28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(dále jen „</w:t>
      </w:r>
      <w:r w:rsidRPr="000E1EAE">
        <w:rPr>
          <w:rFonts w:cs="Arial"/>
          <w:b/>
          <w:sz w:val="20"/>
          <w:szCs w:val="20"/>
        </w:rPr>
        <w:t>Dodavatel</w:t>
      </w:r>
      <w:r w:rsidRPr="000E1EAE">
        <w:rPr>
          <w:rFonts w:cs="Arial"/>
          <w:sz w:val="20"/>
          <w:szCs w:val="20"/>
        </w:rPr>
        <w:t>“)</w:t>
      </w:r>
    </w:p>
    <w:p w14:paraId="7BF5D764" w14:textId="77777777" w:rsidR="00E4523E" w:rsidRPr="000E1EAE" w:rsidRDefault="00E4523E" w:rsidP="00024F64">
      <w:pPr>
        <w:spacing w:line="280" w:lineRule="atLeast"/>
        <w:rPr>
          <w:rFonts w:cs="Arial"/>
          <w:sz w:val="20"/>
          <w:szCs w:val="20"/>
        </w:rPr>
      </w:pPr>
    </w:p>
    <w:p w14:paraId="21551E47" w14:textId="77777777" w:rsidR="00346385" w:rsidRPr="000E1EAE" w:rsidRDefault="00346385" w:rsidP="00024F64">
      <w:pPr>
        <w:spacing w:line="280" w:lineRule="atLeast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sz w:val="20"/>
          <w:szCs w:val="20"/>
        </w:rPr>
        <w:t>(</w:t>
      </w:r>
      <w:r w:rsidR="00E4523E" w:rsidRPr="000E1EAE">
        <w:rPr>
          <w:rFonts w:cs="Arial"/>
          <w:sz w:val="20"/>
          <w:szCs w:val="20"/>
        </w:rPr>
        <w:t xml:space="preserve">Objednatel a Dodavatel </w:t>
      </w:r>
      <w:r w:rsidRPr="000E1EAE">
        <w:rPr>
          <w:rFonts w:cs="Arial"/>
          <w:color w:val="000000"/>
          <w:sz w:val="20"/>
          <w:szCs w:val="20"/>
        </w:rPr>
        <w:t>společně dále jen „</w:t>
      </w:r>
      <w:r w:rsidRPr="000E1EAE">
        <w:rPr>
          <w:rFonts w:cs="Arial"/>
          <w:b/>
          <w:color w:val="000000"/>
          <w:sz w:val="20"/>
          <w:szCs w:val="20"/>
        </w:rPr>
        <w:t>Smluvní strany</w:t>
      </w:r>
      <w:r w:rsidR="00E4523E" w:rsidRPr="000E1EAE">
        <w:rPr>
          <w:rFonts w:cs="Arial"/>
          <w:color w:val="000000"/>
          <w:sz w:val="20"/>
          <w:szCs w:val="20"/>
        </w:rPr>
        <w:t>“ nebo každý</w:t>
      </w:r>
      <w:r w:rsidRPr="000E1EAE">
        <w:rPr>
          <w:rFonts w:cs="Arial"/>
          <w:color w:val="000000"/>
          <w:sz w:val="20"/>
          <w:szCs w:val="20"/>
        </w:rPr>
        <w:t xml:space="preserve"> jednotlivě „</w:t>
      </w:r>
      <w:r w:rsidRPr="000E1EAE">
        <w:rPr>
          <w:rFonts w:cs="Arial"/>
          <w:b/>
          <w:color w:val="000000"/>
          <w:sz w:val="20"/>
          <w:szCs w:val="20"/>
        </w:rPr>
        <w:t>Smluvní strana</w:t>
      </w:r>
      <w:r w:rsidRPr="000E1EAE">
        <w:rPr>
          <w:rFonts w:cs="Arial"/>
          <w:color w:val="000000"/>
          <w:sz w:val="20"/>
          <w:szCs w:val="20"/>
        </w:rPr>
        <w:t>“)</w:t>
      </w:r>
    </w:p>
    <w:p w14:paraId="59774283" w14:textId="77777777" w:rsidR="00763EA1" w:rsidRPr="000E1EAE" w:rsidRDefault="00763EA1" w:rsidP="00024F64">
      <w:pPr>
        <w:spacing w:line="280" w:lineRule="atLeast"/>
        <w:rPr>
          <w:rFonts w:cs="Arial"/>
          <w:sz w:val="20"/>
          <w:szCs w:val="20"/>
        </w:rPr>
      </w:pPr>
    </w:p>
    <w:p w14:paraId="4F3F88AF" w14:textId="77777777" w:rsidR="002A0527" w:rsidRPr="000E1EAE" w:rsidRDefault="002A0527" w:rsidP="00024F64">
      <w:pPr>
        <w:spacing w:line="28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uzavírají tento:</w:t>
      </w:r>
    </w:p>
    <w:p w14:paraId="536B8D65" w14:textId="77777777" w:rsidR="00763EA1" w:rsidRPr="000E1EAE" w:rsidRDefault="00763EA1" w:rsidP="00024F64">
      <w:pPr>
        <w:spacing w:line="280" w:lineRule="atLeast"/>
        <w:rPr>
          <w:rFonts w:cs="Arial"/>
          <w:sz w:val="20"/>
          <w:szCs w:val="20"/>
        </w:rPr>
      </w:pPr>
    </w:p>
    <w:p w14:paraId="601C4424" w14:textId="77777777" w:rsidR="00045ABF" w:rsidRPr="000E1EAE" w:rsidRDefault="002A0527" w:rsidP="00024F64">
      <w:pPr>
        <w:spacing w:line="28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 xml:space="preserve">Dodatek </w:t>
      </w:r>
      <w:r w:rsidR="00C17B04" w:rsidRPr="000E1EAE">
        <w:rPr>
          <w:rFonts w:cs="Arial"/>
          <w:sz w:val="20"/>
          <w:szCs w:val="20"/>
        </w:rPr>
        <w:t xml:space="preserve">č. </w:t>
      </w:r>
      <w:r w:rsidR="00582AC9">
        <w:rPr>
          <w:rFonts w:cs="Arial"/>
          <w:sz w:val="20"/>
          <w:szCs w:val="20"/>
        </w:rPr>
        <w:t>5</w:t>
      </w:r>
      <w:r w:rsidR="00066FB2">
        <w:rPr>
          <w:rFonts w:cs="Arial"/>
          <w:sz w:val="20"/>
          <w:szCs w:val="20"/>
        </w:rPr>
        <w:t xml:space="preserve"> </w:t>
      </w:r>
      <w:r w:rsidRPr="000E1EAE">
        <w:rPr>
          <w:rFonts w:cs="Arial"/>
          <w:sz w:val="20"/>
          <w:szCs w:val="20"/>
        </w:rPr>
        <w:t>k</w:t>
      </w:r>
      <w:r w:rsidR="00045ABF" w:rsidRPr="000E1EAE">
        <w:rPr>
          <w:rFonts w:cs="Arial"/>
          <w:sz w:val="20"/>
          <w:szCs w:val="20"/>
        </w:rPr>
        <w:t xml:space="preserve">e smlouvě na realizaci veřejné zakázky </w:t>
      </w:r>
    </w:p>
    <w:p w14:paraId="376EFADC" w14:textId="77777777" w:rsidR="002A0527" w:rsidRPr="000E1EAE" w:rsidRDefault="00045ABF" w:rsidP="00024F64">
      <w:pPr>
        <w:spacing w:line="28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„</w:t>
      </w:r>
      <w:r w:rsidR="00C17B04" w:rsidRPr="000E1EAE">
        <w:rPr>
          <w:rFonts w:cs="Arial"/>
          <w:sz w:val="20"/>
          <w:szCs w:val="20"/>
        </w:rPr>
        <w:t>Pilotní projekt dramaturgického inkubátoru</w:t>
      </w:r>
      <w:r w:rsidRPr="000E1EAE">
        <w:rPr>
          <w:rFonts w:cs="Arial"/>
          <w:sz w:val="20"/>
          <w:szCs w:val="20"/>
        </w:rPr>
        <w:t>“</w:t>
      </w:r>
      <w:r w:rsidR="002A0527" w:rsidRPr="000E1EAE">
        <w:rPr>
          <w:rFonts w:cs="Arial"/>
          <w:sz w:val="20"/>
          <w:szCs w:val="20"/>
        </w:rPr>
        <w:t xml:space="preserve"> </w:t>
      </w:r>
    </w:p>
    <w:p w14:paraId="379AA556" w14:textId="77777777" w:rsidR="002A0527" w:rsidRPr="000E1EAE" w:rsidRDefault="002A0527" w:rsidP="00024F64">
      <w:pPr>
        <w:spacing w:before="120" w:line="28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(dále jen „</w:t>
      </w:r>
      <w:r w:rsidRPr="000E1EAE">
        <w:rPr>
          <w:rFonts w:cs="Arial"/>
          <w:b/>
          <w:sz w:val="20"/>
          <w:szCs w:val="20"/>
        </w:rPr>
        <w:t>Dodatek</w:t>
      </w:r>
      <w:r w:rsidRPr="000E1EAE">
        <w:rPr>
          <w:rFonts w:cs="Arial"/>
          <w:sz w:val="20"/>
          <w:szCs w:val="20"/>
        </w:rPr>
        <w:t>“):</w:t>
      </w:r>
    </w:p>
    <w:p w14:paraId="42C59ECC" w14:textId="77777777" w:rsidR="00EC46A4" w:rsidRPr="000E1EAE" w:rsidRDefault="00EC46A4" w:rsidP="00024F64">
      <w:pPr>
        <w:spacing w:line="280" w:lineRule="atLeast"/>
        <w:rPr>
          <w:rFonts w:cs="Arial"/>
          <w:sz w:val="20"/>
          <w:szCs w:val="20"/>
        </w:rPr>
      </w:pPr>
    </w:p>
    <w:p w14:paraId="3269C7AF" w14:textId="77777777" w:rsidR="000E1EAE" w:rsidRPr="000E1EAE" w:rsidRDefault="009E0F8F" w:rsidP="00024F64">
      <w:pPr>
        <w:spacing w:line="28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takto</w:t>
      </w:r>
      <w:r w:rsidR="004C0F7E" w:rsidRPr="000E1EAE">
        <w:rPr>
          <w:rFonts w:cs="Arial"/>
          <w:sz w:val="20"/>
          <w:szCs w:val="20"/>
        </w:rPr>
        <w:t>:</w:t>
      </w:r>
    </w:p>
    <w:p w14:paraId="1F1E5AAB" w14:textId="77777777" w:rsidR="00832BC7" w:rsidRPr="002A3821" w:rsidRDefault="00832BC7" w:rsidP="00024F64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80" w:lineRule="atLeast"/>
        <w:ind w:left="709" w:hanging="709"/>
        <w:rPr>
          <w:rFonts w:ascii="Arial" w:hAnsi="Arial" w:cs="Arial"/>
          <w:b/>
          <w:caps/>
          <w:szCs w:val="20"/>
        </w:rPr>
      </w:pPr>
      <w:r w:rsidRPr="002A3821">
        <w:rPr>
          <w:rFonts w:ascii="Arial" w:hAnsi="Arial" w:cs="Arial"/>
          <w:b/>
          <w:caps/>
          <w:szCs w:val="20"/>
        </w:rPr>
        <w:t>úvodní ustanovení</w:t>
      </w:r>
    </w:p>
    <w:p w14:paraId="6A8920A5" w14:textId="77777777" w:rsidR="00832BC7" w:rsidRPr="002A3821" w:rsidRDefault="00832BC7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Smluvní strany uzavřely dne </w:t>
      </w:r>
      <w:r w:rsidR="00E6700A" w:rsidRPr="002A3821">
        <w:rPr>
          <w:rFonts w:eastAsia="Times New Roman" w:cs="Arial"/>
          <w:sz w:val="20"/>
          <w:szCs w:val="20"/>
          <w:lang w:eastAsia="x-none"/>
        </w:rPr>
        <w:t>23.10.2017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 smlouvu</w:t>
      </w:r>
      <w:r w:rsidR="00346385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na realizaci veřejné zakázky </w:t>
      </w:r>
      <w:r w:rsidR="00E6700A" w:rsidRPr="002A3821">
        <w:rPr>
          <w:rFonts w:cs="Arial"/>
          <w:sz w:val="20"/>
          <w:szCs w:val="20"/>
        </w:rPr>
        <w:t>„Pilotní projekt dramaturgického inkubátoru</w:t>
      </w:r>
      <w:r w:rsidR="00066FB2">
        <w:rPr>
          <w:rFonts w:cs="Arial"/>
          <w:sz w:val="20"/>
          <w:szCs w:val="20"/>
        </w:rPr>
        <w:t>“ ve znění dodatku č. 1 ze dne 31.1.2018</w:t>
      </w:r>
      <w:r w:rsidR="004020AA">
        <w:rPr>
          <w:rFonts w:cs="Arial"/>
          <w:sz w:val="20"/>
          <w:szCs w:val="20"/>
        </w:rPr>
        <w:t xml:space="preserve">, </w:t>
      </w:r>
      <w:r w:rsidR="0031469C">
        <w:rPr>
          <w:rFonts w:cs="Arial"/>
          <w:sz w:val="20"/>
          <w:szCs w:val="20"/>
        </w:rPr>
        <w:t>dodatku č. 2 ze dne 23.10.2018</w:t>
      </w:r>
      <w:r w:rsidR="00582AC9">
        <w:rPr>
          <w:rFonts w:cs="Arial"/>
          <w:sz w:val="20"/>
          <w:szCs w:val="20"/>
        </w:rPr>
        <w:t>,</w:t>
      </w:r>
      <w:r w:rsidR="004020AA">
        <w:rPr>
          <w:rFonts w:cs="Arial"/>
          <w:sz w:val="20"/>
          <w:szCs w:val="20"/>
        </w:rPr>
        <w:t xml:space="preserve"> dodatku č. 3 ze dne </w:t>
      </w:r>
      <w:r w:rsidR="00C62E4D">
        <w:rPr>
          <w:rFonts w:cs="Arial"/>
          <w:sz w:val="20"/>
          <w:szCs w:val="20"/>
        </w:rPr>
        <w:t>15.3.2019</w:t>
      </w:r>
      <w:r w:rsidR="00582AC9">
        <w:rPr>
          <w:rFonts w:cs="Arial"/>
          <w:sz w:val="20"/>
          <w:szCs w:val="20"/>
        </w:rPr>
        <w:t xml:space="preserve"> a dodatku č. 4 ze dne 15.10.2019</w:t>
      </w:r>
      <w:r w:rsidR="00045ABF" w:rsidRPr="002A3821">
        <w:rPr>
          <w:rFonts w:cs="Arial"/>
          <w:sz w:val="20"/>
          <w:szCs w:val="20"/>
        </w:rPr>
        <w:t xml:space="preserve"> </w:t>
      </w:r>
      <w:r w:rsidRPr="002A3821">
        <w:rPr>
          <w:rFonts w:eastAsia="Times New Roman" w:cs="Arial"/>
          <w:sz w:val="20"/>
          <w:szCs w:val="20"/>
          <w:lang w:val="x-none" w:eastAsia="x-none"/>
        </w:rPr>
        <w:t>(dále jen „</w:t>
      </w:r>
      <w:r w:rsidRPr="002A3821">
        <w:rPr>
          <w:rFonts w:eastAsia="Times New Roman" w:cs="Arial"/>
          <w:b/>
          <w:sz w:val="20"/>
          <w:szCs w:val="20"/>
          <w:lang w:val="x-none" w:eastAsia="x-none"/>
        </w:rPr>
        <w:t>Smlouva</w:t>
      </w:r>
      <w:r w:rsidRPr="002A3821">
        <w:rPr>
          <w:rFonts w:eastAsia="Times New Roman" w:cs="Arial"/>
          <w:sz w:val="20"/>
          <w:szCs w:val="20"/>
          <w:lang w:val="x-none" w:eastAsia="x-none"/>
        </w:rPr>
        <w:t>“).</w:t>
      </w:r>
      <w:r w:rsidR="007B0E10">
        <w:rPr>
          <w:rFonts w:eastAsia="Times New Roman" w:cs="Arial"/>
          <w:sz w:val="20"/>
          <w:szCs w:val="20"/>
          <w:lang w:eastAsia="x-none"/>
        </w:rPr>
        <w:t xml:space="preserve"> </w:t>
      </w:r>
      <w:r w:rsidR="007B0E10" w:rsidRPr="007B0E10">
        <w:rPr>
          <w:rFonts w:eastAsia="Times New Roman" w:cs="Arial"/>
          <w:sz w:val="20"/>
          <w:szCs w:val="20"/>
          <w:lang w:eastAsia="x-none"/>
        </w:rPr>
        <w:t>Pojmy používané v</w:t>
      </w:r>
      <w:r w:rsidR="007B0E10">
        <w:rPr>
          <w:rFonts w:eastAsia="Times New Roman" w:cs="Arial"/>
          <w:sz w:val="20"/>
          <w:szCs w:val="20"/>
          <w:lang w:eastAsia="x-none"/>
        </w:rPr>
        <w:t> tomto Dodatku</w:t>
      </w:r>
      <w:r w:rsidR="007B0E10" w:rsidRPr="007B0E10">
        <w:rPr>
          <w:rFonts w:eastAsia="Times New Roman" w:cs="Arial"/>
          <w:sz w:val="20"/>
          <w:szCs w:val="20"/>
          <w:lang w:eastAsia="x-none"/>
        </w:rPr>
        <w:t xml:space="preserve"> s velkým počátečním písmenem mají shodný význam jakožto pojmy používané a definované s velkým počátečním písmenem ve Smlouvě, není-li výslovně uvedeno jinak</w:t>
      </w:r>
      <w:r w:rsidR="00582AC9">
        <w:rPr>
          <w:rFonts w:eastAsia="Times New Roman" w:cs="Arial"/>
          <w:sz w:val="20"/>
          <w:szCs w:val="20"/>
          <w:lang w:eastAsia="x-none"/>
        </w:rPr>
        <w:t>.</w:t>
      </w:r>
    </w:p>
    <w:p w14:paraId="29B64192" w14:textId="77777777" w:rsidR="00673C00" w:rsidRPr="00673C00" w:rsidRDefault="00673C00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80" w:lineRule="atLeast"/>
        <w:textAlignment w:val="baseline"/>
        <w:outlineLvl w:val="1"/>
        <w:rPr>
          <w:rFonts w:cs="Arial"/>
          <w:sz w:val="20"/>
          <w:szCs w:val="20"/>
        </w:rPr>
      </w:pPr>
      <w:r w:rsidRPr="00673C00">
        <w:rPr>
          <w:rFonts w:cs="Arial"/>
          <w:sz w:val="20"/>
          <w:szCs w:val="20"/>
        </w:rPr>
        <w:t>Účelem tohoto Dodatku ke Smlouvě je sjednání nepodstatných změn závazků ze Smlouvy podle § 222 odst. 6 zákona č. 134/2016 Sb., o zadávání veřejných zakázek</w:t>
      </w:r>
      <w:r>
        <w:rPr>
          <w:rFonts w:cs="Arial"/>
          <w:sz w:val="20"/>
          <w:szCs w:val="20"/>
        </w:rPr>
        <w:t>, ve znění pozdějších předpisů</w:t>
      </w:r>
      <w:r w:rsidRPr="00673C00">
        <w:rPr>
          <w:rFonts w:cs="Arial"/>
          <w:sz w:val="20"/>
          <w:szCs w:val="20"/>
        </w:rPr>
        <w:t xml:space="preserve"> (dále jen „</w:t>
      </w:r>
      <w:r w:rsidRPr="00673C00">
        <w:rPr>
          <w:rFonts w:cs="Arial"/>
          <w:b/>
          <w:bCs/>
          <w:sz w:val="20"/>
          <w:szCs w:val="20"/>
        </w:rPr>
        <w:t>ZZVZ</w:t>
      </w:r>
      <w:r w:rsidRPr="00673C00">
        <w:rPr>
          <w:rFonts w:cs="Arial"/>
          <w:sz w:val="20"/>
          <w:szCs w:val="20"/>
        </w:rPr>
        <w:t xml:space="preserve">“), jejichž potřeba vznikla v důsledku okolností, které Objednatel jakožto zadavatel jednající s náležitou péčí nemohl předvídat, nemění celkovou povahu veřejné zakázky a hodnota změn v součtu nepřesahuje procentní limit původní hodnoty závazku stanovený v cit. </w:t>
      </w:r>
      <w:proofErr w:type="spellStart"/>
      <w:r w:rsidRPr="00673C00">
        <w:rPr>
          <w:rFonts w:cs="Arial"/>
          <w:sz w:val="20"/>
          <w:szCs w:val="20"/>
        </w:rPr>
        <w:t>ust</w:t>
      </w:r>
      <w:proofErr w:type="spellEnd"/>
      <w:r w:rsidRPr="00673C00">
        <w:rPr>
          <w:rFonts w:cs="Arial"/>
          <w:sz w:val="20"/>
          <w:szCs w:val="20"/>
        </w:rPr>
        <w:t>. ZZVZ</w:t>
      </w:r>
      <w:r>
        <w:rPr>
          <w:rFonts w:cs="Arial"/>
          <w:sz w:val="20"/>
          <w:szCs w:val="20"/>
        </w:rPr>
        <w:t>.</w:t>
      </w:r>
    </w:p>
    <w:p w14:paraId="4FFE3988" w14:textId="77777777" w:rsidR="00740F55" w:rsidRPr="00024F64" w:rsidRDefault="00F77E45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cs="Arial"/>
          <w:sz w:val="20"/>
          <w:szCs w:val="20"/>
        </w:rPr>
      </w:pPr>
      <w:r w:rsidRPr="002A3821">
        <w:rPr>
          <w:rFonts w:eastAsia="Times New Roman" w:cs="Arial"/>
          <w:sz w:val="20"/>
          <w:szCs w:val="20"/>
          <w:lang w:eastAsia="x-none"/>
        </w:rPr>
        <w:t xml:space="preserve">Změny závazků ze Smlouvy provedené tímto Dodatkem </w:t>
      </w:r>
      <w:r w:rsidRPr="00654AAD">
        <w:rPr>
          <w:rFonts w:cs="Arial"/>
          <w:sz w:val="20"/>
          <w:szCs w:val="20"/>
        </w:rPr>
        <w:t>dle § 222 odst.</w:t>
      </w:r>
      <w:r w:rsidR="00673C00" w:rsidRPr="00654AAD">
        <w:rPr>
          <w:rFonts w:cs="Arial"/>
          <w:sz w:val="20"/>
          <w:szCs w:val="20"/>
        </w:rPr>
        <w:t xml:space="preserve"> 6</w:t>
      </w:r>
      <w:r w:rsidRPr="00654AAD">
        <w:rPr>
          <w:rFonts w:cs="Arial"/>
          <w:sz w:val="20"/>
          <w:szCs w:val="20"/>
        </w:rPr>
        <w:t xml:space="preserve"> ZZVZ jsou odůvodněny snahou Smluvních stran naplnit účel</w:t>
      </w:r>
      <w:r w:rsidR="00DE16EE" w:rsidRPr="00654AAD">
        <w:rPr>
          <w:rFonts w:cs="Arial"/>
          <w:sz w:val="20"/>
          <w:szCs w:val="20"/>
        </w:rPr>
        <w:t xml:space="preserve"> d</w:t>
      </w:r>
      <w:r w:rsidR="00790C08" w:rsidRPr="00654AAD">
        <w:rPr>
          <w:rFonts w:cs="Arial"/>
          <w:sz w:val="20"/>
          <w:szCs w:val="20"/>
        </w:rPr>
        <w:t>ramaturgického inkubátoru</w:t>
      </w:r>
      <w:r w:rsidR="00673C00" w:rsidRPr="00654AAD">
        <w:rPr>
          <w:rFonts w:cs="Arial"/>
          <w:sz w:val="20"/>
          <w:szCs w:val="20"/>
        </w:rPr>
        <w:t xml:space="preserve"> navzdory </w:t>
      </w:r>
      <w:r w:rsidR="00654AAD" w:rsidRPr="00654AAD">
        <w:rPr>
          <w:rFonts w:cs="Arial"/>
          <w:sz w:val="20"/>
          <w:szCs w:val="20"/>
        </w:rPr>
        <w:t xml:space="preserve">šíření </w:t>
      </w:r>
      <w:proofErr w:type="spellStart"/>
      <w:r w:rsidR="00654AAD" w:rsidRPr="00654AAD">
        <w:rPr>
          <w:rFonts w:cs="Arial"/>
          <w:sz w:val="20"/>
          <w:szCs w:val="20"/>
        </w:rPr>
        <w:t>koronaviru</w:t>
      </w:r>
      <w:proofErr w:type="spellEnd"/>
      <w:r w:rsidR="00654AAD" w:rsidRPr="00654AAD">
        <w:rPr>
          <w:rFonts w:cs="Arial"/>
          <w:sz w:val="20"/>
          <w:szCs w:val="20"/>
        </w:rPr>
        <w:t xml:space="preserve"> </w:t>
      </w:r>
      <w:r w:rsidR="00654AAD" w:rsidRPr="00654AAD">
        <w:rPr>
          <w:rFonts w:cs="Arial"/>
          <w:sz w:val="20"/>
          <w:szCs w:val="20"/>
        </w:rPr>
        <w:lastRenderedPageBreak/>
        <w:t>SARS-CoV-2 a pandemi</w:t>
      </w:r>
      <w:r w:rsidR="00654AAD">
        <w:rPr>
          <w:rFonts w:cs="Arial"/>
          <w:sz w:val="20"/>
          <w:szCs w:val="20"/>
        </w:rPr>
        <w:t>i</w:t>
      </w:r>
      <w:r w:rsidR="00654AAD" w:rsidRPr="00654AAD">
        <w:rPr>
          <w:rFonts w:cs="Arial"/>
          <w:sz w:val="20"/>
          <w:szCs w:val="20"/>
        </w:rPr>
        <w:t xml:space="preserve"> COVID-19</w:t>
      </w:r>
      <w:r w:rsidR="00654AAD">
        <w:rPr>
          <w:rFonts w:cs="Arial"/>
          <w:sz w:val="20"/>
          <w:szCs w:val="20"/>
        </w:rPr>
        <w:t xml:space="preserve"> včetně souvisejících opatření států a jiných orgánů veřejné moci, které znemožňují provést plnění Dodavatele ve sjednaném</w:t>
      </w:r>
      <w:r w:rsidR="00024F64">
        <w:rPr>
          <w:rFonts w:cs="Arial"/>
          <w:sz w:val="20"/>
          <w:szCs w:val="20"/>
        </w:rPr>
        <w:t>, původně plánovaném</w:t>
      </w:r>
      <w:r w:rsidR="00654AAD">
        <w:rPr>
          <w:rFonts w:cs="Arial"/>
          <w:sz w:val="20"/>
          <w:szCs w:val="20"/>
        </w:rPr>
        <w:t xml:space="preserve"> rozsahu.</w:t>
      </w:r>
      <w:r w:rsidR="00024F64">
        <w:rPr>
          <w:rFonts w:cs="Arial"/>
          <w:sz w:val="20"/>
          <w:szCs w:val="20"/>
        </w:rPr>
        <w:t xml:space="preserve"> Smluvní strany se tedy</w:t>
      </w:r>
      <w:r w:rsidR="00FC01AC">
        <w:rPr>
          <w:rFonts w:cs="Arial"/>
          <w:sz w:val="20"/>
          <w:szCs w:val="20"/>
        </w:rPr>
        <w:t xml:space="preserve"> tímto Dodatkem</w:t>
      </w:r>
      <w:r w:rsidR="00024F64">
        <w:rPr>
          <w:rFonts w:cs="Arial"/>
          <w:sz w:val="20"/>
          <w:szCs w:val="20"/>
        </w:rPr>
        <w:t xml:space="preserve"> dohodly na </w:t>
      </w:r>
      <w:r w:rsidR="00FC01AC">
        <w:rPr>
          <w:rFonts w:cs="Arial"/>
          <w:sz w:val="20"/>
          <w:szCs w:val="20"/>
        </w:rPr>
        <w:t>realizaci</w:t>
      </w:r>
      <w:r w:rsidR="00024F64">
        <w:rPr>
          <w:rFonts w:cs="Arial"/>
          <w:sz w:val="20"/>
          <w:szCs w:val="20"/>
        </w:rPr>
        <w:t xml:space="preserve"> těch plnění, které lze </w:t>
      </w:r>
      <w:r w:rsidR="00FC01AC">
        <w:rPr>
          <w:rFonts w:cs="Arial"/>
          <w:sz w:val="20"/>
          <w:szCs w:val="20"/>
        </w:rPr>
        <w:t>provést</w:t>
      </w:r>
      <w:r w:rsidR="00024F64">
        <w:rPr>
          <w:rFonts w:cs="Arial"/>
          <w:sz w:val="20"/>
          <w:szCs w:val="20"/>
        </w:rPr>
        <w:t xml:space="preserve"> distančně (online), přičemž </w:t>
      </w:r>
      <w:r w:rsidR="00FC01AC">
        <w:rPr>
          <w:rFonts w:cs="Arial"/>
          <w:sz w:val="20"/>
          <w:szCs w:val="20"/>
        </w:rPr>
        <w:t xml:space="preserve">samostatné </w:t>
      </w:r>
      <w:r w:rsidR="00FC01AC" w:rsidRPr="009A3FE9">
        <w:rPr>
          <w:rFonts w:eastAsia="Times New Roman" w:cs="Arial"/>
          <w:kern w:val="28"/>
          <w:sz w:val="20"/>
          <w:szCs w:val="20"/>
          <w:lang w:eastAsia="cs-CZ"/>
        </w:rPr>
        <w:t>konzultac</w:t>
      </w:r>
      <w:r w:rsidR="00FC01AC">
        <w:rPr>
          <w:rFonts w:eastAsia="Times New Roman" w:cs="Arial"/>
          <w:kern w:val="28"/>
          <w:sz w:val="20"/>
          <w:szCs w:val="20"/>
          <w:lang w:eastAsia="cs-CZ"/>
        </w:rPr>
        <w:t>e</w:t>
      </w:r>
      <w:r w:rsidR="00FC01AC" w:rsidRPr="009A3FE9">
        <w:rPr>
          <w:rFonts w:eastAsia="Times New Roman" w:cs="Arial"/>
          <w:kern w:val="28"/>
          <w:sz w:val="20"/>
          <w:szCs w:val="20"/>
          <w:lang w:eastAsia="cs-CZ"/>
        </w:rPr>
        <w:t xml:space="preserve"> </w:t>
      </w:r>
      <w:r w:rsidR="00FC01AC">
        <w:rPr>
          <w:rFonts w:eastAsia="Times New Roman" w:cs="Arial"/>
          <w:kern w:val="28"/>
          <w:sz w:val="20"/>
          <w:szCs w:val="20"/>
          <w:lang w:eastAsia="cs-CZ"/>
        </w:rPr>
        <w:t xml:space="preserve">Adeptů </w:t>
      </w:r>
      <w:r w:rsidR="00FC01AC" w:rsidRPr="009A3FE9">
        <w:rPr>
          <w:rFonts w:eastAsia="Times New Roman" w:cs="Arial"/>
          <w:kern w:val="28"/>
          <w:sz w:val="20"/>
          <w:szCs w:val="20"/>
          <w:lang w:eastAsia="cs-CZ"/>
        </w:rPr>
        <w:t>k filmům ve fázi přípravy</w:t>
      </w:r>
      <w:r w:rsidR="00E73C4A">
        <w:rPr>
          <w:rFonts w:eastAsia="Times New Roman" w:cs="Arial"/>
          <w:kern w:val="28"/>
          <w:sz w:val="20"/>
          <w:szCs w:val="20"/>
          <w:lang w:eastAsia="cs-CZ"/>
        </w:rPr>
        <w:t>, které jsou významné pro naplnění účelu dramaturgického inkubátoru a které aktuálně nelze efektivně realizovat, mají společný zájem v rámci dramaturgického inkubátoru provést, a to nejpozději do konce roku 2020 tak, aby byla zachována funkční návaznost na předchozí plnění.</w:t>
      </w:r>
    </w:p>
    <w:p w14:paraId="66F1F8C9" w14:textId="77777777" w:rsidR="00C04B9A" w:rsidRPr="00C04B9A" w:rsidRDefault="00314450" w:rsidP="00024F64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80" w:lineRule="atLeast"/>
        <w:ind w:left="709" w:hanging="709"/>
        <w:rPr>
          <w:rFonts w:ascii="Arial" w:hAnsi="Arial" w:cs="Arial"/>
          <w:b/>
          <w:caps/>
          <w:szCs w:val="20"/>
        </w:rPr>
      </w:pPr>
      <w:r w:rsidRPr="002A3821">
        <w:rPr>
          <w:rFonts w:ascii="Arial" w:hAnsi="Arial" w:cs="Arial"/>
          <w:b/>
          <w:caps/>
          <w:szCs w:val="20"/>
        </w:rPr>
        <w:t>změn</w:t>
      </w:r>
      <w:r w:rsidR="00C82267" w:rsidRPr="002A3821">
        <w:rPr>
          <w:rFonts w:ascii="Arial" w:hAnsi="Arial" w:cs="Arial"/>
          <w:b/>
          <w:caps/>
          <w:szCs w:val="20"/>
        </w:rPr>
        <w:t>y</w:t>
      </w:r>
      <w:r w:rsidRPr="002A3821">
        <w:rPr>
          <w:rFonts w:ascii="Arial" w:hAnsi="Arial" w:cs="Arial"/>
          <w:b/>
          <w:caps/>
          <w:szCs w:val="20"/>
        </w:rPr>
        <w:t xml:space="preserve"> SMLOUVY</w:t>
      </w:r>
    </w:p>
    <w:p w14:paraId="6BE223D0" w14:textId="77777777" w:rsidR="00DE16EE" w:rsidRDefault="00DE16EE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Článek </w:t>
      </w:r>
      <w:r w:rsidR="0018258F">
        <w:rPr>
          <w:rFonts w:eastAsia="Times New Roman" w:cs="Arial"/>
          <w:sz w:val="20"/>
          <w:szCs w:val="20"/>
          <w:lang w:eastAsia="x-none"/>
        </w:rPr>
        <w:t>9.6</w:t>
      </w:r>
      <w:r>
        <w:rPr>
          <w:rFonts w:eastAsia="Times New Roman" w:cs="Arial"/>
          <w:sz w:val="20"/>
          <w:szCs w:val="20"/>
          <w:lang w:eastAsia="x-none"/>
        </w:rPr>
        <w:t xml:space="preserve"> Smlouvy se mění tak, že nově zní:</w:t>
      </w:r>
    </w:p>
    <w:p w14:paraId="5D84D8DF" w14:textId="519739F0" w:rsidR="00DE16EE" w:rsidRPr="00DA1038" w:rsidRDefault="00DE16EE" w:rsidP="00024F64">
      <w:pPr>
        <w:overflowPunct w:val="0"/>
        <w:autoSpaceDE w:val="0"/>
        <w:autoSpaceDN w:val="0"/>
        <w:adjustRightInd w:val="0"/>
        <w:spacing w:before="120" w:after="120" w:line="28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="0018258F">
        <w:rPr>
          <w:rFonts w:eastAsia="Times New Roman" w:cs="Arial"/>
          <w:sz w:val="20"/>
          <w:szCs w:val="20"/>
          <w:lang w:eastAsia="x-none"/>
        </w:rPr>
        <w:t>9. 6</w:t>
      </w:r>
      <w:r w:rsidRPr="001419C0">
        <w:rPr>
          <w:rFonts w:eastAsia="Times New Roman" w:cs="Arial"/>
          <w:sz w:val="20"/>
          <w:szCs w:val="20"/>
          <w:lang w:eastAsia="x-none"/>
        </w:rPr>
        <w:t>.</w:t>
      </w:r>
      <w:r w:rsidRPr="001419C0">
        <w:rPr>
          <w:rFonts w:eastAsia="Times New Roman" w:cs="Arial"/>
          <w:sz w:val="20"/>
          <w:szCs w:val="20"/>
          <w:lang w:eastAsia="x-none"/>
        </w:rPr>
        <w:tab/>
      </w:r>
      <w:r w:rsidR="0018258F">
        <w:rPr>
          <w:rFonts w:eastAsia="Times New Roman" w:cs="Arial"/>
          <w:sz w:val="20"/>
          <w:szCs w:val="20"/>
          <w:lang w:eastAsia="x-none"/>
        </w:rPr>
        <w:t xml:space="preserve">Dodavatel se </w:t>
      </w:r>
      <w:r w:rsidR="00AA7499">
        <w:rPr>
          <w:rFonts w:eastAsia="Times New Roman" w:cs="Arial"/>
          <w:sz w:val="20"/>
          <w:szCs w:val="20"/>
          <w:lang w:eastAsia="x-none"/>
        </w:rPr>
        <w:t xml:space="preserve">zavazuje </w:t>
      </w:r>
      <w:r w:rsidR="00AA7499">
        <w:rPr>
          <w:rFonts w:eastAsia="Times New Roman" w:cs="Arial"/>
          <w:kern w:val="28"/>
          <w:sz w:val="20"/>
          <w:szCs w:val="20"/>
          <w:lang w:eastAsia="cs-CZ"/>
        </w:rPr>
        <w:t xml:space="preserve">poskytnout plnění spočívající zejména </w:t>
      </w:r>
      <w:r w:rsidR="00AA7499" w:rsidRPr="00ED6B99">
        <w:rPr>
          <w:rFonts w:eastAsia="Times New Roman" w:cs="Arial"/>
          <w:kern w:val="28"/>
          <w:sz w:val="20"/>
          <w:szCs w:val="20"/>
          <w:lang w:eastAsia="cs-CZ"/>
        </w:rPr>
        <w:t xml:space="preserve">v závěrečném zhodnocení a konzultacích </w:t>
      </w:r>
      <w:r w:rsidR="00AA7499" w:rsidRPr="00ED6B99">
        <w:rPr>
          <w:rFonts w:eastAsia="Times New Roman" w:cs="Arial"/>
          <w:sz w:val="20"/>
          <w:szCs w:val="20"/>
          <w:lang w:eastAsia="x-none"/>
        </w:rPr>
        <w:t>prostřednictvím Lektora daného Projektu</w:t>
      </w:r>
      <w:r w:rsidR="00C56D65" w:rsidRPr="00ED6B99">
        <w:rPr>
          <w:rFonts w:eastAsia="Times New Roman" w:cs="Arial"/>
          <w:sz w:val="20"/>
          <w:szCs w:val="20"/>
          <w:lang w:eastAsia="x-none"/>
        </w:rPr>
        <w:t>, odborného garanta</w:t>
      </w:r>
      <w:r w:rsidR="00AA7499" w:rsidRPr="00ED6B99">
        <w:rPr>
          <w:rFonts w:eastAsia="Times New Roman" w:cs="Arial"/>
          <w:sz w:val="20"/>
          <w:szCs w:val="20"/>
          <w:lang w:eastAsia="x-none"/>
        </w:rPr>
        <w:t xml:space="preserve"> </w:t>
      </w:r>
      <w:r w:rsidR="00B33A7B" w:rsidRPr="00ED6B99">
        <w:rPr>
          <w:rFonts w:eastAsia="Times New Roman" w:cs="Arial"/>
          <w:sz w:val="20"/>
          <w:szCs w:val="20"/>
          <w:lang w:eastAsia="x-none"/>
        </w:rPr>
        <w:t xml:space="preserve">a hostujících lektorů </w:t>
      </w:r>
      <w:r w:rsidR="00AA7499" w:rsidRPr="00ED6B99">
        <w:rPr>
          <w:rFonts w:eastAsia="Times New Roman" w:cs="Arial"/>
          <w:sz w:val="20"/>
          <w:szCs w:val="20"/>
          <w:lang w:eastAsia="x-none"/>
        </w:rPr>
        <w:t>Spolupracujícím tvůrcům za účasti Adepta v</w:t>
      </w:r>
      <w:r w:rsidR="00AA7499" w:rsidRPr="000552C0">
        <w:rPr>
          <w:rFonts w:eastAsia="Times New Roman" w:cs="Arial"/>
          <w:sz w:val="20"/>
          <w:szCs w:val="20"/>
          <w:lang w:eastAsia="x-none"/>
        </w:rPr>
        <w:t xml:space="preserve"> průběhu období od </w:t>
      </w:r>
      <w:r w:rsidR="00AA7499">
        <w:rPr>
          <w:rFonts w:eastAsia="Times New Roman" w:cs="Arial"/>
          <w:sz w:val="20"/>
          <w:szCs w:val="20"/>
          <w:lang w:eastAsia="x-none"/>
        </w:rPr>
        <w:t>poskytnutí konzultací dle čl. 9.5 Smlouvy do 30.4.2020</w:t>
      </w:r>
      <w:r w:rsidR="00AA7499" w:rsidRPr="000552C0">
        <w:rPr>
          <w:rFonts w:eastAsia="Times New Roman" w:cs="Arial"/>
          <w:sz w:val="20"/>
          <w:szCs w:val="20"/>
          <w:lang w:eastAsia="x-none"/>
        </w:rPr>
        <w:t xml:space="preserve">. Rozsah </w:t>
      </w:r>
      <w:r w:rsidR="00AA7499">
        <w:rPr>
          <w:rFonts w:eastAsia="Times New Roman" w:cs="Arial"/>
          <w:sz w:val="20"/>
          <w:szCs w:val="20"/>
          <w:lang w:eastAsia="x-none"/>
        </w:rPr>
        <w:t>plnění dle tohoto článku</w:t>
      </w:r>
      <w:r w:rsidR="00AA7499" w:rsidRPr="000552C0">
        <w:rPr>
          <w:rFonts w:eastAsia="Times New Roman" w:cs="Arial"/>
          <w:sz w:val="20"/>
          <w:szCs w:val="20"/>
          <w:lang w:eastAsia="x-none"/>
        </w:rPr>
        <w:t xml:space="preserve"> vychází z potřeb každého Projektu</w:t>
      </w:r>
      <w:r w:rsidR="00AA7499">
        <w:rPr>
          <w:rFonts w:eastAsia="Times New Roman" w:cs="Arial"/>
          <w:sz w:val="20"/>
          <w:szCs w:val="20"/>
          <w:lang w:eastAsia="x-none"/>
        </w:rPr>
        <w:t xml:space="preserve"> a činí </w:t>
      </w:r>
      <w:r w:rsidR="00AA7499" w:rsidRPr="00ED6B99">
        <w:rPr>
          <w:rFonts w:eastAsia="Times New Roman" w:cs="Arial"/>
          <w:kern w:val="28"/>
          <w:sz w:val="20"/>
          <w:szCs w:val="20"/>
          <w:lang w:eastAsia="cs-CZ"/>
        </w:rPr>
        <w:t xml:space="preserve">minimálně </w:t>
      </w:r>
      <w:r w:rsidR="00305F90" w:rsidRPr="00ED6B99">
        <w:rPr>
          <w:rFonts w:eastAsia="Times New Roman" w:cs="Arial"/>
          <w:kern w:val="28"/>
          <w:sz w:val="20"/>
          <w:szCs w:val="20"/>
          <w:lang w:eastAsia="cs-CZ"/>
        </w:rPr>
        <w:t>5,5</w:t>
      </w:r>
      <w:r w:rsidR="00ED3F89" w:rsidRPr="00ED6B99">
        <w:rPr>
          <w:rFonts w:eastAsia="Times New Roman" w:cs="Arial"/>
          <w:kern w:val="28"/>
          <w:sz w:val="20"/>
          <w:szCs w:val="20"/>
          <w:lang w:eastAsia="cs-CZ"/>
        </w:rPr>
        <w:t xml:space="preserve"> hodin</w:t>
      </w:r>
      <w:r w:rsidR="005547C5">
        <w:rPr>
          <w:rFonts w:eastAsia="Times New Roman" w:cs="Arial"/>
          <w:kern w:val="28"/>
          <w:sz w:val="20"/>
          <w:szCs w:val="20"/>
          <w:lang w:eastAsia="cs-CZ"/>
        </w:rPr>
        <w:t xml:space="preserve"> </w:t>
      </w:r>
      <w:r w:rsidR="00B314E4">
        <w:rPr>
          <w:rFonts w:eastAsia="Times New Roman" w:cs="Arial"/>
          <w:kern w:val="28"/>
          <w:sz w:val="20"/>
          <w:szCs w:val="20"/>
          <w:lang w:eastAsia="cs-CZ"/>
        </w:rPr>
        <w:t xml:space="preserve">ve vztahu ke každému </w:t>
      </w:r>
      <w:r w:rsidR="00B314E4" w:rsidRPr="00DA1038">
        <w:rPr>
          <w:rFonts w:eastAsia="Times New Roman" w:cs="Arial"/>
          <w:kern w:val="28"/>
          <w:sz w:val="20"/>
          <w:szCs w:val="20"/>
          <w:lang w:eastAsia="cs-CZ"/>
        </w:rPr>
        <w:t xml:space="preserve">Projektu a minimálně </w:t>
      </w:r>
      <w:r w:rsidR="00DA1038" w:rsidRPr="00DA1038">
        <w:rPr>
          <w:rFonts w:eastAsia="Times New Roman" w:cs="Arial"/>
          <w:kern w:val="28"/>
          <w:sz w:val="20"/>
          <w:szCs w:val="20"/>
          <w:lang w:eastAsia="cs-CZ"/>
        </w:rPr>
        <w:t>7,5</w:t>
      </w:r>
      <w:r w:rsidR="00DA1038">
        <w:rPr>
          <w:rFonts w:eastAsia="Times New Roman" w:cs="Arial"/>
          <w:kern w:val="28"/>
          <w:sz w:val="20"/>
          <w:szCs w:val="20"/>
          <w:lang w:eastAsia="cs-CZ"/>
        </w:rPr>
        <w:t xml:space="preserve"> hodin </w:t>
      </w:r>
      <w:r w:rsidR="00B314E4" w:rsidRPr="00DA1038">
        <w:rPr>
          <w:rFonts w:eastAsia="Times New Roman" w:cs="Arial"/>
          <w:kern w:val="28"/>
          <w:sz w:val="20"/>
          <w:szCs w:val="20"/>
          <w:lang w:eastAsia="cs-CZ"/>
        </w:rPr>
        <w:t>ve vztahu ke každému Adeptovi</w:t>
      </w:r>
      <w:r w:rsidR="00364599" w:rsidRPr="00DA1038">
        <w:rPr>
          <w:rFonts w:eastAsia="Times New Roman" w:cs="Arial"/>
          <w:kern w:val="28"/>
          <w:sz w:val="20"/>
          <w:szCs w:val="20"/>
          <w:lang w:eastAsia="cs-CZ"/>
        </w:rPr>
        <w:t>.</w:t>
      </w:r>
      <w:r w:rsidR="00AA7499" w:rsidRPr="00DA1038">
        <w:rPr>
          <w:rFonts w:eastAsia="Times New Roman" w:cs="Arial"/>
          <w:kern w:val="28"/>
          <w:sz w:val="20"/>
          <w:szCs w:val="20"/>
          <w:lang w:eastAsia="cs-CZ"/>
        </w:rPr>
        <w:t>“</w:t>
      </w:r>
    </w:p>
    <w:p w14:paraId="4C80DC05" w14:textId="77777777" w:rsidR="00C53196" w:rsidRPr="00780A3F" w:rsidRDefault="00C53196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BA219E">
        <w:rPr>
          <w:rFonts w:eastAsia="Times New Roman" w:cs="Arial"/>
          <w:sz w:val="20"/>
          <w:szCs w:val="20"/>
          <w:lang w:eastAsia="x-none"/>
        </w:rPr>
        <w:t xml:space="preserve">Za ustanovení článku </w:t>
      </w:r>
      <w:r>
        <w:rPr>
          <w:rFonts w:eastAsia="Times New Roman" w:cs="Arial"/>
          <w:sz w:val="20"/>
          <w:szCs w:val="20"/>
          <w:lang w:eastAsia="x-none"/>
        </w:rPr>
        <w:t>9.6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Smlouvy se </w:t>
      </w:r>
      <w:r w:rsidRPr="00A26DEA">
        <w:rPr>
          <w:rFonts w:eastAsia="Times New Roman" w:cs="Arial"/>
          <w:sz w:val="20"/>
          <w:szCs w:val="20"/>
          <w:lang w:eastAsia="x-none"/>
        </w:rPr>
        <w:t>vklád</w:t>
      </w:r>
      <w:r>
        <w:rPr>
          <w:rFonts w:eastAsia="Times New Roman" w:cs="Arial"/>
          <w:sz w:val="20"/>
          <w:szCs w:val="20"/>
          <w:lang w:eastAsia="x-none"/>
        </w:rPr>
        <w:t>á nový článe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k </w:t>
      </w:r>
      <w:r>
        <w:rPr>
          <w:rFonts w:eastAsia="Times New Roman" w:cs="Arial"/>
          <w:sz w:val="20"/>
          <w:szCs w:val="20"/>
          <w:lang w:eastAsia="x-none"/>
        </w:rPr>
        <w:t>9.7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 Smlouvy v tomto znění</w:t>
      </w:r>
      <w:r>
        <w:rPr>
          <w:rFonts w:eastAsia="Times New Roman" w:cs="Arial"/>
          <w:sz w:val="20"/>
          <w:szCs w:val="20"/>
          <w:lang w:eastAsia="x-none"/>
        </w:rPr>
        <w:t>:</w:t>
      </w:r>
    </w:p>
    <w:p w14:paraId="06859312" w14:textId="002FB03D" w:rsidR="00C53196" w:rsidRPr="00C53196" w:rsidRDefault="00C53196" w:rsidP="00024F64">
      <w:pPr>
        <w:overflowPunct w:val="0"/>
        <w:autoSpaceDE w:val="0"/>
        <w:autoSpaceDN w:val="0"/>
        <w:adjustRightInd w:val="0"/>
        <w:spacing w:before="120" w:after="120" w:line="28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„9.7</w:t>
      </w:r>
      <w:r>
        <w:rPr>
          <w:rFonts w:eastAsia="Times New Roman" w:cs="Arial"/>
          <w:sz w:val="20"/>
          <w:szCs w:val="20"/>
          <w:lang w:eastAsia="x-none"/>
        </w:rPr>
        <w:tab/>
        <w:t>Smluvní strany sjednávají, že</w:t>
      </w:r>
      <w:r w:rsidR="002B01AC">
        <w:rPr>
          <w:rFonts w:eastAsia="Times New Roman" w:cs="Arial"/>
          <w:sz w:val="20"/>
          <w:szCs w:val="20"/>
          <w:lang w:eastAsia="x-none"/>
        </w:rPr>
        <w:t xml:space="preserve"> s ohledem na </w:t>
      </w:r>
      <w:r w:rsidR="002B01AC" w:rsidRPr="00654AAD">
        <w:rPr>
          <w:rFonts w:cs="Arial"/>
          <w:sz w:val="20"/>
          <w:szCs w:val="20"/>
        </w:rPr>
        <w:t xml:space="preserve">šíření </w:t>
      </w:r>
      <w:proofErr w:type="spellStart"/>
      <w:r w:rsidR="002B01AC" w:rsidRPr="00654AAD">
        <w:rPr>
          <w:rFonts w:cs="Arial"/>
          <w:sz w:val="20"/>
          <w:szCs w:val="20"/>
        </w:rPr>
        <w:t>koronaviru</w:t>
      </w:r>
      <w:proofErr w:type="spellEnd"/>
      <w:r w:rsidR="002B01AC" w:rsidRPr="00654AAD">
        <w:rPr>
          <w:rFonts w:cs="Arial"/>
          <w:sz w:val="20"/>
          <w:szCs w:val="20"/>
        </w:rPr>
        <w:t xml:space="preserve"> SARS-CoV-2 a pandemi</w:t>
      </w:r>
      <w:r w:rsidR="002B01AC">
        <w:rPr>
          <w:rFonts w:cs="Arial"/>
          <w:sz w:val="20"/>
          <w:szCs w:val="20"/>
        </w:rPr>
        <w:t>i</w:t>
      </w:r>
      <w:r w:rsidR="002B01AC" w:rsidRPr="00654AAD">
        <w:rPr>
          <w:rFonts w:cs="Arial"/>
          <w:sz w:val="20"/>
          <w:szCs w:val="20"/>
        </w:rPr>
        <w:t xml:space="preserve"> COVID-19</w:t>
      </w:r>
      <w:r>
        <w:rPr>
          <w:rFonts w:eastAsia="Times New Roman" w:cs="Arial"/>
          <w:sz w:val="20"/>
          <w:szCs w:val="20"/>
          <w:lang w:eastAsia="x-none"/>
        </w:rPr>
        <w:t xml:space="preserve"> </w:t>
      </w:r>
      <w:r w:rsidR="00A4356A">
        <w:rPr>
          <w:rFonts w:eastAsia="Times New Roman" w:cs="Arial"/>
          <w:sz w:val="20"/>
          <w:szCs w:val="20"/>
          <w:lang w:eastAsia="x-none"/>
        </w:rPr>
        <w:t xml:space="preserve">mají zájem uspořádat </w:t>
      </w:r>
      <w:r w:rsidR="00015D3C" w:rsidRPr="009A3FE9">
        <w:rPr>
          <w:rFonts w:eastAsia="Times New Roman" w:cs="Arial"/>
          <w:kern w:val="28"/>
          <w:sz w:val="20"/>
          <w:szCs w:val="20"/>
          <w:lang w:eastAsia="cs-CZ"/>
        </w:rPr>
        <w:t>samostatn</w:t>
      </w:r>
      <w:r w:rsidR="00FC01AC">
        <w:rPr>
          <w:rFonts w:eastAsia="Times New Roman" w:cs="Arial"/>
          <w:kern w:val="28"/>
          <w:sz w:val="20"/>
          <w:szCs w:val="20"/>
          <w:lang w:eastAsia="cs-CZ"/>
        </w:rPr>
        <w:t>é</w:t>
      </w:r>
      <w:r w:rsidR="00015D3C" w:rsidRPr="009A3FE9">
        <w:rPr>
          <w:rFonts w:eastAsia="Times New Roman" w:cs="Arial"/>
          <w:kern w:val="28"/>
          <w:sz w:val="20"/>
          <w:szCs w:val="20"/>
          <w:lang w:eastAsia="cs-CZ"/>
        </w:rPr>
        <w:t xml:space="preserve"> konzultac</w:t>
      </w:r>
      <w:r w:rsidR="00FC01AC">
        <w:rPr>
          <w:rFonts w:eastAsia="Times New Roman" w:cs="Arial"/>
          <w:kern w:val="28"/>
          <w:sz w:val="20"/>
          <w:szCs w:val="20"/>
          <w:lang w:eastAsia="cs-CZ"/>
        </w:rPr>
        <w:t>e</w:t>
      </w:r>
      <w:r w:rsidR="00015D3C" w:rsidRPr="009A3FE9">
        <w:rPr>
          <w:rFonts w:eastAsia="Times New Roman" w:cs="Arial"/>
          <w:kern w:val="28"/>
          <w:sz w:val="20"/>
          <w:szCs w:val="20"/>
          <w:lang w:eastAsia="cs-CZ"/>
        </w:rPr>
        <w:t xml:space="preserve"> </w:t>
      </w:r>
      <w:r w:rsidR="00015D3C">
        <w:rPr>
          <w:rFonts w:eastAsia="Times New Roman" w:cs="Arial"/>
          <w:kern w:val="28"/>
          <w:sz w:val="20"/>
          <w:szCs w:val="20"/>
          <w:lang w:eastAsia="cs-CZ"/>
        </w:rPr>
        <w:t xml:space="preserve">Adeptů </w:t>
      </w:r>
      <w:r w:rsidR="00015D3C" w:rsidRPr="009A3FE9">
        <w:rPr>
          <w:rFonts w:eastAsia="Times New Roman" w:cs="Arial"/>
          <w:kern w:val="28"/>
          <w:sz w:val="20"/>
          <w:szCs w:val="20"/>
          <w:lang w:eastAsia="cs-CZ"/>
        </w:rPr>
        <w:t xml:space="preserve">k filmům ve fázi přípravy, které </w:t>
      </w:r>
      <w:r w:rsidR="001F3A57">
        <w:rPr>
          <w:rFonts w:eastAsia="Times New Roman" w:cs="Arial"/>
          <w:kern w:val="28"/>
          <w:sz w:val="20"/>
          <w:szCs w:val="20"/>
          <w:lang w:eastAsia="cs-CZ"/>
        </w:rPr>
        <w:t>měl</w:t>
      </w:r>
      <w:r w:rsidR="00FC01AC">
        <w:rPr>
          <w:rFonts w:eastAsia="Times New Roman" w:cs="Arial"/>
          <w:kern w:val="28"/>
          <w:sz w:val="20"/>
          <w:szCs w:val="20"/>
          <w:lang w:eastAsia="cs-CZ"/>
        </w:rPr>
        <w:t>y</w:t>
      </w:r>
      <w:r w:rsidR="001F3A57">
        <w:rPr>
          <w:rFonts w:eastAsia="Times New Roman" w:cs="Arial"/>
          <w:kern w:val="28"/>
          <w:sz w:val="20"/>
          <w:szCs w:val="20"/>
          <w:lang w:eastAsia="cs-CZ"/>
        </w:rPr>
        <w:t xml:space="preserve"> být uspořádán</w:t>
      </w:r>
      <w:r w:rsidR="00FC01AC">
        <w:rPr>
          <w:rFonts w:eastAsia="Times New Roman" w:cs="Arial"/>
          <w:kern w:val="28"/>
          <w:sz w:val="20"/>
          <w:szCs w:val="20"/>
          <w:lang w:eastAsia="cs-CZ"/>
        </w:rPr>
        <w:t>y</w:t>
      </w:r>
      <w:r w:rsidR="001F3A57">
        <w:rPr>
          <w:rFonts w:eastAsia="Times New Roman" w:cs="Arial"/>
          <w:kern w:val="28"/>
          <w:sz w:val="20"/>
          <w:szCs w:val="20"/>
          <w:lang w:eastAsia="cs-CZ"/>
        </w:rPr>
        <w:t xml:space="preserve"> dle dodatku č. 4 k této Smlouvě a kter</w:t>
      </w:r>
      <w:r w:rsidR="00FC01AC">
        <w:rPr>
          <w:rFonts w:eastAsia="Times New Roman" w:cs="Arial"/>
          <w:kern w:val="28"/>
          <w:sz w:val="20"/>
          <w:szCs w:val="20"/>
          <w:lang w:eastAsia="cs-CZ"/>
        </w:rPr>
        <w:t>é</w:t>
      </w:r>
      <w:r w:rsidR="001F3A57">
        <w:rPr>
          <w:rFonts w:eastAsia="Times New Roman" w:cs="Arial"/>
          <w:kern w:val="28"/>
          <w:sz w:val="20"/>
          <w:szCs w:val="20"/>
          <w:lang w:eastAsia="cs-CZ"/>
        </w:rPr>
        <w:t xml:space="preserve"> j</w:t>
      </w:r>
      <w:r w:rsidR="00FC01AC">
        <w:rPr>
          <w:rFonts w:eastAsia="Times New Roman" w:cs="Arial"/>
          <w:kern w:val="28"/>
          <w:sz w:val="20"/>
          <w:szCs w:val="20"/>
          <w:lang w:eastAsia="cs-CZ"/>
        </w:rPr>
        <w:t>sou</w:t>
      </w:r>
      <w:r w:rsidR="001F3A57">
        <w:rPr>
          <w:rFonts w:eastAsia="Times New Roman" w:cs="Arial"/>
          <w:kern w:val="28"/>
          <w:sz w:val="20"/>
          <w:szCs w:val="20"/>
          <w:lang w:eastAsia="cs-CZ"/>
        </w:rPr>
        <w:t xml:space="preserve"> vhodn</w:t>
      </w:r>
      <w:r w:rsidR="00D63714">
        <w:rPr>
          <w:rFonts w:eastAsia="Times New Roman" w:cs="Arial"/>
          <w:kern w:val="28"/>
          <w:sz w:val="20"/>
          <w:szCs w:val="20"/>
          <w:lang w:eastAsia="cs-CZ"/>
        </w:rPr>
        <w:t>é</w:t>
      </w:r>
      <w:r w:rsidR="001F3A57">
        <w:rPr>
          <w:rFonts w:eastAsia="Times New Roman" w:cs="Arial"/>
          <w:kern w:val="28"/>
          <w:sz w:val="20"/>
          <w:szCs w:val="20"/>
          <w:lang w:eastAsia="cs-CZ"/>
        </w:rPr>
        <w:t xml:space="preserve"> pro naplnění účelu dramaturgického inkubátoru</w:t>
      </w:r>
      <w:r w:rsidR="000E211C">
        <w:rPr>
          <w:rFonts w:eastAsia="Times New Roman" w:cs="Arial"/>
          <w:kern w:val="28"/>
          <w:sz w:val="20"/>
          <w:szCs w:val="20"/>
          <w:lang w:eastAsia="cs-CZ"/>
        </w:rPr>
        <w:t>, a to tak, aby proběhl</w:t>
      </w:r>
      <w:r w:rsidR="00D63714">
        <w:rPr>
          <w:rFonts w:eastAsia="Times New Roman" w:cs="Arial"/>
          <w:kern w:val="28"/>
          <w:sz w:val="20"/>
          <w:szCs w:val="20"/>
          <w:lang w:eastAsia="cs-CZ"/>
        </w:rPr>
        <w:t>y</w:t>
      </w:r>
      <w:r w:rsidR="000E211C">
        <w:rPr>
          <w:rFonts w:eastAsia="Times New Roman" w:cs="Arial"/>
          <w:kern w:val="28"/>
          <w:sz w:val="20"/>
          <w:szCs w:val="20"/>
          <w:lang w:eastAsia="cs-CZ"/>
        </w:rPr>
        <w:t xml:space="preserve"> nejpozději do konce roku 2020</w:t>
      </w:r>
      <w:r w:rsidR="002F78A4">
        <w:rPr>
          <w:rFonts w:eastAsia="Times New Roman" w:cs="Arial"/>
          <w:kern w:val="28"/>
          <w:sz w:val="20"/>
          <w:szCs w:val="20"/>
          <w:lang w:eastAsia="cs-CZ"/>
        </w:rPr>
        <w:t xml:space="preserve"> (dále jen „</w:t>
      </w:r>
      <w:r w:rsidR="002F78A4" w:rsidRPr="00D63714">
        <w:rPr>
          <w:rFonts w:eastAsia="Times New Roman" w:cs="Arial"/>
          <w:b/>
          <w:bCs/>
          <w:kern w:val="28"/>
          <w:sz w:val="20"/>
          <w:szCs w:val="20"/>
          <w:lang w:eastAsia="cs-CZ"/>
        </w:rPr>
        <w:t>Závěrečn</w:t>
      </w:r>
      <w:r w:rsidR="00024EC0">
        <w:rPr>
          <w:rFonts w:eastAsia="Times New Roman" w:cs="Arial"/>
          <w:b/>
          <w:bCs/>
          <w:kern w:val="28"/>
          <w:sz w:val="20"/>
          <w:szCs w:val="20"/>
          <w:lang w:eastAsia="cs-CZ"/>
        </w:rPr>
        <w:t>é</w:t>
      </w:r>
      <w:r w:rsidR="002F78A4" w:rsidRPr="00D63714">
        <w:rPr>
          <w:rFonts w:eastAsia="Times New Roman" w:cs="Arial"/>
          <w:b/>
          <w:bCs/>
          <w:kern w:val="28"/>
          <w:sz w:val="20"/>
          <w:szCs w:val="20"/>
          <w:lang w:eastAsia="cs-CZ"/>
        </w:rPr>
        <w:t xml:space="preserve"> </w:t>
      </w:r>
      <w:r w:rsidR="000E211C" w:rsidRPr="00D63714">
        <w:rPr>
          <w:rFonts w:eastAsia="Times New Roman" w:cs="Arial"/>
          <w:b/>
          <w:bCs/>
          <w:kern w:val="28"/>
          <w:sz w:val="20"/>
          <w:szCs w:val="20"/>
          <w:lang w:eastAsia="cs-CZ"/>
        </w:rPr>
        <w:t>konzultace</w:t>
      </w:r>
      <w:r w:rsidR="002F78A4">
        <w:rPr>
          <w:rFonts w:eastAsia="Times New Roman" w:cs="Arial"/>
          <w:kern w:val="28"/>
          <w:sz w:val="20"/>
          <w:szCs w:val="20"/>
          <w:lang w:eastAsia="cs-CZ"/>
        </w:rPr>
        <w:t>“)</w:t>
      </w:r>
      <w:r w:rsidR="000E211C">
        <w:rPr>
          <w:rFonts w:eastAsia="Times New Roman" w:cs="Arial"/>
          <w:kern w:val="28"/>
          <w:sz w:val="20"/>
          <w:szCs w:val="20"/>
          <w:lang w:eastAsia="cs-CZ"/>
        </w:rPr>
        <w:t xml:space="preserve">. </w:t>
      </w:r>
      <w:r w:rsidR="00C517DA">
        <w:rPr>
          <w:rFonts w:eastAsia="Times New Roman" w:cs="Arial"/>
          <w:kern w:val="28"/>
          <w:sz w:val="20"/>
          <w:szCs w:val="20"/>
          <w:lang w:eastAsia="cs-CZ"/>
        </w:rPr>
        <w:t>Závěrečné konzultace lze realizovat pouze na základě písemné dohody Smluvních stran sjednané v podobě dodatku k této Smlouvě</w:t>
      </w:r>
      <w:r w:rsidR="00806237">
        <w:rPr>
          <w:rFonts w:eastAsia="Times New Roman" w:cs="Arial"/>
          <w:kern w:val="28"/>
          <w:sz w:val="20"/>
          <w:szCs w:val="20"/>
          <w:lang w:eastAsia="cs-CZ"/>
        </w:rPr>
        <w:t xml:space="preserve"> uzavřeného nejpozději </w:t>
      </w:r>
      <w:r w:rsidR="00806237" w:rsidRPr="003040ED">
        <w:rPr>
          <w:rFonts w:eastAsia="Times New Roman" w:cs="Arial"/>
          <w:kern w:val="28"/>
          <w:sz w:val="20"/>
          <w:szCs w:val="20"/>
          <w:lang w:eastAsia="cs-CZ"/>
        </w:rPr>
        <w:t>do 4. prosince 2020</w:t>
      </w:r>
      <w:r w:rsidR="00C517DA" w:rsidRPr="003040ED">
        <w:rPr>
          <w:rFonts w:eastAsia="Times New Roman" w:cs="Arial"/>
          <w:kern w:val="28"/>
          <w:sz w:val="20"/>
          <w:szCs w:val="20"/>
          <w:lang w:eastAsia="cs-CZ"/>
        </w:rPr>
        <w:t>, kter</w:t>
      </w:r>
      <w:r w:rsidR="00523829" w:rsidRPr="003040ED">
        <w:rPr>
          <w:rFonts w:eastAsia="Times New Roman" w:cs="Arial"/>
          <w:kern w:val="28"/>
          <w:sz w:val="20"/>
          <w:szCs w:val="20"/>
          <w:lang w:eastAsia="cs-CZ"/>
        </w:rPr>
        <w:t>ý</w:t>
      </w:r>
      <w:r w:rsidR="00C517DA" w:rsidRPr="003040ED">
        <w:rPr>
          <w:rFonts w:eastAsia="Times New Roman" w:cs="Arial"/>
          <w:kern w:val="28"/>
          <w:sz w:val="20"/>
          <w:szCs w:val="20"/>
          <w:lang w:eastAsia="cs-CZ"/>
        </w:rPr>
        <w:t xml:space="preserve"> bude obsahovat alespoň vymezení rozsahu, doby a ceny Závěrečných</w:t>
      </w:r>
      <w:r w:rsidR="00C517DA">
        <w:rPr>
          <w:rFonts w:eastAsia="Times New Roman" w:cs="Arial"/>
          <w:kern w:val="28"/>
          <w:sz w:val="20"/>
          <w:szCs w:val="20"/>
          <w:lang w:eastAsia="cs-CZ"/>
        </w:rPr>
        <w:t xml:space="preserve"> konzultací. </w:t>
      </w:r>
      <w:r w:rsidR="001F3A57" w:rsidRPr="00D63714">
        <w:rPr>
          <w:rFonts w:eastAsia="Times New Roman" w:cs="Arial"/>
          <w:kern w:val="28"/>
          <w:sz w:val="20"/>
          <w:szCs w:val="20"/>
          <w:lang w:eastAsia="cs-CZ"/>
        </w:rPr>
        <w:t xml:space="preserve">Smluvní strany se zavazují </w:t>
      </w:r>
      <w:r w:rsidR="000E211C" w:rsidRPr="00D63714">
        <w:rPr>
          <w:rFonts w:eastAsia="Times New Roman" w:cs="Arial"/>
          <w:kern w:val="28"/>
          <w:sz w:val="20"/>
          <w:szCs w:val="20"/>
          <w:lang w:eastAsia="cs-CZ"/>
        </w:rPr>
        <w:t xml:space="preserve">vzájemně se průběžně </w:t>
      </w:r>
      <w:r w:rsidR="001F3A57" w:rsidRPr="00D63714">
        <w:rPr>
          <w:rFonts w:eastAsia="Times New Roman" w:cs="Arial"/>
          <w:kern w:val="28"/>
          <w:sz w:val="20"/>
          <w:szCs w:val="20"/>
          <w:lang w:eastAsia="cs-CZ"/>
        </w:rPr>
        <w:t xml:space="preserve">informovat o </w:t>
      </w:r>
      <w:r w:rsidR="002F78A4" w:rsidRPr="00D63714">
        <w:rPr>
          <w:rFonts w:eastAsia="Times New Roman" w:cs="Arial"/>
          <w:kern w:val="28"/>
          <w:sz w:val="20"/>
          <w:szCs w:val="20"/>
          <w:lang w:eastAsia="cs-CZ"/>
        </w:rPr>
        <w:t xml:space="preserve">možnosti provedení </w:t>
      </w:r>
      <w:r w:rsidR="000E211C" w:rsidRPr="00D63714">
        <w:rPr>
          <w:rFonts w:eastAsia="Times New Roman" w:cs="Arial"/>
          <w:kern w:val="28"/>
          <w:sz w:val="20"/>
          <w:szCs w:val="20"/>
          <w:lang w:eastAsia="cs-CZ"/>
        </w:rPr>
        <w:t>Závěrečn</w:t>
      </w:r>
      <w:r w:rsidR="00D63714" w:rsidRPr="00D63714">
        <w:rPr>
          <w:rFonts w:eastAsia="Times New Roman" w:cs="Arial"/>
          <w:kern w:val="28"/>
          <w:sz w:val="20"/>
          <w:szCs w:val="20"/>
          <w:lang w:eastAsia="cs-CZ"/>
        </w:rPr>
        <w:t>ých</w:t>
      </w:r>
      <w:r w:rsidR="000E211C" w:rsidRPr="00D63714">
        <w:rPr>
          <w:rFonts w:eastAsia="Times New Roman" w:cs="Arial"/>
          <w:kern w:val="28"/>
          <w:sz w:val="20"/>
          <w:szCs w:val="20"/>
          <w:lang w:eastAsia="cs-CZ"/>
        </w:rPr>
        <w:t xml:space="preserve"> konzultac</w:t>
      </w:r>
      <w:r w:rsidR="00D63714" w:rsidRPr="00D63714">
        <w:rPr>
          <w:rFonts w:eastAsia="Times New Roman" w:cs="Arial"/>
          <w:kern w:val="28"/>
          <w:sz w:val="20"/>
          <w:szCs w:val="20"/>
          <w:lang w:eastAsia="cs-CZ"/>
        </w:rPr>
        <w:t>í, a to</w:t>
      </w:r>
      <w:r w:rsidR="002F78A4" w:rsidRPr="00D63714">
        <w:rPr>
          <w:rFonts w:eastAsia="Times New Roman" w:cs="Arial"/>
          <w:kern w:val="28"/>
          <w:sz w:val="20"/>
          <w:szCs w:val="20"/>
          <w:lang w:eastAsia="cs-CZ"/>
        </w:rPr>
        <w:t xml:space="preserve"> </w:t>
      </w:r>
      <w:r w:rsidR="00B861EA">
        <w:rPr>
          <w:rFonts w:eastAsia="Times New Roman" w:cs="Arial"/>
          <w:kern w:val="28"/>
          <w:sz w:val="20"/>
          <w:szCs w:val="20"/>
          <w:lang w:eastAsia="cs-CZ"/>
        </w:rPr>
        <w:t xml:space="preserve">vždy </w:t>
      </w:r>
      <w:r w:rsidR="000E211C" w:rsidRPr="00D63714">
        <w:rPr>
          <w:rFonts w:eastAsia="Times New Roman" w:cs="Arial"/>
          <w:kern w:val="28"/>
          <w:sz w:val="20"/>
          <w:szCs w:val="20"/>
          <w:lang w:eastAsia="cs-CZ"/>
        </w:rPr>
        <w:t>nejméně jedenkrát měsíčně od května 2020 do</w:t>
      </w:r>
      <w:r w:rsidR="00024EC0">
        <w:rPr>
          <w:rFonts w:eastAsia="Times New Roman" w:cs="Arial"/>
          <w:kern w:val="28"/>
          <w:sz w:val="20"/>
          <w:szCs w:val="20"/>
          <w:lang w:eastAsia="cs-CZ"/>
        </w:rPr>
        <w:t xml:space="preserve"> provedení Závěrečných konzultací, nejpozději však </w:t>
      </w:r>
      <w:r w:rsidR="00024EC0" w:rsidRPr="00EF2594">
        <w:rPr>
          <w:rFonts w:eastAsia="Times New Roman" w:cs="Arial"/>
          <w:kern w:val="28"/>
          <w:sz w:val="20"/>
          <w:szCs w:val="20"/>
          <w:lang w:eastAsia="cs-CZ"/>
        </w:rPr>
        <w:t>do</w:t>
      </w:r>
      <w:r w:rsidR="000E211C" w:rsidRPr="00EF2594">
        <w:rPr>
          <w:rFonts w:eastAsia="Times New Roman" w:cs="Arial"/>
          <w:kern w:val="28"/>
          <w:sz w:val="20"/>
          <w:szCs w:val="20"/>
          <w:lang w:eastAsia="cs-CZ"/>
        </w:rPr>
        <w:t xml:space="preserve"> </w:t>
      </w:r>
      <w:r w:rsidR="005B638D" w:rsidRPr="00EF2594">
        <w:rPr>
          <w:rFonts w:eastAsia="Times New Roman" w:cs="Arial"/>
          <w:kern w:val="28"/>
          <w:sz w:val="20"/>
          <w:szCs w:val="20"/>
          <w:lang w:eastAsia="cs-CZ"/>
        </w:rPr>
        <w:t>30. listopadu</w:t>
      </w:r>
      <w:r w:rsidR="001F3A57" w:rsidRPr="00D63714">
        <w:rPr>
          <w:rFonts w:eastAsia="Times New Roman" w:cs="Arial"/>
          <w:kern w:val="28"/>
          <w:sz w:val="20"/>
          <w:szCs w:val="20"/>
          <w:lang w:eastAsia="cs-CZ"/>
        </w:rPr>
        <w:t>.</w:t>
      </w:r>
      <w:r w:rsidR="008A7159">
        <w:rPr>
          <w:rFonts w:eastAsia="Times New Roman" w:cs="Arial"/>
          <w:kern w:val="28"/>
          <w:sz w:val="20"/>
          <w:szCs w:val="20"/>
          <w:lang w:eastAsia="cs-CZ"/>
        </w:rPr>
        <w:t xml:space="preserve"> </w:t>
      </w:r>
      <w:r w:rsidR="00C1485F" w:rsidRPr="00ED6B99">
        <w:rPr>
          <w:rFonts w:eastAsia="Times New Roman" w:cs="Arial"/>
          <w:kern w:val="28"/>
          <w:sz w:val="20"/>
          <w:szCs w:val="20"/>
          <w:lang w:eastAsia="cs-CZ"/>
        </w:rPr>
        <w:t xml:space="preserve">Povinnosti dle čl. 6.1.4 této Smlouvy se neaplikují </w:t>
      </w:r>
      <w:r w:rsidR="000E65F9" w:rsidRPr="00ED6B99">
        <w:rPr>
          <w:rFonts w:eastAsia="Times New Roman" w:cs="Arial"/>
          <w:kern w:val="28"/>
          <w:sz w:val="20"/>
          <w:szCs w:val="20"/>
          <w:lang w:eastAsia="cs-CZ"/>
        </w:rPr>
        <w:t>ve vztahu k</w:t>
      </w:r>
      <w:r w:rsidR="00C1485F" w:rsidRPr="00ED6B99">
        <w:rPr>
          <w:rFonts w:eastAsia="Times New Roman" w:cs="Arial"/>
          <w:kern w:val="28"/>
          <w:sz w:val="20"/>
          <w:szCs w:val="20"/>
          <w:lang w:eastAsia="cs-CZ"/>
        </w:rPr>
        <w:t xml:space="preserve"> plnění dle čl. 9.6 této Smlouvy a na dobu informování Smluvních stran dle tohoto čl. 9.7.</w:t>
      </w:r>
      <w:r w:rsidR="009E5EB9" w:rsidRPr="00ED6B99">
        <w:rPr>
          <w:rFonts w:eastAsia="Times New Roman" w:cs="Arial"/>
          <w:kern w:val="28"/>
          <w:sz w:val="20"/>
          <w:szCs w:val="20"/>
          <w:lang w:eastAsia="cs-CZ"/>
        </w:rPr>
        <w:t>“</w:t>
      </w:r>
    </w:p>
    <w:p w14:paraId="4D67D88E" w14:textId="77777777" w:rsidR="009E5EB9" w:rsidRPr="00024EC0" w:rsidRDefault="009E5EB9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024EC0">
        <w:rPr>
          <w:rFonts w:eastAsia="Times New Roman" w:cs="Arial"/>
          <w:sz w:val="20"/>
          <w:szCs w:val="20"/>
          <w:lang w:eastAsia="x-none"/>
        </w:rPr>
        <w:t>Článek 10.8 Smlouvy se mění tak, že nově zní:</w:t>
      </w:r>
    </w:p>
    <w:p w14:paraId="23EB9036" w14:textId="77777777" w:rsidR="009E5EB9" w:rsidRPr="009E5EB9" w:rsidRDefault="009E5EB9" w:rsidP="00024F64">
      <w:pPr>
        <w:overflowPunct w:val="0"/>
        <w:autoSpaceDE w:val="0"/>
        <w:autoSpaceDN w:val="0"/>
        <w:adjustRightInd w:val="0"/>
        <w:spacing w:before="120" w:after="120" w:line="28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024EC0">
        <w:rPr>
          <w:rFonts w:eastAsia="Times New Roman" w:cs="Arial"/>
          <w:sz w:val="20"/>
          <w:szCs w:val="20"/>
          <w:lang w:eastAsia="x-none"/>
        </w:rPr>
        <w:t>„10.8.</w:t>
      </w:r>
      <w:r w:rsidRPr="00024EC0">
        <w:rPr>
          <w:rFonts w:eastAsia="Times New Roman" w:cs="Arial"/>
          <w:sz w:val="20"/>
          <w:szCs w:val="20"/>
          <w:lang w:eastAsia="x-none"/>
        </w:rPr>
        <w:tab/>
        <w:t>Přípravný cyklus dramaturgického inkubátoru trvá ode dne účinnosti Smlouvy do konce září 2018; první cyklus dramaturgického inkubátoru trvá od října 2018 do října 2019 a druhý cyklus dramaturgického inkubátoru trvá od dubna 2019 do</w:t>
      </w:r>
      <w:r w:rsidR="00024EC0" w:rsidRPr="00024EC0">
        <w:rPr>
          <w:rFonts w:eastAsia="Times New Roman" w:cs="Arial"/>
          <w:sz w:val="20"/>
          <w:szCs w:val="20"/>
          <w:lang w:eastAsia="x-none"/>
        </w:rPr>
        <w:t xml:space="preserve"> provedení Závěrečných konzultací</w:t>
      </w:r>
      <w:r w:rsidR="00F3304E">
        <w:rPr>
          <w:rFonts w:eastAsia="Times New Roman" w:cs="Arial"/>
          <w:sz w:val="20"/>
          <w:szCs w:val="20"/>
          <w:lang w:eastAsia="x-none"/>
        </w:rPr>
        <w:t>, budou-li sjednány</w:t>
      </w:r>
      <w:r w:rsidR="000E65F9" w:rsidRPr="00F3304E">
        <w:rPr>
          <w:rFonts w:eastAsia="Times New Roman" w:cs="Arial"/>
          <w:sz w:val="20"/>
          <w:szCs w:val="20"/>
          <w:lang w:eastAsia="x-none"/>
        </w:rPr>
        <w:t xml:space="preserve">, </w:t>
      </w:r>
      <w:r w:rsidR="00F3304E" w:rsidRPr="00F3304E">
        <w:rPr>
          <w:rFonts w:eastAsia="Times New Roman" w:cs="Arial"/>
          <w:sz w:val="20"/>
          <w:szCs w:val="20"/>
          <w:lang w:eastAsia="x-none"/>
        </w:rPr>
        <w:t>jinak</w:t>
      </w:r>
      <w:r w:rsidR="000E65F9" w:rsidRPr="00F3304E">
        <w:rPr>
          <w:rFonts w:eastAsia="Times New Roman" w:cs="Arial"/>
          <w:sz w:val="20"/>
          <w:szCs w:val="20"/>
          <w:lang w:eastAsia="x-none"/>
        </w:rPr>
        <w:t xml:space="preserve"> </w:t>
      </w:r>
      <w:r w:rsidR="000E65F9" w:rsidRPr="003040ED">
        <w:rPr>
          <w:rFonts w:eastAsia="Times New Roman" w:cs="Arial"/>
          <w:sz w:val="20"/>
          <w:szCs w:val="20"/>
          <w:lang w:eastAsia="x-none"/>
        </w:rPr>
        <w:t xml:space="preserve">do </w:t>
      </w:r>
      <w:r w:rsidR="00F3304E" w:rsidRPr="003040ED">
        <w:rPr>
          <w:rFonts w:eastAsia="Times New Roman" w:cs="Arial"/>
          <w:sz w:val="20"/>
          <w:szCs w:val="20"/>
          <w:lang w:eastAsia="x-none"/>
        </w:rPr>
        <w:t>15</w:t>
      </w:r>
      <w:r w:rsidR="000E65F9" w:rsidRPr="003040ED">
        <w:rPr>
          <w:rFonts w:eastAsia="Times New Roman" w:cs="Arial"/>
          <w:sz w:val="20"/>
          <w:szCs w:val="20"/>
          <w:lang w:eastAsia="x-none"/>
        </w:rPr>
        <w:t>. prosince 2020</w:t>
      </w:r>
      <w:r w:rsidRPr="003040ED">
        <w:rPr>
          <w:rFonts w:eastAsia="Times New Roman" w:cs="Arial"/>
          <w:sz w:val="20"/>
          <w:szCs w:val="20"/>
          <w:lang w:eastAsia="x-none"/>
        </w:rPr>
        <w:t>.</w:t>
      </w:r>
      <w:r w:rsidRPr="00024EC0">
        <w:rPr>
          <w:rFonts w:eastAsia="Times New Roman" w:cs="Arial"/>
          <w:sz w:val="20"/>
          <w:szCs w:val="20"/>
          <w:lang w:eastAsia="x-none"/>
        </w:rPr>
        <w:t xml:space="preserve"> Bude-li Dodavatel v prodlení s uspořádáním Workshopů či jiným poskytnutím Služeb dle této Smlouvy, prodlužuje se doba trvání toho cyklu dramaturgického inkubátoru, v němž má být Služba poskytnuta, o dobu prodlení Dodavatele.“</w:t>
      </w:r>
    </w:p>
    <w:p w14:paraId="1F082C2E" w14:textId="77777777" w:rsidR="00180169" w:rsidRDefault="00180169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Článek 11.1 Smlouvy se mění tak, že nově zní:</w:t>
      </w:r>
    </w:p>
    <w:p w14:paraId="17939BE8" w14:textId="28415366" w:rsidR="00180169" w:rsidRPr="00CA76C5" w:rsidRDefault="00180169" w:rsidP="00024F64">
      <w:pPr>
        <w:overflowPunct w:val="0"/>
        <w:autoSpaceDE w:val="0"/>
        <w:autoSpaceDN w:val="0"/>
        <w:adjustRightInd w:val="0"/>
        <w:spacing w:before="120" w:after="120" w:line="28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>
        <w:rPr>
          <w:rFonts w:eastAsia="Times New Roman" w:cs="Arial"/>
          <w:sz w:val="20"/>
          <w:szCs w:val="20"/>
          <w:lang w:val="x-none" w:eastAsia="x-none"/>
        </w:rPr>
        <w:t>11.1.</w:t>
      </w:r>
      <w:r>
        <w:rPr>
          <w:rFonts w:eastAsia="Times New Roman" w:cs="Arial"/>
          <w:sz w:val="20"/>
          <w:szCs w:val="20"/>
          <w:lang w:val="x-none" w:eastAsia="x-none"/>
        </w:rPr>
        <w:tab/>
        <w:t xml:space="preserve">Cena za Služby je cena smluvní a celkem činí </w:t>
      </w:r>
      <w:r w:rsidR="00316A14">
        <w:rPr>
          <w:rFonts w:eastAsia="Times New Roman" w:cs="Arial"/>
          <w:sz w:val="20"/>
          <w:szCs w:val="20"/>
          <w:lang w:eastAsia="x-none"/>
        </w:rPr>
        <w:t>14 420</w:t>
      </w:r>
      <w:r w:rsidR="00751B45">
        <w:rPr>
          <w:rFonts w:eastAsia="Times New Roman" w:cs="Arial"/>
          <w:sz w:val="20"/>
          <w:szCs w:val="20"/>
          <w:lang w:eastAsia="x-none"/>
        </w:rPr>
        <w:t xml:space="preserve"> </w:t>
      </w:r>
      <w:r w:rsidR="00316A14">
        <w:rPr>
          <w:rFonts w:eastAsia="Times New Roman" w:cs="Arial"/>
          <w:sz w:val="20"/>
          <w:szCs w:val="20"/>
          <w:lang w:eastAsia="x-none"/>
        </w:rPr>
        <w:t>000</w:t>
      </w:r>
      <w:r>
        <w:rPr>
          <w:rFonts w:eastAsia="Times New Roman" w:cs="Arial"/>
          <w:sz w:val="20"/>
          <w:szCs w:val="20"/>
          <w:lang w:val="x-none" w:eastAsia="x-none"/>
        </w:rPr>
        <w:t xml:space="preserve">,- Kč bez DPH (slovy: </w:t>
      </w:r>
      <w:r w:rsidR="00751B45">
        <w:rPr>
          <w:rFonts w:eastAsia="Times New Roman" w:cs="Arial"/>
          <w:sz w:val="20"/>
          <w:szCs w:val="20"/>
          <w:lang w:eastAsia="x-none"/>
        </w:rPr>
        <w:t>čtrnáct milionů čtyři sta dvacet tisíc</w:t>
      </w:r>
      <w:r>
        <w:rPr>
          <w:rFonts w:eastAsia="Times New Roman" w:cs="Arial"/>
          <w:sz w:val="20"/>
          <w:szCs w:val="20"/>
          <w:lang w:eastAsia="x-none"/>
        </w:rPr>
        <w:t xml:space="preserve"> </w:t>
      </w:r>
      <w:r>
        <w:rPr>
          <w:rFonts w:eastAsia="Times New Roman" w:cs="Arial"/>
          <w:sz w:val="20"/>
          <w:szCs w:val="20"/>
          <w:lang w:val="x-none" w:eastAsia="x-none"/>
        </w:rPr>
        <w:t xml:space="preserve">korun českých) s tím, že výše DPH činí </w:t>
      </w:r>
      <w:r w:rsidR="00751B45">
        <w:rPr>
          <w:rFonts w:eastAsia="Times New Roman" w:cs="Arial"/>
          <w:sz w:val="20"/>
          <w:szCs w:val="20"/>
          <w:lang w:eastAsia="x-none"/>
        </w:rPr>
        <w:t>3 028</w:t>
      </w:r>
      <w:r w:rsidR="00ED6B99">
        <w:rPr>
          <w:rFonts w:eastAsia="Times New Roman" w:cs="Arial"/>
          <w:sz w:val="20"/>
          <w:szCs w:val="20"/>
          <w:lang w:eastAsia="x-none"/>
        </w:rPr>
        <w:t> </w:t>
      </w:r>
      <w:r w:rsidR="00751B45">
        <w:rPr>
          <w:rFonts w:eastAsia="Times New Roman" w:cs="Arial"/>
          <w:sz w:val="20"/>
          <w:szCs w:val="20"/>
          <w:lang w:eastAsia="x-none"/>
        </w:rPr>
        <w:t>200</w:t>
      </w:r>
      <w:r w:rsidR="00ED6B99">
        <w:rPr>
          <w:rFonts w:eastAsia="Times New Roman" w:cs="Arial"/>
          <w:sz w:val="20"/>
          <w:szCs w:val="20"/>
          <w:lang w:eastAsia="x-none"/>
        </w:rPr>
        <w:t>,-</w:t>
      </w:r>
      <w:r>
        <w:rPr>
          <w:rFonts w:eastAsia="Times New Roman" w:cs="Arial"/>
          <w:sz w:val="20"/>
          <w:szCs w:val="20"/>
          <w:lang w:val="x-none" w:eastAsia="x-none"/>
        </w:rPr>
        <w:t xml:space="preserve"> Kč a cena celkem činí </w:t>
      </w:r>
      <w:r w:rsidR="00751B45">
        <w:rPr>
          <w:rFonts w:eastAsia="Times New Roman" w:cs="Arial"/>
          <w:sz w:val="20"/>
          <w:szCs w:val="20"/>
          <w:lang w:eastAsia="x-none"/>
        </w:rPr>
        <w:t>17 448</w:t>
      </w:r>
      <w:r w:rsidR="00ED6B99">
        <w:rPr>
          <w:rFonts w:eastAsia="Times New Roman" w:cs="Arial"/>
          <w:sz w:val="20"/>
          <w:szCs w:val="20"/>
          <w:lang w:eastAsia="x-none"/>
        </w:rPr>
        <w:t> </w:t>
      </w:r>
      <w:r w:rsidR="00751B45">
        <w:rPr>
          <w:rFonts w:eastAsia="Times New Roman" w:cs="Arial"/>
          <w:sz w:val="20"/>
          <w:szCs w:val="20"/>
          <w:lang w:eastAsia="x-none"/>
        </w:rPr>
        <w:t>200</w:t>
      </w:r>
      <w:r w:rsidR="00ED6B99">
        <w:rPr>
          <w:rFonts w:eastAsia="Times New Roman" w:cs="Arial"/>
          <w:sz w:val="20"/>
          <w:szCs w:val="20"/>
          <w:lang w:eastAsia="x-none"/>
        </w:rPr>
        <w:t>,-</w:t>
      </w:r>
      <w:r w:rsidR="00751B45">
        <w:rPr>
          <w:rFonts w:eastAsia="Times New Roman" w:cs="Arial"/>
          <w:sz w:val="20"/>
          <w:szCs w:val="20"/>
          <w:lang w:eastAsia="x-none"/>
        </w:rPr>
        <w:t xml:space="preserve"> </w:t>
      </w:r>
      <w:r>
        <w:rPr>
          <w:rFonts w:eastAsia="Times New Roman" w:cs="Arial"/>
          <w:sz w:val="20"/>
          <w:szCs w:val="20"/>
          <w:lang w:val="x-none" w:eastAsia="x-none"/>
        </w:rPr>
        <w:t>Kč včetně DPH. Cena je tvořena součtem Dílčích cen. Cena včetně Dílčích cen a daně z přidané hodnoty se vždy hradí v korunách českých.</w:t>
      </w:r>
      <w:r w:rsidR="00CA76C5">
        <w:rPr>
          <w:rFonts w:eastAsia="Times New Roman" w:cs="Arial"/>
          <w:sz w:val="20"/>
          <w:szCs w:val="20"/>
          <w:lang w:eastAsia="x-none"/>
        </w:rPr>
        <w:t>“</w:t>
      </w:r>
    </w:p>
    <w:p w14:paraId="14D0D9CB" w14:textId="77777777" w:rsidR="00736E34" w:rsidRPr="00D45CB2" w:rsidRDefault="00C04B9A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Článek </w:t>
      </w:r>
      <w:r w:rsidR="00780C64">
        <w:rPr>
          <w:rFonts w:eastAsia="Times New Roman" w:cs="Arial"/>
          <w:sz w:val="20"/>
          <w:szCs w:val="20"/>
          <w:lang w:eastAsia="x-none"/>
        </w:rPr>
        <w:t>11.</w:t>
      </w:r>
      <w:r w:rsidR="0018258F">
        <w:rPr>
          <w:rFonts w:eastAsia="Times New Roman" w:cs="Arial"/>
          <w:sz w:val="20"/>
          <w:szCs w:val="20"/>
          <w:lang w:eastAsia="x-none"/>
        </w:rPr>
        <w:t>7.</w:t>
      </w:r>
      <w:r w:rsidR="00780C64">
        <w:rPr>
          <w:rFonts w:eastAsia="Times New Roman" w:cs="Arial"/>
          <w:sz w:val="20"/>
          <w:szCs w:val="20"/>
          <w:lang w:eastAsia="x-none"/>
        </w:rPr>
        <w:t>7</w:t>
      </w:r>
      <w:r>
        <w:rPr>
          <w:rFonts w:eastAsia="Times New Roman" w:cs="Arial"/>
          <w:sz w:val="20"/>
          <w:szCs w:val="20"/>
          <w:lang w:eastAsia="x-none"/>
        </w:rPr>
        <w:t xml:space="preserve"> Smlouvy se mění tak, že </w:t>
      </w:r>
      <w:r w:rsidR="0018258F">
        <w:rPr>
          <w:rFonts w:eastAsia="Times New Roman" w:cs="Arial"/>
          <w:sz w:val="20"/>
          <w:szCs w:val="20"/>
          <w:lang w:eastAsia="x-none"/>
        </w:rPr>
        <w:t>nově zní</w:t>
      </w:r>
      <w:r w:rsidR="00D45CB2">
        <w:rPr>
          <w:rFonts w:eastAsia="Times New Roman" w:cs="Arial"/>
          <w:sz w:val="20"/>
          <w:szCs w:val="20"/>
          <w:lang w:eastAsia="x-none"/>
        </w:rPr>
        <w:t>:</w:t>
      </w:r>
    </w:p>
    <w:p w14:paraId="2B3FF14D" w14:textId="5D11D115" w:rsidR="00D45CB2" w:rsidRDefault="005D65EB" w:rsidP="00024F64">
      <w:pPr>
        <w:overflowPunct w:val="0"/>
        <w:autoSpaceDE w:val="0"/>
        <w:autoSpaceDN w:val="0"/>
        <w:adjustRightInd w:val="0"/>
        <w:spacing w:before="120" w:after="120" w:line="28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="00D45CB2">
        <w:rPr>
          <w:rFonts w:eastAsia="Times New Roman" w:cs="Arial"/>
          <w:sz w:val="20"/>
          <w:szCs w:val="20"/>
          <w:lang w:eastAsia="x-none"/>
        </w:rPr>
        <w:t xml:space="preserve">11.7.7. </w:t>
      </w:r>
      <w:r w:rsidR="00D45CB2" w:rsidRPr="00D45CB2">
        <w:rPr>
          <w:rFonts w:eastAsia="Times New Roman" w:cs="Arial"/>
          <w:sz w:val="20"/>
          <w:szCs w:val="20"/>
          <w:lang w:eastAsia="x-none"/>
        </w:rPr>
        <w:t xml:space="preserve">ve výši </w:t>
      </w:r>
      <w:r w:rsidR="0036260E">
        <w:rPr>
          <w:rFonts w:eastAsia="Times New Roman" w:cs="Arial"/>
          <w:sz w:val="20"/>
          <w:szCs w:val="20"/>
          <w:lang w:eastAsia="x-none"/>
        </w:rPr>
        <w:t>375 000</w:t>
      </w:r>
      <w:r w:rsidR="00D45CB2" w:rsidRPr="00D45CB2">
        <w:rPr>
          <w:rFonts w:eastAsia="Times New Roman" w:cs="Arial"/>
          <w:sz w:val="20"/>
          <w:szCs w:val="20"/>
          <w:lang w:eastAsia="x-none"/>
        </w:rPr>
        <w:t>,- Kč (</w:t>
      </w:r>
      <w:r w:rsidR="00751B45">
        <w:rPr>
          <w:rFonts w:eastAsia="Times New Roman" w:cs="Arial"/>
          <w:sz w:val="20"/>
          <w:szCs w:val="20"/>
          <w:lang w:eastAsia="x-none"/>
        </w:rPr>
        <w:t>tři sta sedmdesát pět tisíc</w:t>
      </w:r>
      <w:r w:rsidR="00D45CB2" w:rsidRPr="00D45CB2">
        <w:rPr>
          <w:rFonts w:eastAsia="Times New Roman" w:cs="Arial"/>
          <w:sz w:val="20"/>
          <w:szCs w:val="20"/>
          <w:lang w:eastAsia="x-none"/>
        </w:rPr>
        <w:t xml:space="preserve"> korun českých) za </w:t>
      </w:r>
      <w:r w:rsidR="00400B1E">
        <w:rPr>
          <w:rFonts w:eastAsia="Times New Roman" w:cs="Arial"/>
          <w:sz w:val="20"/>
          <w:szCs w:val="20"/>
          <w:lang w:eastAsia="x-none"/>
        </w:rPr>
        <w:t xml:space="preserve">plnění </w:t>
      </w:r>
      <w:r w:rsidR="00D45CB2" w:rsidRPr="00D45CB2">
        <w:rPr>
          <w:rFonts w:eastAsia="Times New Roman" w:cs="Arial"/>
          <w:sz w:val="20"/>
          <w:szCs w:val="20"/>
          <w:lang w:eastAsia="x-none"/>
        </w:rPr>
        <w:t>dle čl. 9.</w:t>
      </w:r>
      <w:r w:rsidR="00D45CB2">
        <w:rPr>
          <w:rFonts w:eastAsia="Times New Roman" w:cs="Arial"/>
          <w:sz w:val="20"/>
          <w:szCs w:val="20"/>
          <w:lang w:eastAsia="x-none"/>
        </w:rPr>
        <w:t>6</w:t>
      </w:r>
      <w:r w:rsidR="00D45CB2" w:rsidRPr="00D45CB2">
        <w:rPr>
          <w:rFonts w:eastAsia="Times New Roman" w:cs="Arial"/>
          <w:sz w:val="20"/>
          <w:szCs w:val="20"/>
          <w:lang w:eastAsia="x-none"/>
        </w:rPr>
        <w:t xml:space="preserve"> Smlouvy</w:t>
      </w:r>
      <w:r w:rsidR="00D45CB2">
        <w:rPr>
          <w:rFonts w:eastAsia="Times New Roman" w:cs="Arial"/>
          <w:sz w:val="20"/>
          <w:szCs w:val="20"/>
          <w:lang w:eastAsia="x-none"/>
        </w:rPr>
        <w:t>.“</w:t>
      </w:r>
    </w:p>
    <w:p w14:paraId="4F18E56C" w14:textId="77777777" w:rsidR="00403F31" w:rsidRPr="00895575" w:rsidRDefault="00895575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03788E">
        <w:rPr>
          <w:rFonts w:eastAsia="Times New Roman" w:cs="Arial"/>
          <w:sz w:val="20"/>
          <w:szCs w:val="20"/>
          <w:lang w:eastAsia="x-none"/>
        </w:rPr>
        <w:t xml:space="preserve">Článek </w:t>
      </w:r>
      <w:r>
        <w:rPr>
          <w:rFonts w:eastAsia="Times New Roman" w:cs="Arial"/>
          <w:sz w:val="20"/>
          <w:szCs w:val="20"/>
          <w:lang w:eastAsia="x-none"/>
        </w:rPr>
        <w:t>13.1.8</w:t>
      </w:r>
      <w:r w:rsidRPr="0003788E">
        <w:rPr>
          <w:rFonts w:eastAsia="Times New Roman" w:cs="Arial"/>
          <w:sz w:val="20"/>
          <w:szCs w:val="20"/>
          <w:lang w:eastAsia="x-none"/>
        </w:rPr>
        <w:t xml:space="preserve"> Smlouvy se mění tak, že nově zní:</w:t>
      </w:r>
    </w:p>
    <w:p w14:paraId="092640E5" w14:textId="77777777" w:rsidR="00895575" w:rsidRDefault="00895575" w:rsidP="00024F64">
      <w:pPr>
        <w:overflowPunct w:val="0"/>
        <w:autoSpaceDE w:val="0"/>
        <w:autoSpaceDN w:val="0"/>
        <w:adjustRightInd w:val="0"/>
        <w:spacing w:before="120" w:after="120" w:line="28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lastRenderedPageBreak/>
        <w:t xml:space="preserve">„13.1.8 </w:t>
      </w:r>
      <w:r w:rsidRPr="00895575">
        <w:rPr>
          <w:rFonts w:eastAsia="Times New Roman" w:cs="Arial"/>
          <w:sz w:val="20"/>
          <w:szCs w:val="20"/>
          <w:lang w:eastAsia="x-none"/>
        </w:rPr>
        <w:t xml:space="preserve">uspořádat kterýkoliv Workshop dle Smlouvy (Přípravný workshop dle čl. 6.4 Smlouvy; První hlavní workshop dle čl. 8.1 Smlouvy; První </w:t>
      </w:r>
      <w:proofErr w:type="spellStart"/>
      <w:r w:rsidRPr="00895575">
        <w:rPr>
          <w:rFonts w:eastAsia="Times New Roman" w:cs="Arial"/>
          <w:sz w:val="20"/>
          <w:szCs w:val="20"/>
          <w:lang w:eastAsia="x-none"/>
        </w:rPr>
        <w:t>follow</w:t>
      </w:r>
      <w:proofErr w:type="spellEnd"/>
      <w:r w:rsidRPr="00895575">
        <w:rPr>
          <w:rFonts w:eastAsia="Times New Roman" w:cs="Arial"/>
          <w:sz w:val="20"/>
          <w:szCs w:val="20"/>
          <w:lang w:eastAsia="x-none"/>
        </w:rPr>
        <w:t xml:space="preserve"> up workshop dle čl. 8.4 Smlouvy; </w:t>
      </w:r>
      <w:proofErr w:type="spellStart"/>
      <w:r w:rsidRPr="00895575">
        <w:rPr>
          <w:rFonts w:eastAsia="Times New Roman" w:cs="Arial"/>
          <w:sz w:val="20"/>
          <w:szCs w:val="20"/>
          <w:lang w:eastAsia="x-none"/>
        </w:rPr>
        <w:t>Wrap</w:t>
      </w:r>
      <w:proofErr w:type="spellEnd"/>
      <w:r w:rsidRPr="00895575">
        <w:rPr>
          <w:rFonts w:eastAsia="Times New Roman" w:cs="Arial"/>
          <w:sz w:val="20"/>
          <w:szCs w:val="20"/>
          <w:lang w:eastAsia="x-none"/>
        </w:rPr>
        <w:t xml:space="preserve"> up workshop dle čl. 8.6 Smlouvy; Druhý hlavní workshop dle čl. 9.1 Smlouvy; Druhý </w:t>
      </w:r>
      <w:proofErr w:type="spellStart"/>
      <w:r w:rsidRPr="00895575">
        <w:rPr>
          <w:rFonts w:eastAsia="Times New Roman" w:cs="Arial"/>
          <w:sz w:val="20"/>
          <w:szCs w:val="20"/>
          <w:lang w:eastAsia="x-none"/>
        </w:rPr>
        <w:t>follow</w:t>
      </w:r>
      <w:proofErr w:type="spellEnd"/>
      <w:r w:rsidRPr="00895575">
        <w:rPr>
          <w:rFonts w:eastAsia="Times New Roman" w:cs="Arial"/>
          <w:sz w:val="20"/>
          <w:szCs w:val="20"/>
          <w:lang w:eastAsia="x-none"/>
        </w:rPr>
        <w:t xml:space="preserve"> up workshop dle čl. 9.4 Smlouvy)</w:t>
      </w:r>
      <w:r w:rsidR="004C57CA">
        <w:rPr>
          <w:rFonts w:eastAsia="Times New Roman" w:cs="Arial"/>
          <w:sz w:val="20"/>
          <w:szCs w:val="20"/>
          <w:lang w:eastAsia="x-none"/>
        </w:rPr>
        <w:t>.“</w:t>
      </w:r>
    </w:p>
    <w:p w14:paraId="1B9450CF" w14:textId="77777777" w:rsidR="0061059D" w:rsidRPr="00780A3F" w:rsidRDefault="0061059D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BA219E">
        <w:rPr>
          <w:rFonts w:eastAsia="Times New Roman" w:cs="Arial"/>
          <w:sz w:val="20"/>
          <w:szCs w:val="20"/>
          <w:lang w:eastAsia="x-none"/>
        </w:rPr>
        <w:t xml:space="preserve">Za ustanovení článku </w:t>
      </w:r>
      <w:r>
        <w:rPr>
          <w:rFonts w:eastAsia="Times New Roman" w:cs="Arial"/>
          <w:sz w:val="20"/>
          <w:szCs w:val="20"/>
          <w:lang w:eastAsia="x-none"/>
        </w:rPr>
        <w:t>13.3.6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Smlouvy se </w:t>
      </w:r>
      <w:r w:rsidRPr="00A26DEA">
        <w:rPr>
          <w:rFonts w:eastAsia="Times New Roman" w:cs="Arial"/>
          <w:sz w:val="20"/>
          <w:szCs w:val="20"/>
          <w:lang w:eastAsia="x-none"/>
        </w:rPr>
        <w:t>vklád</w:t>
      </w:r>
      <w:r>
        <w:rPr>
          <w:rFonts w:eastAsia="Times New Roman" w:cs="Arial"/>
          <w:sz w:val="20"/>
          <w:szCs w:val="20"/>
          <w:lang w:eastAsia="x-none"/>
        </w:rPr>
        <w:t>á nový článe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k </w:t>
      </w:r>
      <w:r>
        <w:rPr>
          <w:rFonts w:eastAsia="Times New Roman" w:cs="Arial"/>
          <w:sz w:val="20"/>
          <w:szCs w:val="20"/>
          <w:lang w:eastAsia="x-none"/>
        </w:rPr>
        <w:t>13.3.7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 Smlouvy v tomto znění</w:t>
      </w:r>
      <w:r>
        <w:rPr>
          <w:rFonts w:eastAsia="Times New Roman" w:cs="Arial"/>
          <w:sz w:val="20"/>
          <w:szCs w:val="20"/>
          <w:lang w:eastAsia="x-none"/>
        </w:rPr>
        <w:t>:</w:t>
      </w:r>
    </w:p>
    <w:p w14:paraId="23ECD0D8" w14:textId="77777777" w:rsidR="0061059D" w:rsidRPr="00403F31" w:rsidRDefault="0061059D" w:rsidP="00024F64">
      <w:pPr>
        <w:overflowPunct w:val="0"/>
        <w:autoSpaceDE w:val="0"/>
        <w:autoSpaceDN w:val="0"/>
        <w:adjustRightInd w:val="0"/>
        <w:spacing w:before="120" w:after="120" w:line="28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Pr="00780A3F">
        <w:rPr>
          <w:rFonts w:eastAsia="Times New Roman" w:cs="Arial"/>
          <w:sz w:val="20"/>
          <w:szCs w:val="20"/>
          <w:lang w:eastAsia="x-none"/>
        </w:rPr>
        <w:t>13.3.</w:t>
      </w:r>
      <w:r w:rsidR="005D65EB">
        <w:rPr>
          <w:rFonts w:eastAsia="Times New Roman" w:cs="Arial"/>
          <w:sz w:val="20"/>
          <w:szCs w:val="20"/>
          <w:lang w:eastAsia="x-none"/>
        </w:rPr>
        <w:t>7</w:t>
      </w:r>
      <w:r w:rsidRPr="00780A3F">
        <w:rPr>
          <w:rFonts w:eastAsia="Times New Roman" w:cs="Arial"/>
          <w:sz w:val="20"/>
          <w:szCs w:val="20"/>
          <w:lang w:eastAsia="x-none"/>
        </w:rPr>
        <w:t>.</w:t>
      </w:r>
      <w:r w:rsidRPr="00780A3F">
        <w:rPr>
          <w:rFonts w:eastAsia="Times New Roman" w:cs="Arial"/>
          <w:sz w:val="20"/>
          <w:szCs w:val="20"/>
          <w:lang w:eastAsia="x-none"/>
        </w:rPr>
        <w:tab/>
        <w:t>poskytnout konzultaci dle čl. 9.</w:t>
      </w:r>
      <w:r>
        <w:rPr>
          <w:rFonts w:eastAsia="Times New Roman" w:cs="Arial"/>
          <w:sz w:val="20"/>
          <w:szCs w:val="20"/>
          <w:lang w:eastAsia="x-none"/>
        </w:rPr>
        <w:t>6</w:t>
      </w:r>
      <w:r w:rsidRPr="00780A3F">
        <w:rPr>
          <w:rFonts w:eastAsia="Times New Roman" w:cs="Arial"/>
          <w:sz w:val="20"/>
          <w:szCs w:val="20"/>
          <w:lang w:eastAsia="x-none"/>
        </w:rPr>
        <w:t xml:space="preserve"> Smlouvy</w:t>
      </w:r>
      <w:r>
        <w:rPr>
          <w:rFonts w:eastAsia="Times New Roman" w:cs="Arial"/>
          <w:sz w:val="20"/>
          <w:szCs w:val="20"/>
          <w:lang w:eastAsia="x-none"/>
        </w:rPr>
        <w:t>.“</w:t>
      </w:r>
    </w:p>
    <w:p w14:paraId="4F14B86C" w14:textId="77777777" w:rsidR="007B297F" w:rsidRPr="007B297F" w:rsidRDefault="00314450" w:rsidP="007B297F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80" w:lineRule="atLeast"/>
        <w:ind w:left="709" w:hanging="709"/>
        <w:rPr>
          <w:rFonts w:ascii="Arial" w:hAnsi="Arial" w:cs="Arial"/>
          <w:b/>
          <w:caps/>
          <w:szCs w:val="20"/>
        </w:rPr>
      </w:pPr>
      <w:r w:rsidRPr="00B33002">
        <w:rPr>
          <w:rFonts w:ascii="Arial" w:hAnsi="Arial" w:cs="Arial"/>
          <w:b/>
          <w:caps/>
          <w:szCs w:val="20"/>
        </w:rPr>
        <w:t>Závěrečná ustanovení</w:t>
      </w:r>
    </w:p>
    <w:p w14:paraId="68F3EBC9" w14:textId="77777777" w:rsidR="00CB41A9" w:rsidRPr="007A0987" w:rsidRDefault="00CB41A9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>Ostatní ustanovení Smlouvy nedotčená tímto Dodatkem zůstávají v platnosti a účinnosti beze změny.</w:t>
      </w:r>
      <w:r w:rsidR="007A0987">
        <w:rPr>
          <w:rFonts w:eastAsia="Times New Roman" w:cs="Arial"/>
          <w:sz w:val="20"/>
          <w:szCs w:val="20"/>
          <w:lang w:eastAsia="x-none"/>
        </w:rPr>
        <w:t xml:space="preserve"> </w:t>
      </w:r>
    </w:p>
    <w:p w14:paraId="70A97514" w14:textId="77777777" w:rsidR="007B297F" w:rsidRDefault="007B297F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Smluvní strany </w:t>
      </w:r>
      <w:r w:rsidR="005A4166">
        <w:rPr>
          <w:rFonts w:eastAsia="Times New Roman" w:cs="Arial"/>
          <w:sz w:val="20"/>
          <w:szCs w:val="20"/>
          <w:lang w:eastAsia="x-none"/>
        </w:rPr>
        <w:t>sjednávají</w:t>
      </w:r>
      <w:r>
        <w:rPr>
          <w:rFonts w:eastAsia="Times New Roman" w:cs="Arial"/>
          <w:sz w:val="20"/>
          <w:szCs w:val="20"/>
          <w:lang w:eastAsia="x-none"/>
        </w:rPr>
        <w:t>, že bylo-li již</w:t>
      </w:r>
      <w:r w:rsidR="004503D4">
        <w:rPr>
          <w:rFonts w:eastAsia="Times New Roman" w:cs="Arial"/>
          <w:sz w:val="20"/>
          <w:szCs w:val="20"/>
          <w:lang w:eastAsia="x-none"/>
        </w:rPr>
        <w:t xml:space="preserve"> Dodavatelem</w:t>
      </w:r>
      <w:r>
        <w:rPr>
          <w:rFonts w:eastAsia="Times New Roman" w:cs="Arial"/>
          <w:sz w:val="20"/>
          <w:szCs w:val="20"/>
          <w:lang w:eastAsia="x-none"/>
        </w:rPr>
        <w:t xml:space="preserve"> </w:t>
      </w:r>
      <w:r w:rsidR="00CF5E62">
        <w:rPr>
          <w:rFonts w:eastAsia="Times New Roman" w:cs="Arial"/>
          <w:sz w:val="20"/>
          <w:szCs w:val="20"/>
          <w:lang w:eastAsia="x-none"/>
        </w:rPr>
        <w:t xml:space="preserve">před účinností tohoto Dodatku </w:t>
      </w:r>
      <w:r>
        <w:rPr>
          <w:rFonts w:eastAsia="Times New Roman" w:cs="Arial"/>
          <w:sz w:val="20"/>
          <w:szCs w:val="20"/>
          <w:lang w:eastAsia="x-none"/>
        </w:rPr>
        <w:t>započato plnění</w:t>
      </w:r>
      <w:r w:rsidR="00CF5E62">
        <w:rPr>
          <w:rFonts w:eastAsia="Times New Roman" w:cs="Arial"/>
          <w:sz w:val="20"/>
          <w:szCs w:val="20"/>
          <w:lang w:eastAsia="x-none"/>
        </w:rPr>
        <w:t xml:space="preserve"> dle</w:t>
      </w:r>
      <w:r>
        <w:rPr>
          <w:rFonts w:eastAsia="Times New Roman" w:cs="Arial"/>
          <w:sz w:val="20"/>
          <w:szCs w:val="20"/>
          <w:lang w:eastAsia="x-none"/>
        </w:rPr>
        <w:t xml:space="preserve"> čl. 9.6 Smlouvy sjednané tímto Dodatkem, </w:t>
      </w:r>
      <w:r w:rsidR="004503D4">
        <w:rPr>
          <w:rFonts w:eastAsia="Times New Roman" w:cs="Arial"/>
          <w:sz w:val="20"/>
          <w:szCs w:val="20"/>
          <w:lang w:eastAsia="x-none"/>
        </w:rPr>
        <w:t xml:space="preserve">platí, že takové plnění Dodavatele je zahrnuto v ceně dle čl. 11.7.7 Smlouvy </w:t>
      </w:r>
      <w:r w:rsidR="00CF5E62">
        <w:rPr>
          <w:rFonts w:eastAsia="Times New Roman" w:cs="Arial"/>
          <w:sz w:val="20"/>
          <w:szCs w:val="20"/>
          <w:lang w:eastAsia="x-none"/>
        </w:rPr>
        <w:t>a započítává se do limitů dle čl. 9.6 Smlouvy, čímž je takové plnění mezi Smluvními stranami vypořádáno.</w:t>
      </w:r>
    </w:p>
    <w:p w14:paraId="2FFD7228" w14:textId="77777777" w:rsidR="00314450" w:rsidRPr="002A3821" w:rsidRDefault="00314450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Tento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>D</w:t>
      </w:r>
      <w:proofErr w:type="spellStart"/>
      <w:r w:rsidRPr="002A3821">
        <w:rPr>
          <w:rFonts w:eastAsia="Times New Roman" w:cs="Arial"/>
          <w:sz w:val="20"/>
          <w:szCs w:val="20"/>
          <w:lang w:val="x-none" w:eastAsia="x-none"/>
        </w:rPr>
        <w:t>odatek</w:t>
      </w:r>
      <w:proofErr w:type="spellEnd"/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 nabývá platnosti dnem jeho podpisu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oběma </w:t>
      </w:r>
      <w:r w:rsidRPr="002A3821">
        <w:rPr>
          <w:rFonts w:eastAsia="Times New Roman" w:cs="Arial"/>
          <w:sz w:val="20"/>
          <w:szCs w:val="20"/>
          <w:lang w:val="x-none" w:eastAsia="x-none"/>
        </w:rPr>
        <w:t>Smluvními stranami</w:t>
      </w:r>
      <w:r w:rsidR="00157584">
        <w:rPr>
          <w:rFonts w:eastAsia="Times New Roman" w:cs="Arial"/>
          <w:sz w:val="20"/>
          <w:szCs w:val="20"/>
          <w:lang w:val="x-none" w:eastAsia="x-none"/>
        </w:rPr>
        <w:t xml:space="preserve"> a účinnosti dnem uveřejnění </w:t>
      </w:r>
      <w:r w:rsidR="00157584">
        <w:rPr>
          <w:rFonts w:eastAsia="Times New Roman" w:cs="Arial"/>
          <w:sz w:val="20"/>
          <w:szCs w:val="20"/>
          <w:lang w:eastAsia="x-none"/>
        </w:rPr>
        <w:t>prostřednictvím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> </w:t>
      </w:r>
      <w:r w:rsidR="00B33002" w:rsidRPr="002A3821">
        <w:rPr>
          <w:rFonts w:eastAsia="Times New Roman" w:cs="Arial"/>
          <w:sz w:val="20"/>
          <w:szCs w:val="20"/>
          <w:lang w:val="x-none" w:eastAsia="x-none"/>
        </w:rPr>
        <w:t>registru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 xml:space="preserve"> smluv dle zákona č. 340/2015 Sb</w:t>
      </w:r>
      <w:r w:rsidR="008B2945" w:rsidRPr="002A3821">
        <w:rPr>
          <w:rFonts w:eastAsia="Times New Roman" w:cs="Arial"/>
          <w:sz w:val="20"/>
          <w:szCs w:val="20"/>
          <w:lang w:eastAsia="x-none"/>
        </w:rPr>
        <w:t>.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 xml:space="preserve"> ve znění pozdějších předpisů</w:t>
      </w:r>
      <w:r w:rsidRPr="002A3821">
        <w:rPr>
          <w:rFonts w:eastAsia="Times New Roman" w:cs="Arial"/>
          <w:sz w:val="20"/>
          <w:szCs w:val="20"/>
          <w:lang w:val="x-none" w:eastAsia="x-none"/>
        </w:rPr>
        <w:t>.</w:t>
      </w:r>
    </w:p>
    <w:p w14:paraId="291145F8" w14:textId="77777777" w:rsidR="00763EA1" w:rsidRPr="002A3821" w:rsidRDefault="00621890" w:rsidP="00024F6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8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>Dodatek je vyhotoven</w:t>
      </w:r>
      <w:r w:rsidR="009B0266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ve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 xml:space="preserve">dvou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stejnopisech s platností originálu, přičemž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 xml:space="preserve">každá Smluvní strana </w:t>
      </w:r>
      <w:r w:rsidR="00A96EB5" w:rsidRPr="002A3821">
        <w:rPr>
          <w:rFonts w:eastAsia="Times New Roman" w:cs="Arial"/>
          <w:sz w:val="20"/>
          <w:szCs w:val="20"/>
          <w:lang w:eastAsia="x-none"/>
        </w:rPr>
        <w:t xml:space="preserve">obdrží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>po jednom stejnopisu</w:t>
      </w:r>
      <w:r w:rsidR="00007669" w:rsidRPr="002A3821">
        <w:rPr>
          <w:rFonts w:eastAsia="Times New Roman" w:cs="Arial"/>
          <w:sz w:val="20"/>
          <w:szCs w:val="20"/>
          <w:lang w:val="x-none" w:eastAsia="x-none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045ABF" w:rsidRPr="002A3821" w14:paraId="47CFBD47" w14:textId="77777777" w:rsidTr="00E6798F">
        <w:tc>
          <w:tcPr>
            <w:tcW w:w="4527" w:type="dxa"/>
          </w:tcPr>
          <w:p w14:paraId="16B601FB" w14:textId="77777777" w:rsidR="00045ABF" w:rsidRPr="002A3821" w:rsidRDefault="00045ABF" w:rsidP="00024F64">
            <w:pPr>
              <w:spacing w:line="28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b/>
                <w:color w:val="000000"/>
                <w:sz w:val="20"/>
                <w:szCs w:val="20"/>
              </w:rPr>
              <w:t>Objednatel</w:t>
            </w:r>
          </w:p>
          <w:p w14:paraId="5F76A737" w14:textId="77777777" w:rsidR="00045ABF" w:rsidRPr="002A3821" w:rsidRDefault="00045ABF" w:rsidP="00024F64">
            <w:pPr>
              <w:spacing w:line="28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14:paraId="65F9C930" w14:textId="77777777" w:rsidR="0093415F" w:rsidRPr="002A3821" w:rsidRDefault="00E4523E" w:rsidP="00024F64">
            <w:pPr>
              <w:spacing w:line="28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 xml:space="preserve">V Praze dne </w:t>
            </w:r>
            <w:r w:rsidR="00157584" w:rsidRPr="00755EF9">
              <w:rPr>
                <w:rFonts w:cs="Arial"/>
                <w:color w:val="000000"/>
                <w:sz w:val="20"/>
                <w:szCs w:val="20"/>
              </w:rPr>
              <w:t>_</w:t>
            </w:r>
            <w:proofErr w:type="gramStart"/>
            <w:r w:rsidR="00157584" w:rsidRPr="00755EF9">
              <w:rPr>
                <w:rFonts w:cs="Arial"/>
                <w:color w:val="000000"/>
                <w:sz w:val="20"/>
                <w:szCs w:val="20"/>
              </w:rPr>
              <w:t>_._</w:t>
            </w:r>
            <w:proofErr w:type="gramEnd"/>
            <w:r w:rsidR="00157584" w:rsidRPr="00755EF9">
              <w:rPr>
                <w:rFonts w:cs="Arial"/>
                <w:color w:val="000000"/>
                <w:sz w:val="20"/>
                <w:szCs w:val="20"/>
              </w:rPr>
              <w:t>_</w:t>
            </w:r>
            <w:r w:rsidR="006D7023">
              <w:rPr>
                <w:rFonts w:cs="Arial"/>
                <w:color w:val="000000"/>
                <w:sz w:val="20"/>
                <w:szCs w:val="20"/>
              </w:rPr>
              <w:t>.</w:t>
            </w:r>
            <w:r w:rsidR="00D8054E">
              <w:rPr>
                <w:rFonts w:cs="Arial"/>
                <w:color w:val="000000"/>
                <w:sz w:val="20"/>
                <w:szCs w:val="20"/>
              </w:rPr>
              <w:t xml:space="preserve"> 20</w:t>
            </w:r>
            <w:r w:rsidR="001837DA">
              <w:rPr>
                <w:rFonts w:cs="Arial"/>
                <w:color w:val="000000"/>
                <w:sz w:val="20"/>
                <w:szCs w:val="20"/>
              </w:rPr>
              <w:t>20</w:t>
            </w:r>
          </w:p>
          <w:p w14:paraId="3AA818F8" w14:textId="77777777" w:rsidR="00763EA1" w:rsidRDefault="00763EA1" w:rsidP="00024F64">
            <w:pPr>
              <w:spacing w:line="28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14:paraId="5DD2B676" w14:textId="77777777" w:rsidR="008A4F1A" w:rsidRPr="002A3821" w:rsidRDefault="008A4F1A" w:rsidP="00024F64">
            <w:pPr>
              <w:spacing w:line="28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14:paraId="77AEBAEF" w14:textId="77777777" w:rsidR="0093415F" w:rsidRPr="002A3821" w:rsidRDefault="0093415F" w:rsidP="00024F64">
            <w:pPr>
              <w:spacing w:line="28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27" w:type="dxa"/>
          </w:tcPr>
          <w:p w14:paraId="05465C83" w14:textId="77777777" w:rsidR="00045ABF" w:rsidRPr="002A3821" w:rsidRDefault="00E4523E" w:rsidP="00024F64">
            <w:pPr>
              <w:spacing w:line="28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b/>
                <w:color w:val="000000"/>
                <w:sz w:val="20"/>
                <w:szCs w:val="20"/>
              </w:rPr>
              <w:t>Dodavatel</w:t>
            </w:r>
          </w:p>
          <w:p w14:paraId="7757C077" w14:textId="77777777" w:rsidR="00045ABF" w:rsidRPr="002A3821" w:rsidRDefault="00045ABF" w:rsidP="00024F64">
            <w:pPr>
              <w:spacing w:line="28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14:paraId="7C7F7BE1" w14:textId="77777777" w:rsidR="00045ABF" w:rsidRPr="002A3821" w:rsidRDefault="00E4523E" w:rsidP="00024F64">
            <w:pPr>
              <w:spacing w:line="280" w:lineRule="atLeast"/>
            </w:pPr>
            <w:r w:rsidRPr="006D7023">
              <w:rPr>
                <w:rFonts w:cs="Arial"/>
                <w:color w:val="000000"/>
                <w:sz w:val="20"/>
                <w:szCs w:val="20"/>
              </w:rPr>
              <w:t xml:space="preserve">V Praze dne </w:t>
            </w:r>
            <w:r w:rsidR="00157584" w:rsidRPr="00755EF9">
              <w:rPr>
                <w:rFonts w:cs="Arial"/>
                <w:color w:val="000000"/>
                <w:sz w:val="20"/>
                <w:szCs w:val="20"/>
              </w:rPr>
              <w:t>_</w:t>
            </w:r>
            <w:proofErr w:type="gramStart"/>
            <w:r w:rsidR="00157584" w:rsidRPr="00755EF9">
              <w:rPr>
                <w:rFonts w:cs="Arial"/>
                <w:color w:val="000000"/>
                <w:sz w:val="20"/>
                <w:szCs w:val="20"/>
              </w:rPr>
              <w:t>_._</w:t>
            </w:r>
            <w:proofErr w:type="gramEnd"/>
            <w:r w:rsidR="00157584" w:rsidRPr="00755EF9">
              <w:rPr>
                <w:rFonts w:cs="Arial"/>
                <w:color w:val="000000"/>
                <w:sz w:val="20"/>
                <w:szCs w:val="20"/>
              </w:rPr>
              <w:t>_</w:t>
            </w:r>
            <w:r w:rsidR="006D7023" w:rsidRPr="00755EF9">
              <w:rPr>
                <w:rFonts w:cs="Arial"/>
                <w:color w:val="000000"/>
                <w:sz w:val="20"/>
                <w:szCs w:val="20"/>
              </w:rPr>
              <w:t>.</w:t>
            </w:r>
            <w:r w:rsidR="00D8054E">
              <w:rPr>
                <w:rFonts w:cs="Arial"/>
                <w:color w:val="000000"/>
                <w:sz w:val="20"/>
                <w:szCs w:val="20"/>
              </w:rPr>
              <w:t xml:space="preserve"> 20</w:t>
            </w:r>
            <w:r w:rsidR="001837DA">
              <w:rPr>
                <w:rFonts w:cs="Arial"/>
                <w:color w:val="000000"/>
                <w:sz w:val="20"/>
                <w:szCs w:val="20"/>
              </w:rPr>
              <w:t>20</w:t>
            </w:r>
          </w:p>
          <w:p w14:paraId="41C0613F" w14:textId="77777777" w:rsidR="00045ABF" w:rsidRPr="002A3821" w:rsidRDefault="00045ABF" w:rsidP="00024F64">
            <w:pPr>
              <w:spacing w:line="28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14:paraId="0C5F8721" w14:textId="77777777" w:rsidR="00045ABF" w:rsidRPr="002A3821" w:rsidRDefault="00045ABF" w:rsidP="00024F64">
            <w:pPr>
              <w:spacing w:line="28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ABF" w:rsidRPr="002A3821" w14:paraId="4366E205" w14:textId="77777777" w:rsidTr="00E6798F">
        <w:tc>
          <w:tcPr>
            <w:tcW w:w="4527" w:type="dxa"/>
          </w:tcPr>
          <w:p w14:paraId="079D20CB" w14:textId="77777777" w:rsidR="00045ABF" w:rsidRPr="002A3821" w:rsidRDefault="00045ABF" w:rsidP="00024F64">
            <w:pPr>
              <w:spacing w:line="28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.............................................</w:t>
            </w:r>
          </w:p>
          <w:p w14:paraId="31FFB09D" w14:textId="77777777" w:rsidR="00045ABF" w:rsidRPr="002A3821" w:rsidRDefault="00E4523E" w:rsidP="00024F64">
            <w:pPr>
              <w:spacing w:line="28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za Státní fond kinematografie</w:t>
            </w:r>
          </w:p>
          <w:p w14:paraId="39273899" w14:textId="77777777" w:rsidR="00045ABF" w:rsidRPr="002A3821" w:rsidRDefault="00E4523E" w:rsidP="00024F64">
            <w:pPr>
              <w:spacing w:line="28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Mgr. Helena Bezděk Fraňková, ředitelka</w:t>
            </w:r>
          </w:p>
        </w:tc>
        <w:tc>
          <w:tcPr>
            <w:tcW w:w="4527" w:type="dxa"/>
          </w:tcPr>
          <w:p w14:paraId="30B31CF3" w14:textId="77777777" w:rsidR="00045ABF" w:rsidRPr="002A3821" w:rsidRDefault="00045ABF" w:rsidP="00024F64">
            <w:pPr>
              <w:spacing w:line="28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..............................................</w:t>
            </w:r>
          </w:p>
          <w:p w14:paraId="626A682C" w14:textId="77777777" w:rsidR="00045ABF" w:rsidRPr="002A3821" w:rsidRDefault="00E4523E" w:rsidP="00024F64">
            <w:pPr>
              <w:pStyle w:val="Textkomente"/>
              <w:spacing w:after="0" w:line="280" w:lineRule="atLeast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2A3821">
              <w:rPr>
                <w:rFonts w:ascii="Arial" w:hAnsi="Arial" w:cs="Arial"/>
                <w:color w:val="000000"/>
              </w:rPr>
              <w:t>za Akademii múzických umění v Praze</w:t>
            </w:r>
          </w:p>
          <w:p w14:paraId="272B4E48" w14:textId="77777777" w:rsidR="00045ABF" w:rsidRPr="002A3821" w:rsidRDefault="00E4523E" w:rsidP="00024F64">
            <w:pPr>
              <w:spacing w:line="28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 xml:space="preserve">doc. Jan </w:t>
            </w:r>
            <w:proofErr w:type="spellStart"/>
            <w:r w:rsidRPr="002A3821">
              <w:rPr>
                <w:rFonts w:cs="Arial"/>
                <w:color w:val="000000"/>
                <w:sz w:val="20"/>
                <w:szCs w:val="20"/>
              </w:rPr>
              <w:t>Hančil</w:t>
            </w:r>
            <w:proofErr w:type="spellEnd"/>
            <w:r w:rsidRPr="002A3821">
              <w:rPr>
                <w:rFonts w:cs="Arial"/>
                <w:color w:val="000000"/>
                <w:sz w:val="20"/>
                <w:szCs w:val="20"/>
              </w:rPr>
              <w:t>, rektor</w:t>
            </w:r>
          </w:p>
        </w:tc>
      </w:tr>
    </w:tbl>
    <w:p w14:paraId="5CF9A6B1" w14:textId="77777777" w:rsidR="007029D8" w:rsidRPr="004E2024" w:rsidRDefault="007029D8" w:rsidP="001B5126">
      <w:pPr>
        <w:pStyle w:val="CZodstavec"/>
        <w:spacing w:line="260" w:lineRule="atLeast"/>
        <w:rPr>
          <w:rFonts w:ascii="Arial" w:hAnsi="Arial" w:cs="Arial"/>
        </w:rPr>
      </w:pPr>
    </w:p>
    <w:sectPr w:rsidR="007029D8" w:rsidRPr="004E2024" w:rsidSect="007937B2">
      <w:footerReference w:type="default" r:id="rId8"/>
      <w:headerReference w:type="first" r:id="rId9"/>
      <w:pgSz w:w="11906" w:h="16838"/>
      <w:pgMar w:top="1134" w:right="1418" w:bottom="992" w:left="1134" w:header="567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8854" w14:textId="77777777" w:rsidR="00513F93" w:rsidRDefault="00513F93" w:rsidP="002A0527">
      <w:r>
        <w:separator/>
      </w:r>
    </w:p>
  </w:endnote>
  <w:endnote w:type="continuationSeparator" w:id="0">
    <w:p w14:paraId="5069A22E" w14:textId="77777777" w:rsidR="00513F93" w:rsidRDefault="00513F93" w:rsidP="002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FC2D" w14:textId="0EFEB9EE" w:rsidR="000C181D" w:rsidRDefault="000C181D" w:rsidP="00F461F3">
    <w:pPr>
      <w:pStyle w:val="Zpat"/>
      <w:tabs>
        <w:tab w:val="left" w:pos="5100"/>
      </w:tabs>
      <w:jc w:val="left"/>
    </w:pPr>
    <w:r>
      <w:rPr>
        <w:rStyle w:val="slostrnky"/>
        <w:rFonts w:cs="Arial"/>
        <w:sz w:val="18"/>
        <w:szCs w:val="18"/>
      </w:rPr>
      <w:tab/>
    </w:r>
    <w:r w:rsidRPr="00342016">
      <w:rPr>
        <w:rStyle w:val="slostrnky"/>
        <w:rFonts w:cs="Arial"/>
        <w:sz w:val="18"/>
        <w:szCs w:val="18"/>
      </w:rPr>
      <w:fldChar w:fldCharType="begin"/>
    </w:r>
    <w:r w:rsidRPr="00342016">
      <w:rPr>
        <w:rStyle w:val="slostrnky"/>
        <w:rFonts w:cs="Arial"/>
        <w:sz w:val="18"/>
        <w:szCs w:val="18"/>
      </w:rPr>
      <w:instrText xml:space="preserve"> PAGE </w:instrText>
    </w:r>
    <w:r w:rsidRPr="00342016">
      <w:rPr>
        <w:rStyle w:val="slostrnky"/>
        <w:rFonts w:cs="Arial"/>
        <w:sz w:val="18"/>
        <w:szCs w:val="18"/>
      </w:rPr>
      <w:fldChar w:fldCharType="separate"/>
    </w:r>
    <w:r w:rsidR="004C3CBA">
      <w:rPr>
        <w:rStyle w:val="slostrnky"/>
        <w:rFonts w:cs="Arial"/>
        <w:noProof/>
        <w:sz w:val="18"/>
        <w:szCs w:val="18"/>
      </w:rPr>
      <w:t>2</w:t>
    </w:r>
    <w:r w:rsidRPr="00342016">
      <w:rPr>
        <w:rStyle w:val="slostrnk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12C71" w14:textId="77777777" w:rsidR="00513F93" w:rsidRDefault="00513F93" w:rsidP="002A0527">
      <w:r>
        <w:separator/>
      </w:r>
    </w:p>
  </w:footnote>
  <w:footnote w:type="continuationSeparator" w:id="0">
    <w:p w14:paraId="78CB4C6E" w14:textId="77777777" w:rsidR="00513F93" w:rsidRDefault="00513F93" w:rsidP="002A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DD1E" w14:textId="77777777" w:rsidR="000C181D" w:rsidRDefault="000C181D" w:rsidP="00045ABF">
    <w:pPr>
      <w:pStyle w:val="Zhlav"/>
      <w:jc w:val="center"/>
      <w:rPr>
        <w:rFonts w:ascii="Arial" w:hAnsi="Arial" w:cs="Arial"/>
      </w:rPr>
    </w:pPr>
  </w:p>
  <w:p w14:paraId="45D08A96" w14:textId="77777777" w:rsidR="000C181D" w:rsidRDefault="000C18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223F0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710"/>
        </w:tabs>
        <w:ind w:left="1559" w:hanging="7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426"/>
        </w:tabs>
        <w:ind w:left="2976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EA927EC"/>
    <w:multiLevelType w:val="hybridMultilevel"/>
    <w:tmpl w:val="F894F0BE"/>
    <w:lvl w:ilvl="0" w:tplc="E42E7040">
      <w:start w:val="1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3F8B"/>
    <w:multiLevelType w:val="multilevel"/>
    <w:tmpl w:val="6E4E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656218A"/>
    <w:multiLevelType w:val="hybridMultilevel"/>
    <w:tmpl w:val="EAC070DE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184A"/>
    <w:multiLevelType w:val="multilevel"/>
    <w:tmpl w:val="149036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299206FD"/>
    <w:multiLevelType w:val="hybridMultilevel"/>
    <w:tmpl w:val="A93E31B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A363A8"/>
    <w:multiLevelType w:val="hybridMultilevel"/>
    <w:tmpl w:val="DFF07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3D17"/>
    <w:multiLevelType w:val="hybridMultilevel"/>
    <w:tmpl w:val="D3C47D6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715478"/>
    <w:multiLevelType w:val="multilevel"/>
    <w:tmpl w:val="B198BD2A"/>
    <w:lvl w:ilvl="0">
      <w:start w:val="16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43D34936"/>
    <w:multiLevelType w:val="multilevel"/>
    <w:tmpl w:val="F0824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removePersonalInformation/>
  <w:removeDateAndTime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E9"/>
    <w:rsid w:val="00007669"/>
    <w:rsid w:val="00014FE2"/>
    <w:rsid w:val="00015D3C"/>
    <w:rsid w:val="00015FDF"/>
    <w:rsid w:val="00021467"/>
    <w:rsid w:val="00023FA9"/>
    <w:rsid w:val="00024EC0"/>
    <w:rsid w:val="00024F64"/>
    <w:rsid w:val="00026861"/>
    <w:rsid w:val="000324D0"/>
    <w:rsid w:val="000355E9"/>
    <w:rsid w:val="00037035"/>
    <w:rsid w:val="00037733"/>
    <w:rsid w:val="0003788E"/>
    <w:rsid w:val="00040CF3"/>
    <w:rsid w:val="00044088"/>
    <w:rsid w:val="00045ABF"/>
    <w:rsid w:val="000466F3"/>
    <w:rsid w:val="00052249"/>
    <w:rsid w:val="000552C0"/>
    <w:rsid w:val="00060E31"/>
    <w:rsid w:val="00062F5A"/>
    <w:rsid w:val="00066FB2"/>
    <w:rsid w:val="0007277B"/>
    <w:rsid w:val="00074D59"/>
    <w:rsid w:val="00093DFB"/>
    <w:rsid w:val="00094588"/>
    <w:rsid w:val="000A358A"/>
    <w:rsid w:val="000A6CF0"/>
    <w:rsid w:val="000A7CED"/>
    <w:rsid w:val="000B2740"/>
    <w:rsid w:val="000B4415"/>
    <w:rsid w:val="000B6300"/>
    <w:rsid w:val="000B65F8"/>
    <w:rsid w:val="000C0884"/>
    <w:rsid w:val="000C181D"/>
    <w:rsid w:val="000C4E42"/>
    <w:rsid w:val="000D4BFF"/>
    <w:rsid w:val="000E1EAE"/>
    <w:rsid w:val="000E211C"/>
    <w:rsid w:val="000E65F9"/>
    <w:rsid w:val="000F6358"/>
    <w:rsid w:val="00104DDE"/>
    <w:rsid w:val="001214F3"/>
    <w:rsid w:val="001419C0"/>
    <w:rsid w:val="0015575F"/>
    <w:rsid w:val="001561BF"/>
    <w:rsid w:val="00157584"/>
    <w:rsid w:val="00162B76"/>
    <w:rsid w:val="00167041"/>
    <w:rsid w:val="00167D31"/>
    <w:rsid w:val="0017307F"/>
    <w:rsid w:val="00176D5A"/>
    <w:rsid w:val="00180169"/>
    <w:rsid w:val="0018258F"/>
    <w:rsid w:val="001837DA"/>
    <w:rsid w:val="00184493"/>
    <w:rsid w:val="001A7668"/>
    <w:rsid w:val="001B0F98"/>
    <w:rsid w:val="001B5126"/>
    <w:rsid w:val="001C66CB"/>
    <w:rsid w:val="001D45B8"/>
    <w:rsid w:val="001F3A57"/>
    <w:rsid w:val="0020448A"/>
    <w:rsid w:val="002078B3"/>
    <w:rsid w:val="002140AB"/>
    <w:rsid w:val="002156AF"/>
    <w:rsid w:val="00216CD7"/>
    <w:rsid w:val="002225DD"/>
    <w:rsid w:val="002328A5"/>
    <w:rsid w:val="00232ECF"/>
    <w:rsid w:val="002371D4"/>
    <w:rsid w:val="0024084C"/>
    <w:rsid w:val="00241B88"/>
    <w:rsid w:val="00243804"/>
    <w:rsid w:val="00244DD2"/>
    <w:rsid w:val="00250D3F"/>
    <w:rsid w:val="00251D77"/>
    <w:rsid w:val="00252109"/>
    <w:rsid w:val="002532AB"/>
    <w:rsid w:val="002714A4"/>
    <w:rsid w:val="00271D0C"/>
    <w:rsid w:val="00273CC9"/>
    <w:rsid w:val="002808BC"/>
    <w:rsid w:val="00281981"/>
    <w:rsid w:val="002A0527"/>
    <w:rsid w:val="002A3821"/>
    <w:rsid w:val="002B01AC"/>
    <w:rsid w:val="002B2803"/>
    <w:rsid w:val="002B547E"/>
    <w:rsid w:val="002B5972"/>
    <w:rsid w:val="002B7C23"/>
    <w:rsid w:val="002E09F0"/>
    <w:rsid w:val="002E22E5"/>
    <w:rsid w:val="002E3231"/>
    <w:rsid w:val="002F03B7"/>
    <w:rsid w:val="002F78A4"/>
    <w:rsid w:val="003040ED"/>
    <w:rsid w:val="00305F90"/>
    <w:rsid w:val="00314450"/>
    <w:rsid w:val="0031469C"/>
    <w:rsid w:val="00314922"/>
    <w:rsid w:val="003168CE"/>
    <w:rsid w:val="00316A14"/>
    <w:rsid w:val="003306B7"/>
    <w:rsid w:val="00330DCF"/>
    <w:rsid w:val="00336122"/>
    <w:rsid w:val="0033770F"/>
    <w:rsid w:val="00340BB7"/>
    <w:rsid w:val="0034235E"/>
    <w:rsid w:val="00343105"/>
    <w:rsid w:val="00346385"/>
    <w:rsid w:val="0034789A"/>
    <w:rsid w:val="003538C6"/>
    <w:rsid w:val="003567E7"/>
    <w:rsid w:val="0036260E"/>
    <w:rsid w:val="00362922"/>
    <w:rsid w:val="00364599"/>
    <w:rsid w:val="003670DA"/>
    <w:rsid w:val="00382D19"/>
    <w:rsid w:val="003861D7"/>
    <w:rsid w:val="003A2DEB"/>
    <w:rsid w:val="003A3CFA"/>
    <w:rsid w:val="003C1AD4"/>
    <w:rsid w:val="003C77AC"/>
    <w:rsid w:val="003D372B"/>
    <w:rsid w:val="003D78A7"/>
    <w:rsid w:val="003E141C"/>
    <w:rsid w:val="00400B1E"/>
    <w:rsid w:val="004020AA"/>
    <w:rsid w:val="00402A69"/>
    <w:rsid w:val="00403F31"/>
    <w:rsid w:val="004071E1"/>
    <w:rsid w:val="00410119"/>
    <w:rsid w:val="00413582"/>
    <w:rsid w:val="0041729A"/>
    <w:rsid w:val="00417E36"/>
    <w:rsid w:val="00426E88"/>
    <w:rsid w:val="00433746"/>
    <w:rsid w:val="00442FBC"/>
    <w:rsid w:val="004503D4"/>
    <w:rsid w:val="00457831"/>
    <w:rsid w:val="00494D75"/>
    <w:rsid w:val="004A18CB"/>
    <w:rsid w:val="004A5A2C"/>
    <w:rsid w:val="004B3965"/>
    <w:rsid w:val="004C0F7E"/>
    <w:rsid w:val="004C3CBA"/>
    <w:rsid w:val="004C57CA"/>
    <w:rsid w:val="004C5F5F"/>
    <w:rsid w:val="004D315C"/>
    <w:rsid w:val="004D3AC0"/>
    <w:rsid w:val="004E2024"/>
    <w:rsid w:val="004E5873"/>
    <w:rsid w:val="004F3026"/>
    <w:rsid w:val="005118AC"/>
    <w:rsid w:val="00513F93"/>
    <w:rsid w:val="005144AA"/>
    <w:rsid w:val="005209F7"/>
    <w:rsid w:val="005220DE"/>
    <w:rsid w:val="005237A7"/>
    <w:rsid w:val="00523829"/>
    <w:rsid w:val="00537273"/>
    <w:rsid w:val="00543A4D"/>
    <w:rsid w:val="00545C00"/>
    <w:rsid w:val="00554248"/>
    <w:rsid w:val="005547C5"/>
    <w:rsid w:val="00574017"/>
    <w:rsid w:val="00574DEC"/>
    <w:rsid w:val="00581146"/>
    <w:rsid w:val="00582AC9"/>
    <w:rsid w:val="00587BC5"/>
    <w:rsid w:val="005940BA"/>
    <w:rsid w:val="005A3212"/>
    <w:rsid w:val="005A3933"/>
    <w:rsid w:val="005A4166"/>
    <w:rsid w:val="005B1841"/>
    <w:rsid w:val="005B3F4C"/>
    <w:rsid w:val="005B638D"/>
    <w:rsid w:val="005C7088"/>
    <w:rsid w:val="005D2E9F"/>
    <w:rsid w:val="005D38AF"/>
    <w:rsid w:val="005D622E"/>
    <w:rsid w:val="005D65EB"/>
    <w:rsid w:val="005D7145"/>
    <w:rsid w:val="005E3350"/>
    <w:rsid w:val="005E3F0D"/>
    <w:rsid w:val="005E3F75"/>
    <w:rsid w:val="005E46CC"/>
    <w:rsid w:val="005F130B"/>
    <w:rsid w:val="005F604F"/>
    <w:rsid w:val="00605D06"/>
    <w:rsid w:val="00606343"/>
    <w:rsid w:val="00607493"/>
    <w:rsid w:val="0061059D"/>
    <w:rsid w:val="006171A7"/>
    <w:rsid w:val="00621890"/>
    <w:rsid w:val="00621D0B"/>
    <w:rsid w:val="006436C6"/>
    <w:rsid w:val="00654AAD"/>
    <w:rsid w:val="00660CA9"/>
    <w:rsid w:val="00671040"/>
    <w:rsid w:val="006730E6"/>
    <w:rsid w:val="00673C00"/>
    <w:rsid w:val="006878CA"/>
    <w:rsid w:val="006A13EF"/>
    <w:rsid w:val="006A1515"/>
    <w:rsid w:val="006A5FCA"/>
    <w:rsid w:val="006A6DBD"/>
    <w:rsid w:val="006B07EF"/>
    <w:rsid w:val="006B1969"/>
    <w:rsid w:val="006B6CAF"/>
    <w:rsid w:val="006C2F43"/>
    <w:rsid w:val="006D7023"/>
    <w:rsid w:val="006E0088"/>
    <w:rsid w:val="006E0620"/>
    <w:rsid w:val="0070214D"/>
    <w:rsid w:val="007029D8"/>
    <w:rsid w:val="00702C00"/>
    <w:rsid w:val="007055BC"/>
    <w:rsid w:val="00706105"/>
    <w:rsid w:val="00736E34"/>
    <w:rsid w:val="00740F55"/>
    <w:rsid w:val="00743BC2"/>
    <w:rsid w:val="00751B45"/>
    <w:rsid w:val="00755EF9"/>
    <w:rsid w:val="00757DCF"/>
    <w:rsid w:val="00760C75"/>
    <w:rsid w:val="00763EA1"/>
    <w:rsid w:val="00780A3F"/>
    <w:rsid w:val="00780C64"/>
    <w:rsid w:val="00790C08"/>
    <w:rsid w:val="00790D9A"/>
    <w:rsid w:val="007937B2"/>
    <w:rsid w:val="00796F24"/>
    <w:rsid w:val="007A0987"/>
    <w:rsid w:val="007A457D"/>
    <w:rsid w:val="007A5F74"/>
    <w:rsid w:val="007B0E10"/>
    <w:rsid w:val="007B297F"/>
    <w:rsid w:val="007B7B13"/>
    <w:rsid w:val="007C3D8A"/>
    <w:rsid w:val="007C48F5"/>
    <w:rsid w:val="007E0B0A"/>
    <w:rsid w:val="007E7221"/>
    <w:rsid w:val="007F243B"/>
    <w:rsid w:val="00802603"/>
    <w:rsid w:val="008058D9"/>
    <w:rsid w:val="00806237"/>
    <w:rsid w:val="0082104D"/>
    <w:rsid w:val="0083193C"/>
    <w:rsid w:val="00832BC7"/>
    <w:rsid w:val="00835088"/>
    <w:rsid w:val="00836F3E"/>
    <w:rsid w:val="00840C94"/>
    <w:rsid w:val="00841F0C"/>
    <w:rsid w:val="0084241F"/>
    <w:rsid w:val="00842FC8"/>
    <w:rsid w:val="00843E4D"/>
    <w:rsid w:val="008520B9"/>
    <w:rsid w:val="00852D41"/>
    <w:rsid w:val="00867F69"/>
    <w:rsid w:val="008700DF"/>
    <w:rsid w:val="00870D70"/>
    <w:rsid w:val="008778D8"/>
    <w:rsid w:val="00882D95"/>
    <w:rsid w:val="00885ECB"/>
    <w:rsid w:val="00886B8F"/>
    <w:rsid w:val="00887B14"/>
    <w:rsid w:val="00895575"/>
    <w:rsid w:val="008A4F1A"/>
    <w:rsid w:val="008A7159"/>
    <w:rsid w:val="008B2945"/>
    <w:rsid w:val="008B4D74"/>
    <w:rsid w:val="008C209D"/>
    <w:rsid w:val="008D5EB3"/>
    <w:rsid w:val="00905155"/>
    <w:rsid w:val="009175AA"/>
    <w:rsid w:val="0092552D"/>
    <w:rsid w:val="009272E8"/>
    <w:rsid w:val="009340E8"/>
    <w:rsid w:val="0093415F"/>
    <w:rsid w:val="0094087C"/>
    <w:rsid w:val="009465D0"/>
    <w:rsid w:val="00957225"/>
    <w:rsid w:val="00965525"/>
    <w:rsid w:val="0097329E"/>
    <w:rsid w:val="009914E7"/>
    <w:rsid w:val="00997CF9"/>
    <w:rsid w:val="009A19AF"/>
    <w:rsid w:val="009A206B"/>
    <w:rsid w:val="009A3FE9"/>
    <w:rsid w:val="009A7B44"/>
    <w:rsid w:val="009B0266"/>
    <w:rsid w:val="009B4BE1"/>
    <w:rsid w:val="009C7FE7"/>
    <w:rsid w:val="009D4223"/>
    <w:rsid w:val="009E0F8F"/>
    <w:rsid w:val="009E3692"/>
    <w:rsid w:val="009E5EB9"/>
    <w:rsid w:val="009F07A8"/>
    <w:rsid w:val="009F74F8"/>
    <w:rsid w:val="00A023EF"/>
    <w:rsid w:val="00A10943"/>
    <w:rsid w:val="00A120A1"/>
    <w:rsid w:val="00A15A2D"/>
    <w:rsid w:val="00A206F3"/>
    <w:rsid w:val="00A26DEA"/>
    <w:rsid w:val="00A3111A"/>
    <w:rsid w:val="00A34B80"/>
    <w:rsid w:val="00A40355"/>
    <w:rsid w:val="00A42E1E"/>
    <w:rsid w:val="00A4356A"/>
    <w:rsid w:val="00A44DD6"/>
    <w:rsid w:val="00A5300C"/>
    <w:rsid w:val="00A71B3C"/>
    <w:rsid w:val="00A71F1D"/>
    <w:rsid w:val="00A764BB"/>
    <w:rsid w:val="00A766DF"/>
    <w:rsid w:val="00A96EB5"/>
    <w:rsid w:val="00A97BEA"/>
    <w:rsid w:val="00AA0E73"/>
    <w:rsid w:val="00AA7499"/>
    <w:rsid w:val="00AD2CD5"/>
    <w:rsid w:val="00AD30FB"/>
    <w:rsid w:val="00AE1FED"/>
    <w:rsid w:val="00AF1011"/>
    <w:rsid w:val="00AF15AC"/>
    <w:rsid w:val="00AF1854"/>
    <w:rsid w:val="00AF4B54"/>
    <w:rsid w:val="00AF59BD"/>
    <w:rsid w:val="00AF60D8"/>
    <w:rsid w:val="00B07FBC"/>
    <w:rsid w:val="00B12F2F"/>
    <w:rsid w:val="00B22295"/>
    <w:rsid w:val="00B225F0"/>
    <w:rsid w:val="00B232CF"/>
    <w:rsid w:val="00B26D9F"/>
    <w:rsid w:val="00B314E4"/>
    <w:rsid w:val="00B3156E"/>
    <w:rsid w:val="00B33002"/>
    <w:rsid w:val="00B33016"/>
    <w:rsid w:val="00B33A7B"/>
    <w:rsid w:val="00B34B6B"/>
    <w:rsid w:val="00B3794B"/>
    <w:rsid w:val="00B55F51"/>
    <w:rsid w:val="00B8100F"/>
    <w:rsid w:val="00B861EA"/>
    <w:rsid w:val="00B870D0"/>
    <w:rsid w:val="00B917F8"/>
    <w:rsid w:val="00B96BD6"/>
    <w:rsid w:val="00BA219E"/>
    <w:rsid w:val="00BA4DEB"/>
    <w:rsid w:val="00BA58CF"/>
    <w:rsid w:val="00BB3DF6"/>
    <w:rsid w:val="00BC47C2"/>
    <w:rsid w:val="00BC4BAF"/>
    <w:rsid w:val="00BC6C8C"/>
    <w:rsid w:val="00BE57C1"/>
    <w:rsid w:val="00BE72E0"/>
    <w:rsid w:val="00BF0700"/>
    <w:rsid w:val="00BF079F"/>
    <w:rsid w:val="00BF2D1A"/>
    <w:rsid w:val="00BF649D"/>
    <w:rsid w:val="00BF709F"/>
    <w:rsid w:val="00C0404C"/>
    <w:rsid w:val="00C04B9A"/>
    <w:rsid w:val="00C061CB"/>
    <w:rsid w:val="00C13249"/>
    <w:rsid w:val="00C1485F"/>
    <w:rsid w:val="00C17B04"/>
    <w:rsid w:val="00C21F8B"/>
    <w:rsid w:val="00C311C7"/>
    <w:rsid w:val="00C37DAF"/>
    <w:rsid w:val="00C41394"/>
    <w:rsid w:val="00C44613"/>
    <w:rsid w:val="00C517DA"/>
    <w:rsid w:val="00C52217"/>
    <w:rsid w:val="00C53196"/>
    <w:rsid w:val="00C55190"/>
    <w:rsid w:val="00C56D65"/>
    <w:rsid w:val="00C62E4D"/>
    <w:rsid w:val="00C70840"/>
    <w:rsid w:val="00C74409"/>
    <w:rsid w:val="00C7597A"/>
    <w:rsid w:val="00C82267"/>
    <w:rsid w:val="00C86198"/>
    <w:rsid w:val="00C96401"/>
    <w:rsid w:val="00CA1E24"/>
    <w:rsid w:val="00CA3B66"/>
    <w:rsid w:val="00CA76C5"/>
    <w:rsid w:val="00CB4120"/>
    <w:rsid w:val="00CB41A9"/>
    <w:rsid w:val="00CB7F30"/>
    <w:rsid w:val="00CC2ACF"/>
    <w:rsid w:val="00CD2A74"/>
    <w:rsid w:val="00CE388E"/>
    <w:rsid w:val="00CF5A43"/>
    <w:rsid w:val="00CF5E62"/>
    <w:rsid w:val="00D1689E"/>
    <w:rsid w:val="00D206FE"/>
    <w:rsid w:val="00D24C11"/>
    <w:rsid w:val="00D3184C"/>
    <w:rsid w:val="00D45454"/>
    <w:rsid w:val="00D45CB2"/>
    <w:rsid w:val="00D4687B"/>
    <w:rsid w:val="00D55350"/>
    <w:rsid w:val="00D57F23"/>
    <w:rsid w:val="00D63714"/>
    <w:rsid w:val="00D73520"/>
    <w:rsid w:val="00D8054E"/>
    <w:rsid w:val="00D84397"/>
    <w:rsid w:val="00D90343"/>
    <w:rsid w:val="00D958BC"/>
    <w:rsid w:val="00DA1038"/>
    <w:rsid w:val="00DA4E4C"/>
    <w:rsid w:val="00DC4690"/>
    <w:rsid w:val="00DC68BE"/>
    <w:rsid w:val="00DC7F8A"/>
    <w:rsid w:val="00DD3451"/>
    <w:rsid w:val="00DE16EE"/>
    <w:rsid w:val="00DE2DF8"/>
    <w:rsid w:val="00DF1037"/>
    <w:rsid w:val="00DF3584"/>
    <w:rsid w:val="00E2162A"/>
    <w:rsid w:val="00E2391A"/>
    <w:rsid w:val="00E23CC4"/>
    <w:rsid w:val="00E31B5F"/>
    <w:rsid w:val="00E32761"/>
    <w:rsid w:val="00E4328A"/>
    <w:rsid w:val="00E43CFD"/>
    <w:rsid w:val="00E4523E"/>
    <w:rsid w:val="00E46F16"/>
    <w:rsid w:val="00E62ADD"/>
    <w:rsid w:val="00E6700A"/>
    <w:rsid w:val="00E6798F"/>
    <w:rsid w:val="00E67E72"/>
    <w:rsid w:val="00E73C4A"/>
    <w:rsid w:val="00E809EC"/>
    <w:rsid w:val="00E866F1"/>
    <w:rsid w:val="00EB04A2"/>
    <w:rsid w:val="00EB6BAE"/>
    <w:rsid w:val="00EB7CA4"/>
    <w:rsid w:val="00EC07FE"/>
    <w:rsid w:val="00EC3D49"/>
    <w:rsid w:val="00EC46A4"/>
    <w:rsid w:val="00EC60C4"/>
    <w:rsid w:val="00ED3F89"/>
    <w:rsid w:val="00ED6B99"/>
    <w:rsid w:val="00EE368F"/>
    <w:rsid w:val="00EF2594"/>
    <w:rsid w:val="00EF4E13"/>
    <w:rsid w:val="00EF568D"/>
    <w:rsid w:val="00F22B55"/>
    <w:rsid w:val="00F23008"/>
    <w:rsid w:val="00F2466F"/>
    <w:rsid w:val="00F3304E"/>
    <w:rsid w:val="00F331CB"/>
    <w:rsid w:val="00F33647"/>
    <w:rsid w:val="00F365DA"/>
    <w:rsid w:val="00F461F3"/>
    <w:rsid w:val="00F66E36"/>
    <w:rsid w:val="00F67C54"/>
    <w:rsid w:val="00F77E45"/>
    <w:rsid w:val="00F8355F"/>
    <w:rsid w:val="00F85429"/>
    <w:rsid w:val="00F91BE9"/>
    <w:rsid w:val="00FA03AE"/>
    <w:rsid w:val="00FA3C6B"/>
    <w:rsid w:val="00FA6A8A"/>
    <w:rsid w:val="00FB4149"/>
    <w:rsid w:val="00FB6A75"/>
    <w:rsid w:val="00FC01AC"/>
    <w:rsid w:val="00FC6453"/>
    <w:rsid w:val="00FC747A"/>
    <w:rsid w:val="00FD1243"/>
    <w:rsid w:val="00FD2DFB"/>
    <w:rsid w:val="00FE00D5"/>
    <w:rsid w:val="00FE2C1B"/>
    <w:rsid w:val="00FF457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7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2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aliases w:val="Lev 2"/>
    <w:basedOn w:val="Normln"/>
    <w:link w:val="Nadpis2Char"/>
    <w:qFormat/>
    <w:rsid w:val="00F461F3"/>
    <w:pPr>
      <w:numPr>
        <w:ilvl w:val="1"/>
        <w:numId w:val="8"/>
      </w:numPr>
      <w:spacing w:after="120" w:line="280" w:lineRule="atLeast"/>
      <w:outlineLvl w:val="1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qFormat/>
    <w:rsid w:val="00F461F3"/>
    <w:pPr>
      <w:numPr>
        <w:ilvl w:val="2"/>
        <w:numId w:val="8"/>
      </w:numPr>
      <w:spacing w:after="120" w:line="280" w:lineRule="atLeast"/>
      <w:outlineLvl w:val="2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4">
    <w:name w:val="heading 4"/>
    <w:basedOn w:val="Normln"/>
    <w:link w:val="Nadpis4Char"/>
    <w:qFormat/>
    <w:rsid w:val="00F461F3"/>
    <w:pPr>
      <w:numPr>
        <w:ilvl w:val="3"/>
        <w:numId w:val="8"/>
      </w:numPr>
      <w:spacing w:after="120" w:line="280" w:lineRule="atLeast"/>
      <w:outlineLvl w:val="3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F461F3"/>
    <w:pPr>
      <w:numPr>
        <w:ilvl w:val="4"/>
        <w:numId w:val="8"/>
      </w:numPr>
      <w:spacing w:after="120" w:line="280" w:lineRule="atLeast"/>
      <w:outlineLvl w:val="4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6">
    <w:name w:val="heading 6"/>
    <w:basedOn w:val="Normln"/>
    <w:link w:val="Nadpis6Char"/>
    <w:qFormat/>
    <w:rsid w:val="00F461F3"/>
    <w:pPr>
      <w:numPr>
        <w:ilvl w:val="5"/>
        <w:numId w:val="8"/>
      </w:numPr>
      <w:spacing w:after="120" w:line="280" w:lineRule="atLeast"/>
      <w:outlineLvl w:val="5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7">
    <w:name w:val="heading 7"/>
    <w:basedOn w:val="Normln"/>
    <w:link w:val="Nadpis7Char"/>
    <w:qFormat/>
    <w:rsid w:val="00F461F3"/>
    <w:pPr>
      <w:numPr>
        <w:ilvl w:val="6"/>
        <w:numId w:val="8"/>
      </w:numPr>
      <w:spacing w:after="120" w:line="280" w:lineRule="atLeast"/>
      <w:outlineLvl w:val="6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8">
    <w:name w:val="heading 8"/>
    <w:basedOn w:val="Normln"/>
    <w:link w:val="Nadpis8Char"/>
    <w:qFormat/>
    <w:rsid w:val="00F461F3"/>
    <w:pPr>
      <w:numPr>
        <w:ilvl w:val="7"/>
        <w:numId w:val="8"/>
      </w:numPr>
      <w:spacing w:after="120" w:line="280" w:lineRule="atLeast"/>
      <w:outlineLvl w:val="7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9">
    <w:name w:val="heading 9"/>
    <w:basedOn w:val="Normln"/>
    <w:link w:val="Nadpis9Char"/>
    <w:qFormat/>
    <w:rsid w:val="00F461F3"/>
    <w:pPr>
      <w:numPr>
        <w:ilvl w:val="8"/>
        <w:numId w:val="8"/>
      </w:numPr>
      <w:spacing w:after="120" w:line="280" w:lineRule="atLeast"/>
      <w:outlineLvl w:val="8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1B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91BE9"/>
  </w:style>
  <w:style w:type="character" w:styleId="Hypertextovodkaz">
    <w:name w:val="Hyperlink"/>
    <w:basedOn w:val="Standardnpsmoodstavce"/>
    <w:uiPriority w:val="99"/>
    <w:semiHidden/>
    <w:unhideWhenUsed/>
    <w:rsid w:val="00F91B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31CB"/>
    <w:pPr>
      <w:tabs>
        <w:tab w:val="center" w:pos="4536"/>
        <w:tab w:val="right" w:pos="9072"/>
      </w:tabs>
      <w:jc w:val="left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F331CB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2A0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527"/>
  </w:style>
  <w:style w:type="paragraph" w:customStyle="1" w:styleId="CZNadpis">
    <w:name w:val="CZ Nadpis"/>
    <w:basedOn w:val="Normln"/>
    <w:rsid w:val="002A0527"/>
    <w:pPr>
      <w:spacing w:line="288" w:lineRule="auto"/>
      <w:jc w:val="center"/>
    </w:pPr>
    <w:rPr>
      <w:rFonts w:ascii="Century Gothic" w:eastAsia="Calibri" w:hAnsi="Century Gothic" w:cs="Times New Roman"/>
      <w:b/>
      <w:sz w:val="28"/>
      <w:szCs w:val="24"/>
      <w:lang w:eastAsia="cs-CZ"/>
    </w:rPr>
  </w:style>
  <w:style w:type="paragraph" w:customStyle="1" w:styleId="CZZkladntext">
    <w:name w:val="CZ Základní text"/>
    <w:basedOn w:val="Normln"/>
    <w:rsid w:val="002A0527"/>
    <w:pPr>
      <w:spacing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2A0527"/>
    <w:pPr>
      <w:spacing w:line="288" w:lineRule="auto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customStyle="1" w:styleId="CZervenChar">
    <w:name w:val="CZ červeně Char"/>
    <w:rsid w:val="002A0527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2A0527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odstavec">
    <w:name w:val="CZ odstavec"/>
    <w:rsid w:val="00007669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235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B0266"/>
  </w:style>
  <w:style w:type="paragraph" w:customStyle="1" w:styleId="Identifikacestran">
    <w:name w:val="Identifikace stran"/>
    <w:basedOn w:val="Normln"/>
    <w:rsid w:val="00045AB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luvnstrana">
    <w:name w:val="Smluvní strana"/>
    <w:basedOn w:val="Normln"/>
    <w:rsid w:val="00045AB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ohlen">
    <w:name w:val="Prohlášení"/>
    <w:basedOn w:val="Normln"/>
    <w:rsid w:val="00045ABF"/>
    <w:pPr>
      <w:spacing w:line="280" w:lineRule="atLeas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045AB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5ABF"/>
    <w:rPr>
      <w:rFonts w:ascii="Calibri" w:eastAsia="Calibri" w:hAnsi="Calibri" w:cs="Times New Roman"/>
      <w:sz w:val="20"/>
      <w:szCs w:val="20"/>
    </w:rPr>
  </w:style>
  <w:style w:type="character" w:customStyle="1" w:styleId="Nadpis2Char">
    <w:name w:val="Nadpis 2 Char"/>
    <w:aliases w:val="Lev 2 Char"/>
    <w:basedOn w:val="Standardnpsmoodstavce"/>
    <w:link w:val="Nadpis2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F461F3"/>
  </w:style>
  <w:style w:type="character" w:styleId="Odkaznakoment">
    <w:name w:val="annotation reference"/>
    <w:basedOn w:val="Standardnpsmoodstavce"/>
    <w:uiPriority w:val="99"/>
    <w:semiHidden/>
    <w:unhideWhenUsed/>
    <w:rsid w:val="00BA4DE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DEB"/>
    <w:pPr>
      <w:spacing w:after="0" w:line="240" w:lineRule="auto"/>
      <w:jc w:val="both"/>
    </w:pPr>
    <w:rPr>
      <w:rFonts w:ascii="Arial" w:eastAsiaTheme="minorHAnsi" w:hAnsi="Arial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DE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DE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22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C2FE-3ECC-4E53-B3FD-59F5DF6A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2020-04-20T11:05:00Z</dcterms:created>
  <dcterms:modified xsi:type="dcterms:W3CDTF">2020-04-20T11:05:00Z</dcterms:modified>
</cp:coreProperties>
</file>