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3D" w:rsidRPr="00C551A0" w:rsidRDefault="00C82C3D" w:rsidP="00C82C3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551A0">
        <w:rPr>
          <w:rFonts w:asciiTheme="minorHAnsi" w:hAnsiTheme="minorHAnsi" w:cstheme="minorHAnsi"/>
          <w:b/>
          <w:bCs/>
        </w:rPr>
        <w:t>VEŘEJNOPRÁVNÍ SMLOUVA</w:t>
      </w:r>
    </w:p>
    <w:p w:rsidR="00C82C3D" w:rsidRPr="00C551A0" w:rsidRDefault="00C82C3D" w:rsidP="00C82C3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551A0">
        <w:rPr>
          <w:rFonts w:asciiTheme="minorHAnsi" w:hAnsiTheme="minorHAnsi" w:cstheme="minorHAnsi"/>
          <w:b/>
          <w:bCs/>
        </w:rPr>
        <w:t>o poskytnutí dotace v rámci rozvojového programu Ministerstva školství, mládeže a tělovýchovy „Excelence středních</w:t>
      </w:r>
      <w:r w:rsidR="00A10416">
        <w:rPr>
          <w:rFonts w:asciiTheme="minorHAnsi" w:hAnsiTheme="minorHAnsi" w:cstheme="minorHAnsi"/>
          <w:b/>
          <w:bCs/>
        </w:rPr>
        <w:t xml:space="preserve"> škol</w:t>
      </w:r>
      <w:r>
        <w:rPr>
          <w:rFonts w:asciiTheme="minorHAnsi" w:hAnsiTheme="minorHAnsi" w:cstheme="minorHAnsi"/>
          <w:b/>
          <w:bCs/>
        </w:rPr>
        <w:t xml:space="preserve"> - h</w:t>
      </w:r>
      <w:r w:rsidRPr="00C551A0">
        <w:rPr>
          <w:rFonts w:asciiTheme="minorHAnsi" w:hAnsiTheme="minorHAnsi" w:cstheme="minorHAnsi"/>
          <w:b/>
          <w:bCs/>
        </w:rPr>
        <w:t>odnocení žáků a škol podle výsledků v soutěžích ve školním roce 20</w:t>
      </w:r>
      <w:r>
        <w:rPr>
          <w:rFonts w:asciiTheme="minorHAnsi" w:hAnsiTheme="minorHAnsi" w:cstheme="minorHAnsi"/>
          <w:b/>
          <w:bCs/>
        </w:rPr>
        <w:t>18</w:t>
      </w:r>
      <w:r w:rsidRPr="00C551A0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2019</w:t>
      </w:r>
      <w:r w:rsidRPr="00C551A0">
        <w:rPr>
          <w:rFonts w:asciiTheme="minorHAnsi" w:hAnsiTheme="minorHAnsi" w:cstheme="minorHAnsi"/>
          <w:b/>
          <w:bCs/>
        </w:rPr>
        <w:t>“</w:t>
      </w:r>
    </w:p>
    <w:p w:rsidR="00C82C3D" w:rsidRPr="00C551A0" w:rsidRDefault="00C82C3D" w:rsidP="00C82C3D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FA4A3D">
        <w:rPr>
          <w:rFonts w:asciiTheme="minorHAnsi" w:hAnsiTheme="minorHAnsi" w:cstheme="minorHAnsi"/>
          <w:b/>
        </w:rPr>
        <w:t>č. D/</w:t>
      </w:r>
      <w:r w:rsidR="00D20A9A" w:rsidRPr="00D20A9A">
        <w:rPr>
          <w:rFonts w:asciiTheme="minorHAnsi" w:hAnsiTheme="minorHAnsi" w:cstheme="minorHAnsi"/>
          <w:b/>
        </w:rPr>
        <w:t>2442</w:t>
      </w:r>
      <w:r w:rsidRPr="00FA4A3D">
        <w:rPr>
          <w:rFonts w:asciiTheme="minorHAnsi" w:hAnsiTheme="minorHAnsi" w:cstheme="minorHAnsi"/>
          <w:b/>
        </w:rPr>
        <w:t>/2020/ŠK</w:t>
      </w:r>
    </w:p>
    <w:p w:rsidR="00C82C3D" w:rsidRPr="00C551A0" w:rsidRDefault="00C82C3D" w:rsidP="00C82C3D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>Smluvní strany: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C551A0">
        <w:rPr>
          <w:rFonts w:asciiTheme="minorHAnsi" w:hAnsiTheme="minorHAnsi" w:cstheme="minorHAnsi"/>
        </w:rPr>
        <w:t xml:space="preserve">Název: </w:t>
      </w:r>
      <w:r w:rsidRPr="00C551A0">
        <w:rPr>
          <w:rFonts w:asciiTheme="minorHAnsi" w:hAnsiTheme="minorHAnsi" w:cstheme="minorHAnsi"/>
          <w:b/>
        </w:rPr>
        <w:t>Zlínský</w:t>
      </w:r>
      <w:r w:rsidRPr="00C551A0">
        <w:rPr>
          <w:rFonts w:asciiTheme="minorHAnsi" w:hAnsiTheme="minorHAnsi" w:cstheme="minorHAnsi"/>
        </w:rPr>
        <w:t xml:space="preserve"> </w:t>
      </w:r>
      <w:r w:rsidRPr="00C551A0">
        <w:rPr>
          <w:rFonts w:asciiTheme="minorHAnsi" w:hAnsiTheme="minorHAnsi" w:cstheme="minorHAnsi"/>
          <w:b/>
        </w:rPr>
        <w:t>kraj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>Sídlo: třída Tomáše Bati 21, 761 90 Zlín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>IČO: 70891320</w:t>
      </w:r>
    </w:p>
    <w:p w:rsidR="00C82C3D" w:rsidRPr="00C551A0" w:rsidRDefault="00C82C3D" w:rsidP="00C82C3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>Zastoupený: PhDr. Stanislav Minařík, vedoucí Odboru školství, mládeže a sportu Krajského úřadu Zlínského kraje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 xml:space="preserve">Bankovní spojení: Česká národní banka, č. </w:t>
      </w:r>
      <w:proofErr w:type="spellStart"/>
      <w:r w:rsidRPr="00C551A0">
        <w:rPr>
          <w:rFonts w:asciiTheme="minorHAnsi" w:hAnsiTheme="minorHAnsi" w:cstheme="minorHAnsi"/>
        </w:rPr>
        <w:t>ú.</w:t>
      </w:r>
      <w:proofErr w:type="spellEnd"/>
      <w:r w:rsidRPr="00C551A0">
        <w:rPr>
          <w:rFonts w:asciiTheme="minorHAnsi" w:hAnsiTheme="minorHAnsi" w:cstheme="minorHAnsi"/>
        </w:rPr>
        <w:t xml:space="preserve"> 30090-718661/0710 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>(dále jen „poskytovatel“)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>a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 xml:space="preserve">Název: </w:t>
      </w:r>
      <w:r w:rsidRPr="00C551A0">
        <w:rPr>
          <w:rFonts w:asciiTheme="minorHAnsi" w:hAnsiTheme="minorHAnsi" w:cstheme="minorHAnsi"/>
          <w:b/>
        </w:rPr>
        <w:t xml:space="preserve">Střední škola </w:t>
      </w:r>
      <w:r>
        <w:rPr>
          <w:rFonts w:asciiTheme="minorHAnsi" w:hAnsiTheme="minorHAnsi" w:cstheme="minorHAnsi"/>
          <w:b/>
        </w:rPr>
        <w:t>filmová, multimediální a počítačových technologií, s.r.o.</w:t>
      </w:r>
      <w:r w:rsidRPr="00C551A0">
        <w:rPr>
          <w:rFonts w:asciiTheme="minorHAnsi" w:hAnsiTheme="minorHAnsi" w:cstheme="minorHAnsi"/>
        </w:rPr>
        <w:t xml:space="preserve"> 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 xml:space="preserve">Sídlo: </w:t>
      </w:r>
      <w:r>
        <w:rPr>
          <w:rFonts w:asciiTheme="minorHAnsi" w:hAnsiTheme="minorHAnsi" w:cstheme="minorHAnsi"/>
        </w:rPr>
        <w:t xml:space="preserve">Zlín – </w:t>
      </w:r>
      <w:proofErr w:type="spellStart"/>
      <w:r>
        <w:rPr>
          <w:rFonts w:asciiTheme="minorHAnsi" w:hAnsiTheme="minorHAnsi" w:cstheme="minorHAnsi"/>
        </w:rPr>
        <w:t>Kudlov</w:t>
      </w:r>
      <w:proofErr w:type="spellEnd"/>
      <w:r>
        <w:rPr>
          <w:rFonts w:asciiTheme="minorHAnsi" w:hAnsiTheme="minorHAnsi" w:cstheme="minorHAnsi"/>
        </w:rPr>
        <w:t>, Filmová 174, 760</w:t>
      </w:r>
      <w:r w:rsidR="00D20A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01 Zlín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 xml:space="preserve">IČO: </w:t>
      </w:r>
      <w:r>
        <w:rPr>
          <w:rFonts w:asciiTheme="minorHAnsi" w:hAnsiTheme="minorHAnsi" w:cstheme="minorHAnsi"/>
        </w:rPr>
        <w:t>29373883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 xml:space="preserve">Zastoupený: </w:t>
      </w:r>
      <w:r>
        <w:rPr>
          <w:rFonts w:asciiTheme="minorHAnsi" w:hAnsiTheme="minorHAnsi" w:cstheme="minorHAnsi"/>
        </w:rPr>
        <w:t>Martina Růžičková</w:t>
      </w:r>
      <w:r w:rsidRPr="00C551A0">
        <w:rPr>
          <w:rFonts w:asciiTheme="minorHAnsi" w:hAnsiTheme="minorHAnsi" w:cstheme="minorHAnsi"/>
        </w:rPr>
        <w:t>, jednatel</w:t>
      </w:r>
      <w:r>
        <w:rPr>
          <w:rFonts w:asciiTheme="minorHAnsi" w:hAnsiTheme="minorHAnsi" w:cstheme="minorHAnsi"/>
        </w:rPr>
        <w:t>ka a JUDr. Martin Růžička, jednatel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954A9C">
        <w:rPr>
          <w:rFonts w:asciiTheme="minorHAnsi" w:hAnsiTheme="minorHAnsi" w:cstheme="minorHAnsi"/>
        </w:rPr>
        <w:t xml:space="preserve">Bankovní spojení: </w:t>
      </w:r>
      <w:proofErr w:type="spellStart"/>
      <w:r w:rsidRPr="00954A9C">
        <w:rPr>
          <w:rFonts w:asciiTheme="minorHAnsi" w:hAnsiTheme="minorHAnsi" w:cstheme="minorHAnsi"/>
        </w:rPr>
        <w:t>Raiffeisenbank</w:t>
      </w:r>
      <w:proofErr w:type="spellEnd"/>
      <w:r w:rsidRPr="00954A9C">
        <w:rPr>
          <w:rFonts w:asciiTheme="minorHAnsi" w:hAnsiTheme="minorHAnsi" w:cstheme="minorHAnsi"/>
        </w:rPr>
        <w:t xml:space="preserve"> a.s., č. </w:t>
      </w:r>
      <w:proofErr w:type="spellStart"/>
      <w:r w:rsidRPr="00954A9C">
        <w:rPr>
          <w:rFonts w:asciiTheme="minorHAnsi" w:hAnsiTheme="minorHAnsi" w:cstheme="minorHAnsi"/>
        </w:rPr>
        <w:t>ú.</w:t>
      </w:r>
      <w:proofErr w:type="spellEnd"/>
      <w:r w:rsidRPr="00954A9C">
        <w:rPr>
          <w:rFonts w:asciiTheme="minorHAnsi" w:hAnsiTheme="minorHAnsi" w:cstheme="minorHAnsi"/>
        </w:rPr>
        <w:t xml:space="preserve"> 7798397001/5500</w:t>
      </w:r>
      <w:r>
        <w:rPr>
          <w:rFonts w:asciiTheme="minorHAnsi" w:hAnsiTheme="minorHAnsi" w:cstheme="minorHAnsi"/>
        </w:rPr>
        <w:t xml:space="preserve"> 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 xml:space="preserve">zapsaný u </w:t>
      </w:r>
      <w:r>
        <w:rPr>
          <w:rFonts w:asciiTheme="minorHAnsi" w:hAnsiTheme="minorHAnsi" w:cstheme="minorHAnsi"/>
        </w:rPr>
        <w:t>KS v Brně, oddíl C, vložka 76485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  <w:r w:rsidRPr="00C551A0">
        <w:rPr>
          <w:rFonts w:asciiTheme="minorHAnsi" w:hAnsiTheme="minorHAnsi" w:cstheme="minorHAnsi"/>
        </w:rPr>
        <w:t>(dále jen „příjemce“)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82C3D" w:rsidRPr="00C551A0" w:rsidRDefault="00C82C3D" w:rsidP="00C82C3D">
      <w:pPr>
        <w:spacing w:line="276" w:lineRule="auto"/>
        <w:jc w:val="center"/>
        <w:rPr>
          <w:rFonts w:cstheme="minorHAnsi"/>
          <w:sz w:val="24"/>
          <w:szCs w:val="24"/>
        </w:rPr>
      </w:pPr>
      <w:r w:rsidRPr="00C551A0">
        <w:rPr>
          <w:rFonts w:cstheme="minorHAnsi"/>
          <w:sz w:val="24"/>
          <w:szCs w:val="24"/>
        </w:rPr>
        <w:t xml:space="preserve">uzavřely na </w:t>
      </w:r>
      <w:r w:rsidRPr="00FA4A3D">
        <w:rPr>
          <w:rFonts w:cstheme="minorHAnsi"/>
          <w:sz w:val="24"/>
          <w:szCs w:val="24"/>
        </w:rPr>
        <w:t>základě § 10a zákona č. 250/2000 Sb., o rozpočtových pravidlech územních rozpočt</w:t>
      </w:r>
      <w:r>
        <w:rPr>
          <w:rFonts w:cstheme="minorHAnsi"/>
          <w:sz w:val="24"/>
          <w:szCs w:val="24"/>
        </w:rPr>
        <w:t>ů, ve znění pozdějších předpisů</w:t>
      </w:r>
      <w:r w:rsidRPr="00FA4A3D">
        <w:rPr>
          <w:rFonts w:cstheme="minorHAnsi"/>
          <w:sz w:val="24"/>
          <w:szCs w:val="24"/>
        </w:rPr>
        <w:t xml:space="preserve"> a § 163</w:t>
      </w:r>
      <w:r>
        <w:rPr>
          <w:rFonts w:cstheme="minorHAnsi"/>
          <w:sz w:val="24"/>
          <w:szCs w:val="24"/>
        </w:rPr>
        <w:t xml:space="preserve"> </w:t>
      </w:r>
      <w:r w:rsidRPr="00AD318B">
        <w:rPr>
          <w:rFonts w:cstheme="minorHAnsi"/>
          <w:sz w:val="24"/>
          <w:szCs w:val="24"/>
        </w:rPr>
        <w:t>zákona č. 561/2004 Sb., školský zákon, ve znění pozdějších předpisu</w:t>
      </w:r>
      <w:r w:rsidRPr="00C82C3D">
        <w:rPr>
          <w:rFonts w:cstheme="minorHAnsi"/>
          <w:color w:val="FF0000"/>
          <w:sz w:val="24"/>
          <w:szCs w:val="24"/>
        </w:rPr>
        <w:t>,</w:t>
      </w:r>
      <w:r w:rsidRPr="00FA4A3D">
        <w:rPr>
          <w:rFonts w:cstheme="minorHAnsi"/>
          <w:sz w:val="24"/>
          <w:szCs w:val="24"/>
        </w:rPr>
        <w:t xml:space="preserve"> tuto veřejnoprávní smlouvu o poskytnutí dotace</w:t>
      </w:r>
      <w:r w:rsidRPr="00C551A0">
        <w:rPr>
          <w:rFonts w:cstheme="minorHAnsi"/>
          <w:sz w:val="24"/>
          <w:szCs w:val="24"/>
        </w:rPr>
        <w:t xml:space="preserve"> (dále jen „Smlouva"):</w:t>
      </w:r>
    </w:p>
    <w:p w:rsidR="00C82C3D" w:rsidRPr="00C551A0" w:rsidRDefault="00C82C3D" w:rsidP="00C82C3D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76" w:lineRule="auto"/>
        <w:jc w:val="center"/>
        <w:rPr>
          <w:rFonts w:eastAsia="Thoth-Unicode" w:cstheme="minorHAnsi"/>
          <w:b/>
          <w:sz w:val="24"/>
          <w:szCs w:val="24"/>
        </w:rPr>
      </w:pPr>
      <w:r w:rsidRPr="00C551A0">
        <w:rPr>
          <w:rFonts w:eastAsia="Thoth-Unicode" w:cstheme="minorHAnsi"/>
          <w:b/>
          <w:sz w:val="24"/>
          <w:szCs w:val="24"/>
        </w:rPr>
        <w:t>Čl. I.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76" w:lineRule="auto"/>
        <w:jc w:val="center"/>
        <w:rPr>
          <w:rFonts w:eastAsia="Thoth-Unicode" w:cstheme="minorHAnsi"/>
          <w:b/>
          <w:sz w:val="24"/>
          <w:szCs w:val="24"/>
        </w:rPr>
      </w:pPr>
      <w:r w:rsidRPr="00C551A0">
        <w:rPr>
          <w:rFonts w:eastAsia="Thoth-Unicode" w:cstheme="minorHAnsi"/>
          <w:b/>
          <w:sz w:val="24"/>
          <w:szCs w:val="24"/>
        </w:rPr>
        <w:t>Předmět smlouvy</w:t>
      </w:r>
    </w:p>
    <w:p w:rsidR="00C82C3D" w:rsidRPr="00C551A0" w:rsidRDefault="00C82C3D" w:rsidP="00C82C3D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 xml:space="preserve">Předmětem této smlouvy je poskytnutí dotace a vymezení práv a povinností smluvních stran při poskytnutí a použití dotace z Rozvojového programu Ministerstva školství, mládeže a tělovýchovy </w:t>
      </w:r>
      <w:r w:rsidRPr="00C551A0">
        <w:rPr>
          <w:rFonts w:cstheme="minorHAnsi"/>
          <w:bCs/>
          <w:sz w:val="24"/>
          <w:szCs w:val="24"/>
        </w:rPr>
        <w:t>„</w:t>
      </w:r>
      <w:r w:rsidR="00A10416">
        <w:rPr>
          <w:rFonts w:cstheme="minorHAnsi"/>
          <w:bCs/>
          <w:sz w:val="24"/>
          <w:szCs w:val="24"/>
        </w:rPr>
        <w:t>Excelence středních škol</w:t>
      </w:r>
      <w:r w:rsidRPr="00394F06">
        <w:rPr>
          <w:rFonts w:cstheme="minorHAnsi"/>
          <w:bCs/>
          <w:sz w:val="24"/>
          <w:szCs w:val="24"/>
        </w:rPr>
        <w:t xml:space="preserve"> - hodnocení žáků a škol podle výsledků v soutěžích ve školním roce 2018/2019 “</w:t>
      </w:r>
      <w:r w:rsidRPr="00C551A0">
        <w:rPr>
          <w:rFonts w:cstheme="minorHAnsi"/>
          <w:bCs/>
          <w:sz w:val="24"/>
          <w:szCs w:val="24"/>
        </w:rPr>
        <w:t>“</w:t>
      </w:r>
      <w:r w:rsidRPr="00C551A0">
        <w:rPr>
          <w:rFonts w:cstheme="minorHAnsi"/>
          <w:sz w:val="24"/>
          <w:szCs w:val="24"/>
        </w:rPr>
        <w:t xml:space="preserve"> stanovené Rozhodnutím </w:t>
      </w:r>
      <w:r w:rsidRPr="00394F06">
        <w:rPr>
          <w:rFonts w:cstheme="minorHAnsi"/>
          <w:sz w:val="24"/>
          <w:szCs w:val="24"/>
        </w:rPr>
        <w:t xml:space="preserve">MŠMT </w:t>
      </w:r>
      <w:r>
        <w:rPr>
          <w:rFonts w:cstheme="minorHAnsi"/>
          <w:sz w:val="24"/>
          <w:szCs w:val="24"/>
        </w:rPr>
        <w:t>č. 518720</w:t>
      </w:r>
      <w:r w:rsidRPr="00394F06">
        <w:rPr>
          <w:rFonts w:cstheme="minorHAnsi"/>
          <w:sz w:val="24"/>
          <w:szCs w:val="24"/>
        </w:rPr>
        <w:t>.</w:t>
      </w:r>
    </w:p>
    <w:p w:rsidR="00C82C3D" w:rsidRPr="00C551A0" w:rsidRDefault="00C82C3D" w:rsidP="00934890">
      <w:pPr>
        <w:autoSpaceDE w:val="0"/>
        <w:autoSpaceDN w:val="0"/>
        <w:adjustRightInd w:val="0"/>
        <w:spacing w:after="0" w:line="276" w:lineRule="auto"/>
        <w:jc w:val="center"/>
        <w:rPr>
          <w:rFonts w:eastAsia="Thoth-Unicode" w:cstheme="minorHAnsi"/>
          <w:b/>
          <w:sz w:val="24"/>
          <w:szCs w:val="24"/>
        </w:rPr>
      </w:pPr>
      <w:r w:rsidRPr="00C551A0">
        <w:rPr>
          <w:rFonts w:eastAsia="Thoth-Unicode" w:cstheme="minorHAnsi"/>
          <w:b/>
          <w:sz w:val="24"/>
          <w:szCs w:val="24"/>
        </w:rPr>
        <w:lastRenderedPageBreak/>
        <w:t>Čl. II.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76" w:lineRule="auto"/>
        <w:jc w:val="center"/>
        <w:rPr>
          <w:rFonts w:eastAsia="Thoth-Unicode" w:cstheme="minorHAnsi"/>
          <w:b/>
          <w:sz w:val="24"/>
          <w:szCs w:val="24"/>
        </w:rPr>
      </w:pPr>
      <w:r w:rsidRPr="00C551A0">
        <w:rPr>
          <w:rFonts w:eastAsia="Thoth-Unicode" w:cstheme="minorHAnsi"/>
          <w:b/>
          <w:sz w:val="24"/>
          <w:szCs w:val="24"/>
        </w:rPr>
        <w:t>Účel dotace</w:t>
      </w:r>
    </w:p>
    <w:p w:rsidR="00C82C3D" w:rsidRPr="00C551A0" w:rsidRDefault="00C82C3D" w:rsidP="00C82C3D">
      <w:pPr>
        <w:spacing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cstheme="minorHAnsi"/>
          <w:sz w:val="24"/>
          <w:szCs w:val="24"/>
          <w:lang w:eastAsia="cs-CZ"/>
        </w:rPr>
        <w:t xml:space="preserve">Dotace je určena na nenárokové složky </w:t>
      </w:r>
      <w:r>
        <w:rPr>
          <w:rFonts w:cstheme="minorHAnsi"/>
          <w:sz w:val="24"/>
          <w:szCs w:val="24"/>
          <w:lang w:eastAsia="cs-CZ"/>
        </w:rPr>
        <w:t>platů</w:t>
      </w:r>
      <w:r w:rsidRPr="00C551A0">
        <w:rPr>
          <w:rFonts w:cstheme="minorHAnsi"/>
          <w:sz w:val="24"/>
          <w:szCs w:val="24"/>
          <w:lang w:eastAsia="cs-CZ"/>
        </w:rPr>
        <w:t xml:space="preserve"> pedagogických pracovníků příjemce (vč. zákonných odvodů), kteří se podíleli na vzdělávání talentovaného žáka/talentovaných žáků v oborech hodnocených podle výsledků, kterých žák/žáci příjemce dosáhl/i v soutěžích vyhlašovaných a </w:t>
      </w:r>
      <w:proofErr w:type="spellStart"/>
      <w:r w:rsidRPr="00C551A0">
        <w:rPr>
          <w:rFonts w:cstheme="minorHAnsi"/>
          <w:sz w:val="24"/>
          <w:szCs w:val="24"/>
          <w:lang w:eastAsia="cs-CZ"/>
        </w:rPr>
        <w:t>spoluvyhlašovaných</w:t>
      </w:r>
      <w:proofErr w:type="spellEnd"/>
      <w:r w:rsidRPr="00C551A0">
        <w:rPr>
          <w:rFonts w:cstheme="minorHAnsi"/>
          <w:sz w:val="24"/>
          <w:szCs w:val="24"/>
          <w:lang w:eastAsia="cs-CZ"/>
        </w:rPr>
        <w:t xml:space="preserve"> Ministerstvem školství, mládeže a tělovýchovy </w:t>
      </w:r>
      <w:r w:rsidRPr="00C551A0">
        <w:rPr>
          <w:rFonts w:cstheme="minorHAnsi"/>
          <w:sz w:val="24"/>
          <w:szCs w:val="24"/>
          <w:lang w:eastAsia="cs-CZ"/>
        </w:rPr>
        <w:br/>
      </w:r>
      <w:r>
        <w:rPr>
          <w:rFonts w:cstheme="minorHAnsi"/>
          <w:sz w:val="24"/>
          <w:szCs w:val="24"/>
          <w:lang w:eastAsia="cs-CZ"/>
        </w:rPr>
        <w:t>ve školním roce 2018/2019</w:t>
      </w:r>
      <w:r w:rsidRPr="00C551A0">
        <w:rPr>
          <w:rFonts w:cstheme="minorHAnsi"/>
          <w:sz w:val="24"/>
          <w:szCs w:val="24"/>
          <w:lang w:eastAsia="cs-CZ"/>
        </w:rPr>
        <w:t xml:space="preserve"> v rámci rozvojového programu uvedeného v článku I. </w:t>
      </w:r>
      <w:r>
        <w:rPr>
          <w:rFonts w:cstheme="minorHAnsi"/>
          <w:sz w:val="24"/>
          <w:szCs w:val="24"/>
          <w:lang w:eastAsia="cs-CZ"/>
        </w:rPr>
        <w:t>t</w:t>
      </w:r>
      <w:r w:rsidRPr="00C551A0">
        <w:rPr>
          <w:rFonts w:cstheme="minorHAnsi"/>
          <w:sz w:val="24"/>
          <w:szCs w:val="24"/>
          <w:lang w:eastAsia="cs-CZ"/>
        </w:rPr>
        <w:t xml:space="preserve">éto smlouvy. </w:t>
      </w:r>
    </w:p>
    <w:p w:rsidR="00C82C3D" w:rsidRPr="00C551A0" w:rsidRDefault="00C82C3D" w:rsidP="00C82C3D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76" w:lineRule="auto"/>
        <w:jc w:val="center"/>
        <w:rPr>
          <w:rFonts w:eastAsia="Thoth-Unicode" w:cstheme="minorHAnsi"/>
          <w:b/>
          <w:sz w:val="24"/>
          <w:szCs w:val="24"/>
        </w:rPr>
      </w:pPr>
      <w:r w:rsidRPr="00C551A0">
        <w:rPr>
          <w:rFonts w:eastAsia="Thoth-Unicode" w:cstheme="minorHAnsi"/>
          <w:b/>
          <w:sz w:val="24"/>
          <w:szCs w:val="24"/>
        </w:rPr>
        <w:t>Čl. III.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76" w:lineRule="auto"/>
        <w:jc w:val="center"/>
        <w:rPr>
          <w:rFonts w:eastAsia="Thoth-Unicode" w:cstheme="minorHAnsi"/>
          <w:b/>
          <w:sz w:val="24"/>
          <w:szCs w:val="24"/>
        </w:rPr>
      </w:pPr>
      <w:r w:rsidRPr="00C551A0">
        <w:rPr>
          <w:rFonts w:eastAsia="Thoth-Unicode" w:cstheme="minorHAnsi"/>
          <w:b/>
          <w:sz w:val="24"/>
          <w:szCs w:val="24"/>
        </w:rPr>
        <w:t>Výše dotace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 xml:space="preserve">(1) Poskytovatel poskytne příjemci dotaci v celkové výši </w:t>
      </w:r>
      <w:r>
        <w:rPr>
          <w:rFonts w:eastAsia="Thoth-Unicode" w:cstheme="minorHAnsi"/>
          <w:b/>
          <w:sz w:val="24"/>
          <w:szCs w:val="24"/>
        </w:rPr>
        <w:t>51 000</w:t>
      </w:r>
      <w:r w:rsidRPr="00C551A0">
        <w:rPr>
          <w:rFonts w:eastAsia="Thoth-Unicode" w:cstheme="minorHAnsi"/>
          <w:b/>
          <w:sz w:val="24"/>
          <w:szCs w:val="24"/>
        </w:rPr>
        <w:t xml:space="preserve">,- Kč </w:t>
      </w:r>
      <w:r w:rsidRPr="00C551A0">
        <w:rPr>
          <w:rFonts w:eastAsia="Thoth-Unicode" w:cstheme="minorHAnsi"/>
          <w:sz w:val="24"/>
          <w:szCs w:val="24"/>
        </w:rPr>
        <w:t xml:space="preserve">(slovy: </w:t>
      </w:r>
      <w:proofErr w:type="spellStart"/>
      <w:r>
        <w:rPr>
          <w:rFonts w:eastAsia="Thoth-Unicode" w:cstheme="minorHAnsi"/>
          <w:sz w:val="24"/>
          <w:szCs w:val="24"/>
        </w:rPr>
        <w:t>padesátjednatisíc</w:t>
      </w:r>
      <w:r w:rsidRPr="00C551A0">
        <w:rPr>
          <w:rFonts w:eastAsia="Thoth-Unicode" w:cstheme="minorHAnsi"/>
          <w:sz w:val="24"/>
          <w:szCs w:val="24"/>
        </w:rPr>
        <w:t>korunčeských</w:t>
      </w:r>
      <w:proofErr w:type="spellEnd"/>
      <w:r w:rsidRPr="00C551A0">
        <w:rPr>
          <w:rFonts w:eastAsia="Thoth-Unicode" w:cstheme="minorHAnsi"/>
          <w:sz w:val="24"/>
          <w:szCs w:val="24"/>
        </w:rPr>
        <w:t>).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 xml:space="preserve">(2) Dotaci poukáže poskytovatel příjemci na bankovní účet uvedený v záhlaví této smlouvy, </w:t>
      </w:r>
      <w:r w:rsidRPr="00C551A0">
        <w:rPr>
          <w:rFonts w:eastAsia="Thoth-Unicode" w:cstheme="minorHAnsi"/>
          <w:sz w:val="24"/>
          <w:szCs w:val="24"/>
        </w:rPr>
        <w:br/>
      </w:r>
      <w:r>
        <w:rPr>
          <w:rFonts w:eastAsia="Thoth-Unicode" w:cstheme="minorHAnsi"/>
          <w:sz w:val="24"/>
          <w:szCs w:val="24"/>
        </w:rPr>
        <w:t>a to nejpozději do 29</w:t>
      </w:r>
      <w:r w:rsidRPr="00FA4A3D">
        <w:rPr>
          <w:rFonts w:eastAsia="Thoth-Unicode" w:cstheme="minorHAnsi"/>
          <w:sz w:val="24"/>
          <w:szCs w:val="24"/>
        </w:rPr>
        <w:t>. 4. 2020.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76" w:lineRule="auto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76" w:lineRule="auto"/>
        <w:jc w:val="center"/>
        <w:rPr>
          <w:rFonts w:eastAsia="Thoth-Unicode" w:cstheme="minorHAnsi"/>
          <w:b/>
          <w:sz w:val="24"/>
          <w:szCs w:val="24"/>
        </w:rPr>
      </w:pPr>
      <w:r w:rsidRPr="00C551A0">
        <w:rPr>
          <w:rFonts w:eastAsia="Thoth-Unicode" w:cstheme="minorHAnsi"/>
          <w:b/>
          <w:sz w:val="24"/>
          <w:szCs w:val="24"/>
        </w:rPr>
        <w:t>Čl. IV.</w:t>
      </w:r>
    </w:p>
    <w:p w:rsidR="00C82C3D" w:rsidRPr="00C551A0" w:rsidRDefault="00C82C3D" w:rsidP="00934890">
      <w:pPr>
        <w:autoSpaceDE w:val="0"/>
        <w:autoSpaceDN w:val="0"/>
        <w:adjustRightInd w:val="0"/>
        <w:spacing w:after="0" w:line="276" w:lineRule="auto"/>
        <w:jc w:val="center"/>
        <w:rPr>
          <w:rFonts w:eastAsia="Thoth-Unicode" w:cstheme="minorHAnsi"/>
          <w:b/>
          <w:sz w:val="24"/>
          <w:szCs w:val="24"/>
        </w:rPr>
      </w:pPr>
      <w:r w:rsidRPr="00C551A0">
        <w:rPr>
          <w:rFonts w:eastAsia="Thoth-Unicode" w:cstheme="minorHAnsi"/>
          <w:b/>
          <w:sz w:val="24"/>
          <w:szCs w:val="24"/>
        </w:rPr>
        <w:t>Práva a povinnosti smluvních stran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(1) Poskytovatel se zavazuje poskytnout příjemci dotaci na účel uvedený v článku II</w:t>
      </w:r>
      <w:r>
        <w:rPr>
          <w:rFonts w:eastAsia="Thoth-Unicode" w:cstheme="minorHAnsi"/>
          <w:sz w:val="24"/>
          <w:szCs w:val="24"/>
        </w:rPr>
        <w:t>.</w:t>
      </w:r>
      <w:r w:rsidRPr="00C551A0">
        <w:rPr>
          <w:rStyle w:val="Odkaznakoment"/>
          <w:rFonts w:cstheme="minorHAnsi"/>
        </w:rPr>
        <w:t>,</w:t>
      </w:r>
      <w:r w:rsidRPr="00C551A0">
        <w:rPr>
          <w:rFonts w:eastAsia="Thoth-Unicode" w:cstheme="minorHAnsi"/>
          <w:sz w:val="24"/>
          <w:szCs w:val="24"/>
        </w:rPr>
        <w:t xml:space="preserve"> a to ve výši a způsobem uvedeným v článku III</w:t>
      </w:r>
      <w:r>
        <w:rPr>
          <w:rFonts w:eastAsia="Thoth-Unicode" w:cstheme="minorHAnsi"/>
          <w:sz w:val="24"/>
          <w:szCs w:val="24"/>
        </w:rPr>
        <w:t>.</w:t>
      </w:r>
      <w:r w:rsidRPr="00C551A0">
        <w:rPr>
          <w:rFonts w:eastAsia="Thoth-Unicode" w:cstheme="minorHAnsi"/>
          <w:sz w:val="24"/>
          <w:szCs w:val="24"/>
        </w:rPr>
        <w:t xml:space="preserve"> této smlouvy.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(2) Přidělené prostředky budou účtovány a vykazovány pod účelovým znakem 33038.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(3) Příjemce je povinen při komunikaci s poskytovatelem používat označení 33038.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(4) Příjemce je povinen použít dotaci v souladu s platnými právními předpisy České republiky a Evropské unie.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(5) Příjemce je povinen užít dotaci vlastním jménem, na vlastní účet a vlastní zodpovědnost.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 xml:space="preserve">(6) Příjemce se zavazuje dodržet účel dotace a další podmínky a povinnosti vyplývající z této smlouvy a související s účelem a použitím dotace. </w:t>
      </w:r>
      <w:r w:rsidRPr="00C551A0">
        <w:rPr>
          <w:rFonts w:cstheme="minorHAnsi"/>
          <w:sz w:val="24"/>
          <w:szCs w:val="24"/>
        </w:rPr>
        <w:t xml:space="preserve">Účelu dotace musí být dosaženo </w:t>
      </w:r>
      <w:r w:rsidRPr="00C551A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do 31. 8. 2020</w:t>
      </w:r>
      <w:r w:rsidRPr="00C551A0">
        <w:rPr>
          <w:rFonts w:cstheme="minorHAnsi"/>
          <w:sz w:val="24"/>
          <w:szCs w:val="24"/>
        </w:rPr>
        <w:t>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 xml:space="preserve">(7) Příjemce se zavazuje </w:t>
      </w:r>
      <w:r w:rsidRPr="00C551A0">
        <w:rPr>
          <w:rFonts w:cstheme="minorHAnsi"/>
          <w:sz w:val="24"/>
          <w:szCs w:val="24"/>
        </w:rPr>
        <w:t>k použití dota</w:t>
      </w:r>
      <w:r>
        <w:rPr>
          <w:rFonts w:cstheme="minorHAnsi"/>
          <w:sz w:val="24"/>
          <w:szCs w:val="24"/>
        </w:rPr>
        <w:t xml:space="preserve">ce pouze na náklady vzniklé od </w:t>
      </w:r>
      <w:r w:rsidR="00A10416">
        <w:rPr>
          <w:rFonts w:cstheme="minorHAnsi"/>
          <w:sz w:val="24"/>
          <w:szCs w:val="24"/>
        </w:rPr>
        <w:t>19</w:t>
      </w:r>
      <w:r w:rsidRPr="00FA4A3D">
        <w:rPr>
          <w:rFonts w:cstheme="minorHAnsi"/>
          <w:sz w:val="24"/>
          <w:szCs w:val="24"/>
        </w:rPr>
        <w:t>. 3. 2020</w:t>
      </w:r>
      <w:r w:rsidRPr="00C551A0">
        <w:rPr>
          <w:rFonts w:cstheme="minorHAnsi"/>
          <w:sz w:val="24"/>
          <w:szCs w:val="24"/>
        </w:rPr>
        <w:t>, které souvisejí s plněním účelu dotace, a budou uhrazeny nejpozději do 31. 8</w:t>
      </w:r>
      <w:r>
        <w:rPr>
          <w:rFonts w:cstheme="minorHAnsi"/>
          <w:sz w:val="24"/>
          <w:szCs w:val="24"/>
        </w:rPr>
        <w:t>. 2020</w:t>
      </w:r>
      <w:r w:rsidRPr="00C551A0">
        <w:rPr>
          <w:rFonts w:cstheme="minorHAnsi"/>
          <w:sz w:val="24"/>
          <w:szCs w:val="24"/>
        </w:rPr>
        <w:t xml:space="preserve">. 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(8) Příjemce je povinen dotaci používat účelně, efektivně a hospodárně.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(9) Příjemce je povinen vést účetnictví v souladu s platnými právními předpisy České republiky, zejména se zákonem č. 563/1991 Sb., o účetnictví, ve znění pozdějších předpisů, a v něm řádně a odděleně sledovat nakládání s poskytnutou dotací.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C551A0">
        <w:rPr>
          <w:rFonts w:cstheme="minorHAnsi"/>
          <w:sz w:val="24"/>
          <w:szCs w:val="24"/>
        </w:rPr>
        <w:t xml:space="preserve">(10) Příjemce je povinen zajistit, aby příslušné doklady vztahující se k účelu dotace splňovaly náležitosti účetního dokladu ve smyslu ustanovení § 11 odst. 1 zákona o účetnictví (s výjimkou písm. f) tohoto ustanovení), a aby předmětné doklady byly správné, úplné, průkazné, </w:t>
      </w:r>
      <w:r w:rsidRPr="00C551A0">
        <w:rPr>
          <w:rFonts w:cstheme="minorHAnsi"/>
          <w:sz w:val="24"/>
          <w:szCs w:val="24"/>
        </w:rPr>
        <w:lastRenderedPageBreak/>
        <w:t>srozumitelné, vedené v písemné formě chronologicky a způsobem zaručujícím jejich trvanlivost.</w:t>
      </w:r>
    </w:p>
    <w:p w:rsidR="00C82C3D" w:rsidRPr="00C551A0" w:rsidRDefault="00C82C3D" w:rsidP="00C82C3D">
      <w:pPr>
        <w:pStyle w:val="Headline0proTP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C551A0">
        <w:rPr>
          <w:rFonts w:asciiTheme="minorHAnsi" w:hAnsiTheme="minorHAnsi" w:cstheme="minorHAnsi"/>
          <w:b w:val="0"/>
          <w:sz w:val="24"/>
          <w:szCs w:val="24"/>
        </w:rPr>
        <w:t>(11) Příjemce je dále povinen účetní záznamy vztahující se k účelu dotace dokládat při následných kontrolách a auditech prováděných oprávněnými orgány, a tyto doklady uchovávat nejméně po dobu 10 let od roku následujícího po roce, v němž došlo k finančnímu vypořádání dotace.</w:t>
      </w:r>
    </w:p>
    <w:p w:rsidR="00C82C3D" w:rsidRPr="00C551A0" w:rsidRDefault="00C82C3D" w:rsidP="008353D9">
      <w:pPr>
        <w:autoSpaceDE w:val="0"/>
        <w:autoSpaceDN w:val="0"/>
        <w:adjustRightInd w:val="0"/>
        <w:spacing w:after="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(12) Příjemce je povinen finančně vypořádat dotaci v souladu s vyhláškou č. 367/2018 Sb., o zásadách a lhůtách finančního vypořádávání vztahů se státním rozpočtem, státními finančními aktivy a Národním fondem, v platném znění, v termínu pro f</w:t>
      </w:r>
      <w:r>
        <w:rPr>
          <w:rFonts w:eastAsia="Thoth-Unicode" w:cstheme="minorHAnsi"/>
          <w:sz w:val="24"/>
          <w:szCs w:val="24"/>
        </w:rPr>
        <w:t>inanční vypořádávání za rok 2020</w:t>
      </w:r>
      <w:r w:rsidRPr="00C551A0">
        <w:rPr>
          <w:rFonts w:eastAsia="Thoth-Unicode" w:cstheme="minorHAnsi"/>
          <w:sz w:val="24"/>
          <w:szCs w:val="24"/>
        </w:rPr>
        <w:t xml:space="preserve">, který </w:t>
      </w:r>
      <w:r>
        <w:rPr>
          <w:rFonts w:eastAsia="Thoth-Unicode" w:cstheme="minorHAnsi"/>
          <w:sz w:val="24"/>
          <w:szCs w:val="24"/>
        </w:rPr>
        <w:t>příjemci</w:t>
      </w:r>
      <w:r w:rsidRPr="00C551A0">
        <w:rPr>
          <w:rFonts w:eastAsia="Thoth-Unicode" w:cstheme="minorHAnsi"/>
          <w:sz w:val="24"/>
          <w:szCs w:val="24"/>
        </w:rPr>
        <w:t xml:space="preserve"> bude krajským úřadem sdělen. 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8353D9">
      <w:pPr>
        <w:autoSpaceDE w:val="0"/>
        <w:autoSpaceDN w:val="0"/>
        <w:adjustRightInd w:val="0"/>
        <w:spacing w:after="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(13) Ve stejném termínu pro finanční vypořádání je příjemc</w:t>
      </w:r>
      <w:r>
        <w:rPr>
          <w:rFonts w:eastAsia="Thoth-Unicode" w:cstheme="minorHAnsi"/>
          <w:sz w:val="24"/>
          <w:szCs w:val="24"/>
        </w:rPr>
        <w:t>e</w:t>
      </w:r>
      <w:r w:rsidRPr="00C551A0">
        <w:rPr>
          <w:rFonts w:eastAsia="Thoth-Unicode" w:cstheme="minorHAnsi"/>
          <w:sz w:val="24"/>
          <w:szCs w:val="24"/>
        </w:rPr>
        <w:t xml:space="preserve"> povinen zaslat vyúčtování dotace na formuláři specifikovaném v příloze č. 1. Přílohy č. 1 </w:t>
      </w:r>
      <w:r w:rsidR="00B03C19">
        <w:rPr>
          <w:rFonts w:eastAsia="Thoth-Unicode" w:cstheme="minorHAnsi"/>
          <w:sz w:val="24"/>
          <w:szCs w:val="24"/>
        </w:rPr>
        <w:t>je</w:t>
      </w:r>
      <w:r w:rsidRPr="00C551A0">
        <w:rPr>
          <w:rFonts w:eastAsia="Thoth-Unicode" w:cstheme="minorHAnsi"/>
          <w:sz w:val="24"/>
          <w:szCs w:val="24"/>
        </w:rPr>
        <w:t xml:space="preserve"> nedílnou součástí této smlouvy.</w:t>
      </w:r>
    </w:p>
    <w:p w:rsidR="00C82C3D" w:rsidRPr="00C551A0" w:rsidRDefault="00C82C3D" w:rsidP="008353D9">
      <w:pPr>
        <w:autoSpaceDE w:val="0"/>
        <w:autoSpaceDN w:val="0"/>
        <w:adjustRightInd w:val="0"/>
        <w:spacing w:after="0" w:line="276" w:lineRule="auto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8353D9">
      <w:pPr>
        <w:autoSpaceDE w:val="0"/>
        <w:autoSpaceDN w:val="0"/>
        <w:adjustRightInd w:val="0"/>
        <w:spacing w:after="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(14) Příjemce je povinen</w:t>
      </w:r>
      <w:r w:rsidR="00C622E0">
        <w:rPr>
          <w:rFonts w:eastAsia="Thoth-Unicode" w:cstheme="minorHAnsi"/>
          <w:sz w:val="24"/>
          <w:szCs w:val="24"/>
        </w:rPr>
        <w:t>,</w:t>
      </w:r>
      <w:r w:rsidRPr="00C551A0">
        <w:rPr>
          <w:rFonts w:eastAsia="Thoth-Unicode" w:cstheme="minorHAnsi"/>
          <w:sz w:val="24"/>
          <w:szCs w:val="24"/>
        </w:rPr>
        <w:t xml:space="preserve"> v případě vrácení finančních prostředků souvisejících s poskytnutou dotací</w:t>
      </w:r>
      <w:r w:rsidR="00C622E0">
        <w:rPr>
          <w:rFonts w:eastAsia="Thoth-Unicode" w:cstheme="minorHAnsi"/>
          <w:sz w:val="24"/>
          <w:szCs w:val="24"/>
        </w:rPr>
        <w:t>,</w:t>
      </w:r>
      <w:r w:rsidRPr="00C551A0">
        <w:rPr>
          <w:rFonts w:eastAsia="Thoth-Unicode" w:cstheme="minorHAnsi"/>
          <w:sz w:val="24"/>
          <w:szCs w:val="24"/>
        </w:rPr>
        <w:t xml:space="preserve"> zaslat</w:t>
      </w:r>
      <w:r w:rsidR="00B03C19">
        <w:rPr>
          <w:rFonts w:eastAsia="Thoth-Unicode" w:cstheme="minorHAnsi"/>
          <w:sz w:val="24"/>
          <w:szCs w:val="24"/>
        </w:rPr>
        <w:t xml:space="preserve"> avízo o vratce dle přílohy č. 2</w:t>
      </w:r>
      <w:r w:rsidR="00F9038F">
        <w:rPr>
          <w:rFonts w:eastAsia="Thoth-Unicode" w:cstheme="minorHAnsi"/>
          <w:sz w:val="24"/>
          <w:szCs w:val="24"/>
        </w:rPr>
        <w:t xml:space="preserve">. Příloha č. 2 </w:t>
      </w:r>
      <w:r w:rsidRPr="00C551A0">
        <w:rPr>
          <w:rFonts w:eastAsia="Thoth-Unicode" w:cstheme="minorHAnsi"/>
          <w:sz w:val="24"/>
          <w:szCs w:val="24"/>
        </w:rPr>
        <w:t xml:space="preserve">je nedílnou součástí této smlouvy. Před jejich odesláním na účet krajského úřadu </w:t>
      </w:r>
      <w:r w:rsidR="00C622E0">
        <w:rPr>
          <w:rFonts w:eastAsia="Thoth-Unicode" w:cstheme="minorHAnsi"/>
          <w:sz w:val="24"/>
          <w:szCs w:val="24"/>
        </w:rPr>
        <w:t xml:space="preserve">zašle </w:t>
      </w:r>
      <w:r w:rsidR="00F914E5">
        <w:rPr>
          <w:rFonts w:eastAsia="Thoth-Unicode" w:cstheme="minorHAnsi"/>
          <w:sz w:val="24"/>
          <w:szCs w:val="24"/>
        </w:rPr>
        <w:t xml:space="preserve">příjemce dotace </w:t>
      </w:r>
      <w:r w:rsidR="00C622E0">
        <w:rPr>
          <w:rFonts w:eastAsia="Thoth-Unicode" w:cstheme="minorHAnsi"/>
          <w:sz w:val="24"/>
          <w:szCs w:val="24"/>
        </w:rPr>
        <w:t xml:space="preserve">avízo o vratce </w:t>
      </w:r>
      <w:r w:rsidRPr="00C551A0">
        <w:rPr>
          <w:rFonts w:eastAsia="Thoth-Unicode" w:cstheme="minorHAnsi"/>
          <w:sz w:val="24"/>
          <w:szCs w:val="24"/>
        </w:rPr>
        <w:t xml:space="preserve">datovou </w:t>
      </w:r>
      <w:r w:rsidR="00FE3027">
        <w:rPr>
          <w:rFonts w:eastAsia="Thoth-Unicode" w:cstheme="minorHAnsi"/>
          <w:sz w:val="24"/>
          <w:szCs w:val="24"/>
        </w:rPr>
        <w:t>schránkou.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934890">
      <w:pPr>
        <w:spacing w:after="0"/>
        <w:jc w:val="center"/>
        <w:rPr>
          <w:rFonts w:cstheme="minorHAnsi"/>
          <w:b/>
          <w:sz w:val="24"/>
          <w:szCs w:val="24"/>
        </w:rPr>
      </w:pPr>
      <w:r w:rsidRPr="00C551A0">
        <w:rPr>
          <w:rFonts w:cstheme="minorHAnsi"/>
          <w:b/>
          <w:sz w:val="24"/>
          <w:szCs w:val="24"/>
        </w:rPr>
        <w:t>Čl. V</w:t>
      </w:r>
    </w:p>
    <w:p w:rsidR="00C82C3D" w:rsidRPr="00C551A0" w:rsidRDefault="00C82C3D" w:rsidP="00934890">
      <w:pPr>
        <w:spacing w:after="0"/>
        <w:jc w:val="center"/>
        <w:rPr>
          <w:rFonts w:cstheme="minorHAnsi"/>
          <w:b/>
          <w:sz w:val="24"/>
          <w:szCs w:val="24"/>
        </w:rPr>
      </w:pPr>
      <w:r w:rsidRPr="00C551A0">
        <w:rPr>
          <w:rFonts w:cstheme="minorHAnsi"/>
          <w:b/>
          <w:sz w:val="24"/>
          <w:szCs w:val="24"/>
        </w:rPr>
        <w:t>Porušení rozpočtové kázně a odvod za porušení rozpočtové kázně</w:t>
      </w:r>
    </w:p>
    <w:p w:rsidR="00C82C3D" w:rsidRPr="00C551A0" w:rsidRDefault="00C82C3D" w:rsidP="008353D9">
      <w:pPr>
        <w:autoSpaceDE w:val="0"/>
        <w:autoSpaceDN w:val="0"/>
        <w:adjustRightInd w:val="0"/>
        <w:spacing w:after="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(1) Při kontrole dodržování podmínek použití dotace a uplatnění sankce při neoprávněném použití nebo zadržení dotace se postupuje podle zákona č. 320/2001 Sb., o finanční kontrole ve veřejné správě a o změně některých zákonů (zákon o finanční kontrole), ve znění pozdějších předpisů, a zákona č. 250/2000 Sb.</w:t>
      </w:r>
    </w:p>
    <w:p w:rsidR="00C82C3D" w:rsidRPr="00C551A0" w:rsidRDefault="00C82C3D" w:rsidP="008353D9">
      <w:pPr>
        <w:spacing w:after="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 xml:space="preserve">(2) Použití dotace v rozporu s podmínkami stanovenými právními předpisy a touto smlouvou se považuje za neoprávněné použití peněžních prostředků poskytnutých ze státního rozpočtu a za porušení rozpočtové kázně ve smyslu § 22 zákona č. 250/2000 Sb. </w:t>
      </w:r>
    </w:p>
    <w:p w:rsidR="00C82C3D" w:rsidRPr="00C551A0" w:rsidRDefault="00C82C3D" w:rsidP="008353D9">
      <w:pPr>
        <w:spacing w:after="0" w:line="276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 xml:space="preserve">(3) Příjemce dotace, který porušil rozpočtovou kázeň, je povinen odvést do státního rozpočtu prostřednictvím rozpočtu poskytovatele odvod za porušení rozpočtové kázně ve stejné výši, </w:t>
      </w:r>
      <w:r w:rsidRPr="00C551A0">
        <w:rPr>
          <w:rFonts w:eastAsia="Thoth-Unicode" w:cstheme="minorHAnsi"/>
          <w:sz w:val="24"/>
          <w:szCs w:val="24"/>
        </w:rPr>
        <w:br/>
        <w:t xml:space="preserve">v jaké byla porušena rozpočtová kázeň. 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center"/>
        <w:rPr>
          <w:rFonts w:eastAsia="Thoth-Unicode" w:cstheme="minorHAnsi"/>
          <w:b/>
          <w:sz w:val="24"/>
          <w:szCs w:val="24"/>
        </w:rPr>
      </w:pPr>
      <w:r w:rsidRPr="00C551A0">
        <w:rPr>
          <w:rFonts w:eastAsia="Thoth-Unicode" w:cstheme="minorHAnsi"/>
          <w:b/>
          <w:sz w:val="24"/>
          <w:szCs w:val="24"/>
        </w:rPr>
        <w:t>Čl. VI.</w:t>
      </w:r>
    </w:p>
    <w:p w:rsidR="00C82C3D" w:rsidRPr="00C551A0" w:rsidRDefault="00C82C3D" w:rsidP="008353D9">
      <w:pPr>
        <w:autoSpaceDE w:val="0"/>
        <w:autoSpaceDN w:val="0"/>
        <w:adjustRightInd w:val="0"/>
        <w:spacing w:after="0" w:line="240" w:lineRule="auto"/>
        <w:jc w:val="center"/>
        <w:rPr>
          <w:rFonts w:eastAsia="Thoth-Unicode" w:cstheme="minorHAnsi"/>
          <w:b/>
          <w:sz w:val="24"/>
          <w:szCs w:val="24"/>
        </w:rPr>
      </w:pPr>
      <w:r w:rsidRPr="00C551A0">
        <w:rPr>
          <w:rFonts w:eastAsia="Thoth-Unicode" w:cstheme="minorHAnsi"/>
          <w:b/>
          <w:sz w:val="24"/>
          <w:szCs w:val="24"/>
        </w:rPr>
        <w:t>Závěrečná ustanovení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(1) Jakékoli změny a doplňky této smlouvy lze učinit pouze formou písemného a číslovaného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40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dodatku, podepsaného oprávněnými zástupci obou stran.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40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(2) Právní vztahy touto smlouvou neupravené se řídí obecně závaznými právními předpisy.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40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(3) Tato smlouva je vyhotovena ve třech stejnopisech s platností originálu, z nichž jeden obdrží příjemce a dva poskytovatel.</w:t>
      </w:r>
    </w:p>
    <w:p w:rsidR="00C82C3D" w:rsidRDefault="00C82C3D" w:rsidP="00C82C3D">
      <w:pPr>
        <w:autoSpaceDE w:val="0"/>
        <w:autoSpaceDN w:val="0"/>
        <w:adjustRightInd w:val="0"/>
        <w:spacing w:after="120" w:line="240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 xml:space="preserve">(4) </w:t>
      </w:r>
      <w:r w:rsidRPr="00FA4A3D">
        <w:rPr>
          <w:rFonts w:eastAsia="Thoth-Unicode" w:cstheme="minorHAnsi"/>
          <w:sz w:val="24"/>
          <w:szCs w:val="24"/>
        </w:rPr>
        <w:t xml:space="preserve">Smlouva podléhá zveřejnění v registru smluv v souladu se zákonem č. 340/2015 Sb., zákon o registru smluv. Smluvní strany se dohodly, že poskytovatel odešle v zákonné lhůtě smlouvu </w:t>
      </w:r>
      <w:r w:rsidRPr="00FA4A3D">
        <w:rPr>
          <w:rFonts w:eastAsia="Thoth-Unicode" w:cstheme="minorHAnsi"/>
          <w:sz w:val="24"/>
          <w:szCs w:val="24"/>
        </w:rPr>
        <w:lastRenderedPageBreak/>
        <w:t>k řádnému uveřejnění do registru smluv. O uveřejnění smlouvy bude příjemce bezodkladně informován.</w:t>
      </w:r>
    </w:p>
    <w:p w:rsidR="00C82C3D" w:rsidRPr="00FA4A3D" w:rsidRDefault="00C82C3D" w:rsidP="00C82C3D">
      <w:pPr>
        <w:autoSpaceDE w:val="0"/>
        <w:autoSpaceDN w:val="0"/>
        <w:adjustRightInd w:val="0"/>
        <w:spacing w:after="120" w:line="240" w:lineRule="auto"/>
        <w:jc w:val="both"/>
        <w:rPr>
          <w:rFonts w:eastAsia="Thoth-Unicode" w:cstheme="minorHAnsi"/>
          <w:sz w:val="24"/>
          <w:szCs w:val="24"/>
        </w:rPr>
      </w:pPr>
      <w:r>
        <w:rPr>
          <w:rFonts w:eastAsia="Thoth-Unicode" w:cstheme="minorHAnsi"/>
          <w:sz w:val="24"/>
          <w:szCs w:val="24"/>
        </w:rPr>
        <w:t>(5</w:t>
      </w:r>
      <w:r w:rsidRPr="00C551A0">
        <w:rPr>
          <w:rFonts w:eastAsia="Thoth-Unicode" w:cstheme="minorHAnsi"/>
          <w:sz w:val="24"/>
          <w:szCs w:val="24"/>
        </w:rPr>
        <w:t xml:space="preserve">) </w:t>
      </w:r>
      <w:r w:rsidRPr="00FA4A3D">
        <w:rPr>
          <w:rFonts w:eastAsia="Thoth-Unicode" w:cstheme="minorHAnsi"/>
          <w:sz w:val="24"/>
          <w:szCs w:val="24"/>
        </w:rPr>
        <w:t>Tato smlouva nabývá účinnosti dnem zveřejnění v registru smluv</w:t>
      </w:r>
      <w:r w:rsidRPr="00C551A0">
        <w:rPr>
          <w:rFonts w:eastAsia="Thoth-Unicode" w:cstheme="minorHAnsi"/>
          <w:sz w:val="24"/>
          <w:szCs w:val="24"/>
        </w:rPr>
        <w:t>.</w:t>
      </w:r>
    </w:p>
    <w:p w:rsidR="00C82C3D" w:rsidRPr="00C551A0" w:rsidRDefault="00C82C3D" w:rsidP="00C82C3D">
      <w:pPr>
        <w:autoSpaceDE w:val="0"/>
        <w:autoSpaceDN w:val="0"/>
        <w:adjustRightInd w:val="0"/>
        <w:spacing w:after="120" w:line="240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(</w:t>
      </w:r>
      <w:r>
        <w:rPr>
          <w:rFonts w:eastAsia="Thoth-Unicode" w:cstheme="minorHAnsi"/>
          <w:sz w:val="24"/>
          <w:szCs w:val="24"/>
        </w:rPr>
        <w:t>6</w:t>
      </w:r>
      <w:r w:rsidRPr="00C551A0">
        <w:rPr>
          <w:rFonts w:eastAsia="Thoth-Unicode" w:cstheme="minorHAnsi"/>
          <w:sz w:val="24"/>
          <w:szCs w:val="24"/>
        </w:rPr>
        <w:t>) Smluvní strany si smlouvu řádně přečetly, s obsahem smlouvy, který je projevem jejich svobodné a vážné vůle, souhlasí, na důkaz čehož připojují své podpisy.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Ve Zlíně dne …………………..…….</w:t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  <w:t>Ve Zlíně</w:t>
      </w:r>
      <w:r w:rsidRPr="00C551A0">
        <w:rPr>
          <w:rFonts w:eastAsia="Thoth-Unicode" w:cstheme="minorHAnsi"/>
          <w:sz w:val="24"/>
          <w:szCs w:val="24"/>
        </w:rPr>
        <w:t xml:space="preserve"> dne …………………..…….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………………………………………….</w:t>
      </w:r>
      <w:r w:rsidRPr="00C551A0">
        <w:rPr>
          <w:rFonts w:eastAsia="Thoth-Unicode" w:cstheme="minorHAnsi"/>
          <w:sz w:val="24"/>
          <w:szCs w:val="24"/>
        </w:rPr>
        <w:tab/>
      </w:r>
      <w:r w:rsidRPr="00C551A0">
        <w:rPr>
          <w:rFonts w:eastAsia="Thoth-Unicode" w:cstheme="minorHAnsi"/>
          <w:sz w:val="24"/>
          <w:szCs w:val="24"/>
        </w:rPr>
        <w:tab/>
      </w:r>
      <w:r w:rsidRPr="00C551A0">
        <w:rPr>
          <w:rFonts w:eastAsia="Thoth-Unicode" w:cstheme="minorHAnsi"/>
          <w:sz w:val="24"/>
          <w:szCs w:val="24"/>
        </w:rPr>
        <w:tab/>
      </w:r>
      <w:r w:rsidRPr="00C551A0">
        <w:rPr>
          <w:rFonts w:eastAsia="Thoth-Unicode" w:cstheme="minorHAnsi"/>
          <w:sz w:val="24"/>
          <w:szCs w:val="24"/>
        </w:rPr>
        <w:tab/>
      </w:r>
      <w:r w:rsidRPr="00C551A0">
        <w:rPr>
          <w:rFonts w:eastAsia="Thoth-Unicode" w:cstheme="minorHAnsi"/>
          <w:sz w:val="24"/>
          <w:szCs w:val="24"/>
        </w:rPr>
        <w:tab/>
        <w:t>……………………..………………..</w:t>
      </w:r>
    </w:p>
    <w:p w:rsidR="00C82C3D" w:rsidRPr="00C551A0" w:rsidRDefault="00C82C3D" w:rsidP="00C82C3D">
      <w:pPr>
        <w:autoSpaceDE w:val="0"/>
        <w:autoSpaceDN w:val="0"/>
        <w:adjustRightInd w:val="0"/>
        <w:spacing w:after="0" w:line="240" w:lineRule="auto"/>
        <w:jc w:val="both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 xml:space="preserve">PhDr. Stanislav Minařík                                                               </w:t>
      </w:r>
      <w:r>
        <w:rPr>
          <w:rFonts w:cstheme="minorHAnsi"/>
        </w:rPr>
        <w:t>Martina Růžičková</w:t>
      </w:r>
      <w:r w:rsidRPr="00C551A0">
        <w:rPr>
          <w:rFonts w:cstheme="minorHAnsi"/>
        </w:rPr>
        <w:t xml:space="preserve"> </w:t>
      </w:r>
    </w:p>
    <w:p w:rsidR="00C82C3D" w:rsidRPr="00C551A0" w:rsidRDefault="00C82C3D" w:rsidP="00C82C3D">
      <w:pPr>
        <w:spacing w:after="0" w:line="240" w:lineRule="auto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vedoucí Odboru školství, mládeže a sportu</w:t>
      </w:r>
      <w:r w:rsidRPr="00C551A0">
        <w:rPr>
          <w:rFonts w:eastAsia="Thoth-Unicode" w:cstheme="minorHAnsi"/>
          <w:sz w:val="24"/>
          <w:szCs w:val="24"/>
        </w:rPr>
        <w:tab/>
      </w:r>
      <w:r w:rsidRPr="00C551A0">
        <w:rPr>
          <w:rFonts w:eastAsia="Thoth-Unicode" w:cstheme="minorHAnsi"/>
          <w:sz w:val="24"/>
          <w:szCs w:val="24"/>
        </w:rPr>
        <w:tab/>
      </w:r>
      <w:r w:rsidRPr="00C551A0">
        <w:rPr>
          <w:rFonts w:eastAsia="Thoth-Unicode" w:cstheme="minorHAnsi"/>
          <w:sz w:val="24"/>
          <w:szCs w:val="24"/>
        </w:rPr>
        <w:tab/>
      </w:r>
      <w:r w:rsidRPr="00C551A0">
        <w:rPr>
          <w:rFonts w:cstheme="minorHAnsi"/>
        </w:rPr>
        <w:t>jednatel</w:t>
      </w:r>
      <w:r>
        <w:rPr>
          <w:rFonts w:cstheme="minorHAnsi"/>
        </w:rPr>
        <w:t>ka</w:t>
      </w:r>
    </w:p>
    <w:p w:rsidR="00C82C3D" w:rsidRPr="00C551A0" w:rsidRDefault="00C82C3D" w:rsidP="00C82C3D">
      <w:pPr>
        <w:spacing w:after="0" w:line="240" w:lineRule="auto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t>Krajského úřadu Zlínského kraje</w:t>
      </w:r>
    </w:p>
    <w:p w:rsidR="00C82C3D" w:rsidRDefault="00C82C3D" w:rsidP="00C82C3D">
      <w:pPr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rPr>
          <w:rFonts w:eastAsia="Thoth-Unicode" w:cstheme="minorHAnsi"/>
          <w:sz w:val="24"/>
          <w:szCs w:val="24"/>
        </w:rPr>
      </w:pPr>
    </w:p>
    <w:p w:rsidR="00C82C3D" w:rsidRDefault="00C82C3D" w:rsidP="00C82C3D">
      <w:pPr>
        <w:spacing w:after="0"/>
        <w:rPr>
          <w:rFonts w:eastAsia="Thoth-Unicode" w:cstheme="minorHAnsi"/>
          <w:sz w:val="24"/>
          <w:szCs w:val="24"/>
        </w:rPr>
      </w:pP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  <w:t>…………………………………………</w:t>
      </w:r>
    </w:p>
    <w:p w:rsidR="00C82C3D" w:rsidRDefault="00C82C3D" w:rsidP="00C82C3D">
      <w:pPr>
        <w:spacing w:after="0"/>
        <w:rPr>
          <w:rFonts w:eastAsia="Thoth-Unicode" w:cstheme="minorHAnsi"/>
          <w:sz w:val="24"/>
          <w:szCs w:val="24"/>
        </w:rPr>
      </w:pP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  <w:t>JUDr. Martin Růžička</w:t>
      </w:r>
    </w:p>
    <w:p w:rsidR="00C82C3D" w:rsidRPr="00C551A0" w:rsidRDefault="00C82C3D" w:rsidP="00C82C3D">
      <w:pPr>
        <w:spacing w:after="0"/>
        <w:rPr>
          <w:rFonts w:eastAsia="Thoth-Unicode" w:cstheme="minorHAnsi"/>
          <w:sz w:val="24"/>
          <w:szCs w:val="24"/>
        </w:rPr>
      </w:pP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</w:r>
      <w:r>
        <w:rPr>
          <w:rFonts w:eastAsia="Thoth-Unicode" w:cstheme="minorHAnsi"/>
          <w:sz w:val="24"/>
          <w:szCs w:val="24"/>
        </w:rPr>
        <w:tab/>
        <w:t>jednatel</w:t>
      </w:r>
      <w:r>
        <w:rPr>
          <w:rFonts w:eastAsia="Thoth-Unicode" w:cstheme="minorHAnsi"/>
          <w:sz w:val="24"/>
          <w:szCs w:val="24"/>
        </w:rPr>
        <w:tab/>
      </w:r>
    </w:p>
    <w:p w:rsidR="00C82C3D" w:rsidRPr="00C551A0" w:rsidRDefault="00C82C3D" w:rsidP="00C82C3D">
      <w:pPr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rPr>
          <w:rFonts w:eastAsia="Thoth-Unicode" w:cstheme="minorHAnsi"/>
          <w:sz w:val="24"/>
          <w:szCs w:val="24"/>
        </w:rPr>
      </w:pPr>
    </w:p>
    <w:p w:rsidR="00C82C3D" w:rsidRPr="00C551A0" w:rsidRDefault="00C82C3D" w:rsidP="00C82C3D">
      <w:pPr>
        <w:rPr>
          <w:rFonts w:eastAsia="Thoth-Unicode" w:cstheme="minorHAnsi"/>
          <w:sz w:val="24"/>
          <w:szCs w:val="24"/>
        </w:rPr>
      </w:pPr>
    </w:p>
    <w:p w:rsidR="00C82C3D" w:rsidRDefault="00C82C3D" w:rsidP="00C82C3D">
      <w:pPr>
        <w:rPr>
          <w:rFonts w:eastAsia="Thoth-Unicode" w:cstheme="minorHAnsi"/>
          <w:sz w:val="24"/>
          <w:szCs w:val="24"/>
        </w:rPr>
      </w:pPr>
    </w:p>
    <w:p w:rsidR="00FA7CDC" w:rsidRPr="00C551A0" w:rsidRDefault="00FA7CDC" w:rsidP="00C82C3D">
      <w:pPr>
        <w:rPr>
          <w:rFonts w:eastAsia="Thoth-Unicode" w:cstheme="minorHAnsi"/>
          <w:sz w:val="24"/>
          <w:szCs w:val="24"/>
        </w:rPr>
      </w:pPr>
    </w:p>
    <w:p w:rsidR="00C82C3D" w:rsidRDefault="00C82C3D" w:rsidP="00C82C3D">
      <w:pPr>
        <w:rPr>
          <w:rFonts w:eastAsia="Thoth-Unicode" w:cstheme="minorHAnsi"/>
          <w:sz w:val="24"/>
          <w:szCs w:val="24"/>
        </w:rPr>
      </w:pPr>
    </w:p>
    <w:p w:rsidR="00B03C19" w:rsidRDefault="00B03C19" w:rsidP="00C82C3D">
      <w:pPr>
        <w:rPr>
          <w:rFonts w:eastAsia="Thoth-Unicode" w:cstheme="minorHAnsi"/>
          <w:sz w:val="24"/>
          <w:szCs w:val="24"/>
        </w:rPr>
      </w:pPr>
    </w:p>
    <w:p w:rsidR="008353D9" w:rsidRDefault="008353D9" w:rsidP="00C82C3D">
      <w:pPr>
        <w:rPr>
          <w:rFonts w:eastAsia="Thoth-Unicode" w:cstheme="minorHAnsi"/>
          <w:sz w:val="24"/>
          <w:szCs w:val="24"/>
        </w:rPr>
      </w:pPr>
    </w:p>
    <w:p w:rsidR="008353D9" w:rsidRDefault="008353D9" w:rsidP="00C82C3D">
      <w:pPr>
        <w:rPr>
          <w:rFonts w:eastAsia="Thoth-Unicode" w:cstheme="minorHAnsi"/>
          <w:sz w:val="24"/>
          <w:szCs w:val="24"/>
        </w:rPr>
      </w:pPr>
    </w:p>
    <w:p w:rsidR="008353D9" w:rsidRDefault="008353D9" w:rsidP="00C82C3D">
      <w:pPr>
        <w:rPr>
          <w:rFonts w:eastAsia="Thoth-Unicode" w:cstheme="minorHAnsi"/>
          <w:sz w:val="24"/>
          <w:szCs w:val="24"/>
        </w:rPr>
      </w:pPr>
    </w:p>
    <w:p w:rsidR="008353D9" w:rsidRPr="00C551A0" w:rsidRDefault="008353D9" w:rsidP="00C82C3D">
      <w:pPr>
        <w:rPr>
          <w:rFonts w:eastAsia="Thoth-Unicode" w:cstheme="minorHAnsi"/>
          <w:sz w:val="24"/>
          <w:szCs w:val="24"/>
        </w:rPr>
      </w:pPr>
    </w:p>
    <w:p w:rsidR="00C82C3D" w:rsidRPr="00C551A0" w:rsidRDefault="00C82C3D" w:rsidP="00FE37A3">
      <w:pPr>
        <w:jc w:val="center"/>
        <w:rPr>
          <w:rFonts w:eastAsia="Thoth-Unicode" w:cstheme="minorHAnsi"/>
          <w:sz w:val="24"/>
          <w:szCs w:val="24"/>
        </w:rPr>
      </w:pPr>
      <w:r w:rsidRPr="00C551A0">
        <w:rPr>
          <w:rFonts w:eastAsia="Thoth-Unicode" w:cstheme="minorHAnsi"/>
          <w:sz w:val="24"/>
          <w:szCs w:val="24"/>
        </w:rPr>
        <w:lastRenderedPageBreak/>
        <w:t>Příloha č. 1</w:t>
      </w:r>
    </w:p>
    <w:tbl>
      <w:tblPr>
        <w:tblW w:w="1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860"/>
        <w:gridCol w:w="1860"/>
        <w:gridCol w:w="1860"/>
        <w:gridCol w:w="960"/>
        <w:gridCol w:w="960"/>
        <w:gridCol w:w="960"/>
      </w:tblGrid>
      <w:tr w:rsidR="00FE37A3" w:rsidRPr="00FE37A3" w:rsidTr="00FE37A3">
        <w:trPr>
          <w:trHeight w:val="42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RANGE!A1:D32"/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2020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43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9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Příjemce dotace: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9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15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60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 xml:space="preserve">Excelence středních škol - hodnocení žáků a škol podle výsledků v soutěžích ve školním roce 2018/2019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9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rozhodnutí: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7A3" w:rsidRPr="00FE37A3" w:rsidRDefault="00FE37A3" w:rsidP="0083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518720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Závazný ukazatel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lang w:eastAsia="cs-CZ"/>
              </w:rPr>
              <w:t>Údaje o dotaci MŠMT v Kč: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945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Skutečně čerpáno z dotace MŠMT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Vratka MŠMT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DOTACE CELKEM: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7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7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ukazatele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1. Počet podpořených pedagogů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2. Počet podpořených škol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 xml:space="preserve">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Zdůvodnění případné vratky  (vratku je třeba zdůvodnit ve smyslu Dalších podmínek Povinností příjemce dotace):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600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Závěrečné zhodnocení (přínos poskytnuté dotace):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1365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Datum připsání dotace na zvl. účet kraje: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Datum odeslání dotace právnickým osobám: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Potvrzuji, že veškeré uvedené údaje jsou správné, pravdivé a úplné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00"/>
        </w:trPr>
        <w:tc>
          <w:tcPr>
            <w:tcW w:w="5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Osoba oprávněná jednat za příjemce (jméno, příjmení, titul):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Funkce/pracovní pozice: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37A3" w:rsidRPr="00FE37A3" w:rsidTr="00FE37A3">
        <w:trPr>
          <w:trHeight w:val="315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37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7A3" w:rsidRPr="00FE37A3" w:rsidRDefault="00FE37A3" w:rsidP="00FE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82C3D" w:rsidRPr="00C551A0" w:rsidRDefault="00C82C3D" w:rsidP="00C82C3D">
      <w:pPr>
        <w:rPr>
          <w:rFonts w:eastAsia="Thoth-Unicode" w:cstheme="minorHAnsi"/>
          <w:sz w:val="24"/>
          <w:szCs w:val="24"/>
        </w:rPr>
      </w:pPr>
    </w:p>
    <w:p w:rsidR="00C82C3D" w:rsidRDefault="00C82C3D" w:rsidP="00C82C3D">
      <w:pPr>
        <w:rPr>
          <w:rFonts w:eastAsia="Thoth-Unicode" w:cstheme="minorHAnsi"/>
          <w:sz w:val="24"/>
          <w:szCs w:val="24"/>
        </w:rPr>
      </w:pPr>
    </w:p>
    <w:p w:rsidR="00B03C19" w:rsidRPr="00C551A0" w:rsidRDefault="00B03C19" w:rsidP="00B03C19">
      <w:pPr>
        <w:jc w:val="center"/>
        <w:rPr>
          <w:rFonts w:eastAsia="Thoth-Unicode" w:cstheme="minorHAnsi"/>
          <w:sz w:val="24"/>
          <w:szCs w:val="24"/>
        </w:rPr>
      </w:pPr>
      <w:bookmarkStart w:id="1" w:name="_GoBack"/>
      <w:bookmarkEnd w:id="1"/>
      <w:r>
        <w:rPr>
          <w:rFonts w:eastAsia="Thoth-Unicode" w:cstheme="minorHAnsi"/>
          <w:sz w:val="24"/>
          <w:szCs w:val="24"/>
        </w:rPr>
        <w:lastRenderedPageBreak/>
        <w:t>Příloha č. 2</w:t>
      </w:r>
    </w:p>
    <w:p w:rsidR="008353D9" w:rsidRDefault="008353D9" w:rsidP="008353D9">
      <w:pPr>
        <w:spacing w:after="0"/>
        <w:rPr>
          <w:rFonts w:ascii="Calibri" w:hAnsi="Calibri"/>
          <w:sz w:val="32"/>
          <w:szCs w:val="32"/>
          <w:u w:val="single"/>
        </w:rPr>
      </w:pPr>
      <w:proofErr w:type="gramStart"/>
      <w:r w:rsidRPr="004F5994">
        <w:rPr>
          <w:rFonts w:ascii="Calibri" w:hAnsi="Calibri"/>
          <w:sz w:val="32"/>
          <w:szCs w:val="32"/>
          <w:u w:val="single"/>
        </w:rPr>
        <w:t>Avízo o vratce</w:t>
      </w:r>
      <w:proofErr w:type="gramEnd"/>
    </w:p>
    <w:p w:rsidR="00C82C3D" w:rsidRPr="00C551A0" w:rsidRDefault="00C82C3D" w:rsidP="00C82C3D">
      <w:pPr>
        <w:rPr>
          <w:rFonts w:cstheme="minorHAnsi"/>
          <w:sz w:val="19"/>
          <w:szCs w:val="19"/>
        </w:rPr>
      </w:pPr>
      <w:r w:rsidRPr="00C551A0">
        <w:rPr>
          <w:rFonts w:cstheme="minorHAnsi"/>
          <w:sz w:val="19"/>
          <w:szCs w:val="19"/>
        </w:rPr>
        <w:t>(</w:t>
      </w:r>
      <w:r w:rsidRPr="00C551A0">
        <w:rPr>
          <w:rFonts w:cstheme="minorHAnsi"/>
          <w:i/>
          <w:sz w:val="19"/>
          <w:szCs w:val="19"/>
        </w:rPr>
        <w:t>formulář pro konečné příjemce dotace - pro školy</w:t>
      </w:r>
      <w:r w:rsidRPr="00C551A0">
        <w:rPr>
          <w:rFonts w:cstheme="minorHAnsi"/>
          <w:sz w:val="19"/>
          <w:szCs w:val="19"/>
        </w:rPr>
        <w:t>)</w:t>
      </w:r>
    </w:p>
    <w:p w:rsidR="00C82C3D" w:rsidRPr="00C551A0" w:rsidRDefault="00C82C3D" w:rsidP="00C82C3D">
      <w:pPr>
        <w:spacing w:after="0"/>
        <w:rPr>
          <w:rFonts w:cstheme="minorHAnsi"/>
        </w:rPr>
      </w:pPr>
      <w:r w:rsidRPr="00C551A0">
        <w:rPr>
          <w:rFonts w:cstheme="minorHAnsi"/>
          <w:sz w:val="19"/>
          <w:szCs w:val="19"/>
        </w:rPr>
        <w:t>Připomínka:</w:t>
      </w:r>
    </w:p>
    <w:p w:rsidR="00C82C3D" w:rsidRPr="00C551A0" w:rsidRDefault="00C82C3D" w:rsidP="00C82C3D">
      <w:pPr>
        <w:pStyle w:val="Nzev"/>
        <w:numPr>
          <w:ilvl w:val="0"/>
          <w:numId w:val="1"/>
        </w:numPr>
        <w:ind w:right="-142"/>
        <w:jc w:val="left"/>
        <w:rPr>
          <w:rFonts w:asciiTheme="minorHAnsi" w:hAnsiTheme="minorHAnsi" w:cstheme="minorHAnsi"/>
          <w:b w:val="0"/>
          <w:sz w:val="19"/>
          <w:szCs w:val="19"/>
        </w:rPr>
      </w:pPr>
      <w:r w:rsidRPr="00C551A0">
        <w:rPr>
          <w:rFonts w:asciiTheme="minorHAnsi" w:hAnsiTheme="minorHAnsi" w:cstheme="minorHAnsi"/>
          <w:b w:val="0"/>
          <w:sz w:val="19"/>
          <w:szCs w:val="19"/>
        </w:rPr>
        <w:t xml:space="preserve">případné vratky do 31. 12. </w:t>
      </w:r>
      <w:r>
        <w:rPr>
          <w:rFonts w:asciiTheme="minorHAnsi" w:hAnsiTheme="minorHAnsi" w:cstheme="minorHAnsi"/>
          <w:b w:val="0"/>
          <w:sz w:val="19"/>
          <w:szCs w:val="19"/>
        </w:rPr>
        <w:t>2020</w:t>
      </w:r>
      <w:r w:rsidRPr="00C551A0">
        <w:rPr>
          <w:rFonts w:asciiTheme="minorHAnsi" w:hAnsiTheme="minorHAnsi" w:cstheme="minorHAnsi"/>
          <w:b w:val="0"/>
          <w:sz w:val="19"/>
          <w:szCs w:val="19"/>
        </w:rPr>
        <w:t xml:space="preserve"> i vratky v rámci finančního vypořádání vztahů </w:t>
      </w:r>
      <w:r w:rsidR="00FE37A3">
        <w:rPr>
          <w:rFonts w:asciiTheme="minorHAnsi" w:hAnsiTheme="minorHAnsi" w:cstheme="minorHAnsi"/>
          <w:b w:val="0"/>
          <w:sz w:val="19"/>
          <w:szCs w:val="19"/>
        </w:rPr>
        <w:t>se státním rozpočtem za rok 2020</w:t>
      </w:r>
      <w:r w:rsidRPr="00C551A0">
        <w:rPr>
          <w:rFonts w:asciiTheme="minorHAnsi" w:hAnsiTheme="minorHAnsi" w:cstheme="minorHAnsi"/>
          <w:b w:val="0"/>
          <w:sz w:val="19"/>
          <w:szCs w:val="19"/>
        </w:rPr>
        <w:t xml:space="preserve"> se vrací na účet kraje, ze kterého byla dotace odeslána,</w:t>
      </w:r>
    </w:p>
    <w:p w:rsidR="00C82C3D" w:rsidRPr="00C551A0" w:rsidRDefault="00C82C3D" w:rsidP="00C82C3D">
      <w:pPr>
        <w:pStyle w:val="Nzev"/>
        <w:numPr>
          <w:ilvl w:val="0"/>
          <w:numId w:val="1"/>
        </w:numPr>
        <w:ind w:right="-142"/>
        <w:jc w:val="left"/>
        <w:rPr>
          <w:rFonts w:asciiTheme="minorHAnsi" w:hAnsiTheme="minorHAnsi" w:cstheme="minorHAnsi"/>
          <w:b w:val="0"/>
          <w:sz w:val="19"/>
          <w:szCs w:val="19"/>
        </w:rPr>
      </w:pPr>
      <w:r w:rsidRPr="00C551A0">
        <w:rPr>
          <w:rFonts w:asciiTheme="minorHAnsi" w:hAnsiTheme="minorHAnsi" w:cstheme="minorHAnsi"/>
          <w:b w:val="0"/>
          <w:sz w:val="19"/>
          <w:szCs w:val="19"/>
        </w:rPr>
        <w:t>příjemce je povinen zajistit, aby kraj (Odbor školství, mládeže a sportu) avízo obdržel před tím, než bude vratka připsána na účet kraje,</w:t>
      </w:r>
    </w:p>
    <w:p w:rsidR="00C82C3D" w:rsidRPr="00C551A0" w:rsidRDefault="00C82C3D" w:rsidP="00C82C3D">
      <w:pPr>
        <w:pStyle w:val="Bezmezer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551A0">
        <w:rPr>
          <w:rFonts w:cstheme="minorHAnsi"/>
          <w:sz w:val="19"/>
          <w:szCs w:val="19"/>
        </w:rPr>
        <w:t>variabilním symbolem vratky bude IČ školy a specifickým symbolem UZ dotace</w:t>
      </w:r>
    </w:p>
    <w:p w:rsidR="00C82C3D" w:rsidRPr="00C551A0" w:rsidRDefault="00C82C3D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D" w:rsidRPr="00C551A0" w:rsidRDefault="00C82C3D" w:rsidP="001E013C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D" w:rsidRPr="00C551A0" w:rsidRDefault="00C82C3D" w:rsidP="001E013C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D" w:rsidRPr="00C551A0" w:rsidRDefault="00C82C3D" w:rsidP="001E013C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D" w:rsidRPr="00C551A0" w:rsidRDefault="00C82C3D" w:rsidP="001E013C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C3D" w:rsidRPr="00C551A0" w:rsidRDefault="00C82C3D" w:rsidP="001E013C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D" w:rsidRPr="00C551A0" w:rsidRDefault="00C82C3D" w:rsidP="001E013C">
            <w:pPr>
              <w:pStyle w:val="Nadpis4tabulka"/>
              <w:jc w:val="both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55CD8">
              <w:rPr>
                <w:rFonts w:asciiTheme="minorHAnsi" w:hAnsiTheme="minorHAnsi" w:cstheme="minorHAnsi"/>
                <w:sz w:val="19"/>
                <w:szCs w:val="19"/>
              </w:rPr>
              <w:t xml:space="preserve">Excelence </w:t>
            </w:r>
            <w:r w:rsidR="00FE37A3">
              <w:rPr>
                <w:rFonts w:asciiTheme="minorHAnsi" w:hAnsiTheme="minorHAnsi" w:cstheme="minorHAnsi"/>
                <w:sz w:val="19"/>
                <w:szCs w:val="19"/>
              </w:rPr>
              <w:t xml:space="preserve">středních škol </w:t>
            </w:r>
            <w:r w:rsidRPr="00255CD8">
              <w:rPr>
                <w:rFonts w:asciiTheme="minorHAnsi" w:hAnsiTheme="minorHAnsi" w:cstheme="minorHAnsi"/>
                <w:sz w:val="19"/>
                <w:szCs w:val="19"/>
              </w:rPr>
              <w:t xml:space="preserve"> - hodnocení žáků a škol podle výsledků v soutěžích ve školním roce 2018/2019</w:t>
            </w:r>
          </w:p>
        </w:tc>
      </w:tr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sz w:val="19"/>
                <w:szCs w:val="19"/>
              </w:rPr>
              <w:t xml:space="preserve">Název modulu 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D" w:rsidRPr="00C551A0" w:rsidRDefault="00C82C3D" w:rsidP="001E013C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b w:val="0"/>
                <w:sz w:val="19"/>
                <w:szCs w:val="19"/>
              </w:rPr>
              <w:t>x</w:t>
            </w:r>
          </w:p>
        </w:tc>
      </w:tr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sz w:val="19"/>
                <w:szCs w:val="19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D" w:rsidRPr="00C551A0" w:rsidRDefault="00C82C3D" w:rsidP="001E013C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b w:val="0"/>
                <w:sz w:val="19"/>
                <w:szCs w:val="19"/>
              </w:rPr>
              <w:t>33038</w:t>
            </w:r>
          </w:p>
        </w:tc>
      </w:tr>
      <w:tr w:rsidR="00C82C3D" w:rsidRPr="00C551A0" w:rsidTr="001E01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3D" w:rsidRPr="00C551A0" w:rsidRDefault="00C82C3D" w:rsidP="001E013C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 w:val="0"/>
                <w:sz w:val="19"/>
                <w:szCs w:val="19"/>
              </w:rPr>
              <w:t>518720</w:t>
            </w:r>
          </w:p>
        </w:tc>
      </w:tr>
    </w:tbl>
    <w:p w:rsidR="00C82C3D" w:rsidRPr="00C551A0" w:rsidRDefault="00C82C3D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C82C3D" w:rsidRPr="00C551A0" w:rsidRDefault="00C82C3D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C82C3D" w:rsidRPr="00C551A0" w:rsidTr="001E013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2C3D" w:rsidRPr="00C551A0" w:rsidRDefault="00C82C3D" w:rsidP="001E013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9"/>
                <w:szCs w:val="19"/>
                <w:lang w:eastAsia="cs-CZ"/>
              </w:rPr>
            </w:pPr>
            <w:r w:rsidRPr="00C551A0">
              <w:rPr>
                <w:rFonts w:eastAsia="Times New Roman" w:cstheme="minorHAns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2C3D" w:rsidRPr="00C551A0" w:rsidRDefault="00C82C3D" w:rsidP="001E013C">
            <w:pPr>
              <w:pStyle w:val="Texttabulka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551A0">
              <w:rPr>
                <w:rFonts w:asciiTheme="minorHAnsi" w:hAnsiTheme="minorHAnsi" w:cs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2C3D" w:rsidRPr="00C551A0" w:rsidRDefault="00C82C3D" w:rsidP="001E013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9"/>
                <w:szCs w:val="19"/>
                <w:lang w:eastAsia="cs-CZ"/>
              </w:rPr>
            </w:pPr>
            <w:r w:rsidRPr="00C551A0">
              <w:rPr>
                <w:rFonts w:eastAsia="Times New Roman" w:cstheme="minorHAns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C82C3D" w:rsidRDefault="00C82C3D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8353D9" w:rsidRPr="00C551A0" w:rsidRDefault="008353D9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C82C3D" w:rsidRPr="00C551A0" w:rsidRDefault="00C82C3D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C551A0">
        <w:rPr>
          <w:rFonts w:asciiTheme="minorHAnsi" w:hAnsiTheme="minorHAnsi" w:cstheme="minorHAnsi"/>
          <w:b w:val="0"/>
          <w:sz w:val="19"/>
          <w:szCs w:val="19"/>
        </w:rPr>
        <w:t xml:space="preserve">Finanční prostředky odeslány na kraj dne:  </w:t>
      </w:r>
    </w:p>
    <w:p w:rsidR="00C82C3D" w:rsidRPr="00C551A0" w:rsidRDefault="00C82C3D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C82C3D" w:rsidRPr="00C551A0" w:rsidRDefault="00C82C3D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C551A0">
        <w:rPr>
          <w:rFonts w:asciiTheme="minorHAnsi" w:hAnsiTheme="minorHAnsi" w:cstheme="minorHAnsi"/>
          <w:sz w:val="19"/>
          <w:szCs w:val="19"/>
        </w:rPr>
        <w:t>Zdůvodnění vratky</w:t>
      </w:r>
      <w:r w:rsidRPr="00C551A0">
        <w:rPr>
          <w:rFonts w:asciiTheme="minorHAnsi" w:hAnsiTheme="minorHAnsi" w:cstheme="minorHAnsi"/>
          <w:b w:val="0"/>
          <w:sz w:val="19"/>
          <w:szCs w:val="19"/>
        </w:rPr>
        <w:t>:</w:t>
      </w:r>
    </w:p>
    <w:p w:rsidR="00C82C3D" w:rsidRPr="00C551A0" w:rsidRDefault="00C82C3D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C82C3D" w:rsidRPr="00C551A0" w:rsidRDefault="00C82C3D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C82C3D" w:rsidRPr="00C551A0" w:rsidRDefault="00C82C3D" w:rsidP="00C82C3D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C551A0">
        <w:rPr>
          <w:rFonts w:asciiTheme="minorHAnsi" w:hAnsiTheme="minorHAnsi" w:cstheme="minorHAnsi"/>
          <w:b w:val="0"/>
          <w:sz w:val="19"/>
          <w:szCs w:val="19"/>
        </w:rPr>
        <w:t>V </w:t>
      </w:r>
      <w:r w:rsidRPr="00C551A0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551A0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C551A0">
        <w:rPr>
          <w:rFonts w:asciiTheme="minorHAnsi" w:hAnsiTheme="minorHAnsi" w:cstheme="minorHAnsi"/>
          <w:b w:val="0"/>
          <w:sz w:val="19"/>
          <w:szCs w:val="19"/>
        </w:rPr>
      </w:r>
      <w:r w:rsidRPr="00C551A0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C551A0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C551A0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C551A0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C551A0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C551A0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C551A0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bookmarkEnd w:id="2"/>
      <w:r w:rsidRPr="00C551A0">
        <w:rPr>
          <w:rFonts w:asciiTheme="minorHAnsi" w:hAnsiTheme="minorHAnsi" w:cstheme="minorHAnsi"/>
          <w:b w:val="0"/>
          <w:sz w:val="19"/>
          <w:szCs w:val="19"/>
        </w:rPr>
        <w:t xml:space="preserve"> dne </w:t>
      </w:r>
      <w:r w:rsidRPr="00C551A0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551A0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C551A0">
        <w:rPr>
          <w:rFonts w:asciiTheme="minorHAnsi" w:hAnsiTheme="minorHAnsi" w:cstheme="minorHAnsi"/>
          <w:b w:val="0"/>
          <w:sz w:val="19"/>
          <w:szCs w:val="19"/>
        </w:rPr>
      </w:r>
      <w:r w:rsidRPr="00C551A0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C551A0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C551A0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C551A0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C551A0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C551A0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C551A0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bookmarkEnd w:id="3"/>
      <w:r w:rsidRPr="00C551A0">
        <w:rPr>
          <w:rFonts w:asciiTheme="minorHAnsi" w:hAnsiTheme="minorHAnsi" w:cstheme="minorHAnsi"/>
          <w:b w:val="0"/>
          <w:sz w:val="19"/>
          <w:szCs w:val="19"/>
        </w:rPr>
        <w:t xml:space="preserve"> </w:t>
      </w:r>
    </w:p>
    <w:p w:rsidR="00C82C3D" w:rsidRPr="00C551A0" w:rsidRDefault="00C82C3D" w:rsidP="00C82C3D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</w:p>
    <w:p w:rsidR="00C82C3D" w:rsidRPr="00C551A0" w:rsidRDefault="00C82C3D" w:rsidP="00C82C3D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C551A0">
        <w:rPr>
          <w:rFonts w:asciiTheme="minorHAnsi" w:hAnsiTheme="minorHAnsi" w:cstheme="minorHAnsi"/>
          <w:b w:val="0"/>
          <w:sz w:val="19"/>
          <w:szCs w:val="19"/>
        </w:rPr>
        <w:t>………………………………………………</w:t>
      </w:r>
    </w:p>
    <w:p w:rsidR="00C82C3D" w:rsidRPr="00C551A0" w:rsidRDefault="00C82C3D" w:rsidP="00C82C3D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C551A0">
        <w:rPr>
          <w:rFonts w:asciiTheme="minorHAnsi" w:hAnsiTheme="minorHAnsi" w:cstheme="minorHAnsi"/>
          <w:b w:val="0"/>
          <w:sz w:val="19"/>
          <w:szCs w:val="19"/>
        </w:rPr>
        <w:t>Osoba oprávněná jednat za příjemce</w:t>
      </w:r>
    </w:p>
    <w:p w:rsidR="00C82C3D" w:rsidRPr="00C551A0" w:rsidRDefault="00C82C3D" w:rsidP="00C82C3D">
      <w:pPr>
        <w:pStyle w:val="Nzev"/>
        <w:ind w:left="5812"/>
        <w:rPr>
          <w:rFonts w:asciiTheme="minorHAnsi" w:hAnsiTheme="minorHAnsi" w:cstheme="minorHAnsi"/>
          <w:b w:val="0"/>
          <w:i/>
          <w:sz w:val="19"/>
          <w:szCs w:val="19"/>
        </w:rPr>
      </w:pPr>
      <w:r w:rsidRPr="00C551A0">
        <w:rPr>
          <w:rFonts w:asciiTheme="minorHAnsi" w:hAnsiTheme="minorHAnsi" w:cstheme="minorHAnsi"/>
          <w:b w:val="0"/>
          <w:i/>
          <w:sz w:val="19"/>
          <w:szCs w:val="19"/>
        </w:rPr>
        <w:t>(podpis, razítko)</w:t>
      </w:r>
    </w:p>
    <w:p w:rsidR="00C82C3D" w:rsidRPr="00C551A0" w:rsidRDefault="00C82C3D" w:rsidP="00C82C3D">
      <w:pPr>
        <w:pStyle w:val="Nzev"/>
        <w:ind w:firstLine="5812"/>
        <w:jc w:val="left"/>
        <w:rPr>
          <w:rFonts w:asciiTheme="minorHAnsi" w:hAnsiTheme="minorHAnsi" w:cstheme="minorHAnsi"/>
          <w:b w:val="0"/>
          <w:i/>
          <w:sz w:val="19"/>
          <w:szCs w:val="19"/>
        </w:rPr>
      </w:pPr>
    </w:p>
    <w:p w:rsidR="00C82C3D" w:rsidRPr="00C551A0" w:rsidRDefault="00C82C3D" w:rsidP="00C82C3D">
      <w:pPr>
        <w:pStyle w:val="Nzev"/>
        <w:jc w:val="left"/>
        <w:rPr>
          <w:rFonts w:asciiTheme="minorHAnsi" w:hAnsiTheme="minorHAnsi" w:cstheme="minorHAnsi"/>
          <w:b w:val="0"/>
          <w:sz w:val="19"/>
          <w:szCs w:val="19"/>
        </w:rPr>
      </w:pPr>
    </w:p>
    <w:p w:rsidR="00640B22" w:rsidRPr="00FE37A3" w:rsidRDefault="00C82C3D" w:rsidP="00FE37A3">
      <w:pPr>
        <w:pStyle w:val="Nzev"/>
        <w:jc w:val="left"/>
        <w:rPr>
          <w:rFonts w:asciiTheme="minorHAnsi" w:eastAsia="Thoth-Unicode" w:hAnsiTheme="minorHAnsi" w:cstheme="minorHAnsi"/>
        </w:rPr>
      </w:pPr>
      <w:r w:rsidRPr="00C551A0">
        <w:rPr>
          <w:rFonts w:asciiTheme="minorHAnsi" w:hAnsiTheme="minorHAnsi" w:cstheme="minorHAnsi"/>
          <w:b w:val="0"/>
          <w:sz w:val="19"/>
          <w:szCs w:val="19"/>
        </w:rPr>
        <w:t xml:space="preserve">Jméno a kontaktní telefon, e-mail osoby, která formulář zpracovala: </w:t>
      </w:r>
    </w:p>
    <w:sectPr w:rsidR="00640B22" w:rsidRPr="00FE37A3" w:rsidSect="005065A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21" w:rsidRDefault="007D3421">
      <w:pPr>
        <w:spacing w:after="0" w:line="240" w:lineRule="auto"/>
      </w:pPr>
      <w:r>
        <w:separator/>
      </w:r>
    </w:p>
  </w:endnote>
  <w:endnote w:type="continuationSeparator" w:id="0">
    <w:p w:rsidR="007D3421" w:rsidRDefault="007D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th-Unicod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013087"/>
      <w:docPartObj>
        <w:docPartGallery w:val="Page Numbers (Bottom of Page)"/>
        <w:docPartUnique/>
      </w:docPartObj>
    </w:sdtPr>
    <w:sdtEndPr/>
    <w:sdtContent>
      <w:p w:rsidR="005065AB" w:rsidRDefault="00C82C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D9">
          <w:rPr>
            <w:noProof/>
          </w:rPr>
          <w:t>1</w:t>
        </w:r>
        <w:r>
          <w:fldChar w:fldCharType="end"/>
        </w:r>
      </w:p>
    </w:sdtContent>
  </w:sdt>
  <w:p w:rsidR="005065AB" w:rsidRDefault="007D3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21" w:rsidRDefault="007D3421">
      <w:pPr>
        <w:spacing w:after="0" w:line="240" w:lineRule="auto"/>
      </w:pPr>
      <w:r>
        <w:separator/>
      </w:r>
    </w:p>
  </w:footnote>
  <w:footnote w:type="continuationSeparator" w:id="0">
    <w:p w:rsidR="007D3421" w:rsidRDefault="007D3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3D"/>
    <w:rsid w:val="004F307C"/>
    <w:rsid w:val="00640B22"/>
    <w:rsid w:val="007D3421"/>
    <w:rsid w:val="008353D9"/>
    <w:rsid w:val="008B7BA5"/>
    <w:rsid w:val="00934890"/>
    <w:rsid w:val="00A10416"/>
    <w:rsid w:val="00AD318B"/>
    <w:rsid w:val="00B03C19"/>
    <w:rsid w:val="00B82C1C"/>
    <w:rsid w:val="00C622E0"/>
    <w:rsid w:val="00C82C3D"/>
    <w:rsid w:val="00D20A9A"/>
    <w:rsid w:val="00E77D87"/>
    <w:rsid w:val="00F9038F"/>
    <w:rsid w:val="00F914E5"/>
    <w:rsid w:val="00FA7CDC"/>
    <w:rsid w:val="00FE3027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3C46"/>
  <w15:chartTrackingRefBased/>
  <w15:docId w15:val="{46A87E24-37A8-4640-8D74-61FA454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C3D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2C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2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line0proTP">
    <w:name w:val="Headline 0 pro TP"/>
    <w:basedOn w:val="Normln"/>
    <w:qFormat/>
    <w:rsid w:val="00C82C3D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2C3D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8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C3D"/>
  </w:style>
  <w:style w:type="character" w:styleId="Hypertextovodkaz">
    <w:name w:val="Hyperlink"/>
    <w:basedOn w:val="Standardnpsmoodstavce"/>
    <w:uiPriority w:val="99"/>
    <w:unhideWhenUsed/>
    <w:rsid w:val="00C82C3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C8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C82C3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82C3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C82C3D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82C3D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paragraph" w:styleId="Bezmezer">
    <w:name w:val="No Spacing"/>
    <w:uiPriority w:val="1"/>
    <w:qFormat/>
    <w:rsid w:val="00C82C3D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C82C3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1337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Michal</dc:creator>
  <cp:keywords/>
  <dc:description/>
  <cp:lastModifiedBy>Duda Tomáš</cp:lastModifiedBy>
  <cp:revision>9</cp:revision>
  <dcterms:created xsi:type="dcterms:W3CDTF">2020-04-07T05:00:00Z</dcterms:created>
  <dcterms:modified xsi:type="dcterms:W3CDTF">2020-04-08T12:28:00Z</dcterms:modified>
</cp:coreProperties>
</file>