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60" w:rsidRDefault="00883A6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0784" w:rsidRDefault="0093640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Dohoda o podpoře výzkumu</w:t>
      </w:r>
    </w:p>
    <w:p w:rsidR="003B0784" w:rsidRDefault="003B07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B0784" w:rsidRDefault="00936408" w:rsidP="009253E5">
      <w:pPr>
        <w:pStyle w:val="Standard"/>
        <w:jc w:val="both"/>
      </w:pPr>
      <w:r>
        <w:rPr>
          <w:rFonts w:asciiTheme="minorHAnsi" w:hAnsiTheme="minorHAnsi" w:cstheme="minorHAnsi"/>
          <w:sz w:val="22"/>
          <w:szCs w:val="22"/>
        </w:rPr>
        <w:t>Tuto Dohodu o podpoře výzkumu (dále jen „</w:t>
      </w:r>
      <w:r>
        <w:rPr>
          <w:rFonts w:asciiTheme="minorHAnsi" w:hAnsiTheme="minorHAnsi" w:cstheme="minorHAnsi"/>
          <w:b/>
          <w:sz w:val="22"/>
          <w:szCs w:val="22"/>
        </w:rPr>
        <w:t>Dohodu</w:t>
      </w:r>
      <w:r>
        <w:rPr>
          <w:rFonts w:asciiTheme="minorHAnsi" w:hAnsiTheme="minorHAnsi" w:cstheme="minorHAnsi"/>
          <w:sz w:val="22"/>
          <w:szCs w:val="22"/>
        </w:rPr>
        <w:t xml:space="preserve">“) uzavřely </w:t>
      </w:r>
      <w:r w:rsidR="008C5AFA">
        <w:rPr>
          <w:rFonts w:asciiTheme="minorHAnsi" w:hAnsiTheme="minorHAnsi" w:cstheme="minorHAnsi"/>
          <w:sz w:val="22"/>
          <w:szCs w:val="22"/>
        </w:rPr>
        <w:t xml:space="preserve">níže uvedeného </w:t>
      </w:r>
      <w:r>
        <w:rPr>
          <w:rFonts w:asciiTheme="minorHAnsi" w:hAnsiTheme="minorHAnsi" w:cstheme="minorHAnsi"/>
          <w:sz w:val="22"/>
          <w:szCs w:val="22"/>
        </w:rPr>
        <w:t>dne s účinností ke dni zveřejnění</w:t>
      </w:r>
      <w:r w:rsidR="009253E5">
        <w:rPr>
          <w:rFonts w:asciiTheme="minorHAnsi" w:hAnsiTheme="minorHAnsi" w:cstheme="minorHAnsi"/>
          <w:sz w:val="22"/>
          <w:szCs w:val="22"/>
        </w:rPr>
        <w:t xml:space="preserve"> </w:t>
      </w:r>
      <w:r w:rsidRPr="009253E5">
        <w:rPr>
          <w:rFonts w:asciiTheme="minorHAnsi" w:hAnsiTheme="minorHAnsi" w:cstheme="minorHAnsi"/>
          <w:sz w:val="22"/>
          <w:szCs w:val="22"/>
        </w:rPr>
        <w:t>v registru smluv</w:t>
      </w:r>
      <w:r>
        <w:rPr>
          <w:rFonts w:asciiTheme="minorHAnsi" w:hAnsiTheme="minorHAnsi" w:cstheme="minorHAnsi"/>
          <w:sz w:val="22"/>
          <w:szCs w:val="22"/>
        </w:rPr>
        <w:t xml:space="preserve"> („</w:t>
      </w:r>
      <w:r>
        <w:rPr>
          <w:rFonts w:asciiTheme="minorHAnsi" w:hAnsiTheme="minorHAnsi" w:cstheme="minorHAnsi"/>
          <w:b/>
          <w:sz w:val="22"/>
          <w:szCs w:val="22"/>
        </w:rPr>
        <w:t>Den účinnosti</w:t>
      </w:r>
      <w:r>
        <w:rPr>
          <w:rFonts w:asciiTheme="minorHAnsi" w:hAnsiTheme="minorHAnsi" w:cstheme="minorHAnsi"/>
          <w:sz w:val="22"/>
          <w:szCs w:val="22"/>
        </w:rPr>
        <w:t>“) tyto smluvní strany: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B0784" w:rsidRDefault="00936408">
      <w:pPr>
        <w:pStyle w:val="Standard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Avast Software s.r.o.</w:t>
      </w:r>
      <w:r>
        <w:rPr>
          <w:rFonts w:asciiTheme="minorHAnsi" w:hAnsiTheme="minorHAnsi" w:cstheme="minorHAnsi"/>
          <w:sz w:val="22"/>
          <w:szCs w:val="22"/>
        </w:rPr>
        <w:t>, společnost řádně založená a existující v</w:t>
      </w:r>
      <w:r>
        <w:rPr>
          <w:rFonts w:asciiTheme="minorHAnsi" w:hAnsiTheme="minorHAnsi" w:cstheme="minorHAnsi"/>
          <w:sz w:val="22"/>
          <w:szCs w:val="22"/>
        </w:rPr>
        <w:t xml:space="preserve"> souladu s právním řádem České republiky, se sídlem na adrese Pikrtova 1737/la, Nusle, 140 00 Praha 4, Česká republika, IČ 02176475, zapsaná v obchodním rejstříku vedeném Městským soudem v Praze, oddíl C, vložka 216540 („</w:t>
      </w:r>
      <w:r>
        <w:rPr>
          <w:rFonts w:asciiTheme="minorHAnsi" w:hAnsiTheme="minorHAnsi" w:cstheme="minorHAnsi"/>
          <w:b/>
          <w:bCs/>
          <w:sz w:val="22"/>
          <w:szCs w:val="22"/>
        </w:rPr>
        <w:t>AVAST</w:t>
      </w:r>
      <w:r>
        <w:rPr>
          <w:rFonts w:asciiTheme="minorHAnsi" w:hAnsiTheme="minorHAnsi" w:cstheme="minorHAnsi"/>
          <w:sz w:val="22"/>
          <w:szCs w:val="22"/>
        </w:rPr>
        <w:t>")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Ústav informatiky AV ČR</w:t>
      </w:r>
      <w:r>
        <w:rPr>
          <w:rFonts w:asciiTheme="minorHAnsi" w:hAnsiTheme="minorHAnsi" w:cstheme="minorHAnsi"/>
          <w:b/>
          <w:bCs/>
          <w:sz w:val="22"/>
          <w:szCs w:val="22"/>
        </w:rPr>
        <w:t>, v.v.i.</w:t>
      </w:r>
      <w:r>
        <w:rPr>
          <w:rFonts w:asciiTheme="minorHAnsi" w:hAnsiTheme="minorHAnsi" w:cstheme="minorHAnsi"/>
          <w:sz w:val="22"/>
          <w:szCs w:val="22"/>
        </w:rPr>
        <w:t xml:space="preserve">, Pod Vodárenskou věží 271/2, 182 07 Praha 8, Česká republika, IČ </w:t>
      </w:r>
    </w:p>
    <w:p w:rsidR="003B0784" w:rsidRDefault="0093640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67985807 („</w:t>
      </w:r>
      <w:r>
        <w:rPr>
          <w:rFonts w:asciiTheme="minorHAnsi" w:hAnsiTheme="minorHAnsi" w:cstheme="minorHAnsi"/>
          <w:b/>
          <w:bCs/>
          <w:sz w:val="22"/>
          <w:szCs w:val="22"/>
        </w:rPr>
        <w:t>ÚIAV</w:t>
      </w:r>
      <w:r>
        <w:rPr>
          <w:rFonts w:asciiTheme="minorHAnsi" w:hAnsiTheme="minorHAnsi" w:cstheme="minorHAnsi"/>
          <w:sz w:val="22"/>
          <w:szCs w:val="22"/>
        </w:rPr>
        <w:t>")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AVAST s ÚIAV dále společně jen „</w:t>
      </w:r>
      <w:r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>" a jednotlivě „</w:t>
      </w:r>
      <w:r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>
        <w:rPr>
          <w:rFonts w:asciiTheme="minorHAnsi" w:hAnsiTheme="minorHAnsi" w:cstheme="minorHAnsi"/>
          <w:sz w:val="22"/>
          <w:szCs w:val="22"/>
        </w:rPr>
        <w:t>")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Vzhledem k tomu, že: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B0784" w:rsidRDefault="00936408">
      <w:pPr>
        <w:pStyle w:val="Standard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ÚIAV je významnou veřejnou výzkumnou institucí v oblasti </w:t>
      </w:r>
      <w:r>
        <w:rPr>
          <w:rFonts w:asciiTheme="minorHAnsi" w:hAnsiTheme="minorHAnsi" w:cstheme="minorHAnsi"/>
          <w:sz w:val="22"/>
          <w:szCs w:val="22"/>
        </w:rPr>
        <w:t>informatiky;</w:t>
      </w:r>
    </w:p>
    <w:p w:rsidR="003B0784" w:rsidRDefault="00936408">
      <w:pPr>
        <w:pStyle w:val="Standard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AVAST je jednou z nejvýznamnějších společností na světě zabývajících se vývojem a distribucí antivirového softwaru pro PC a mobilní telefony;</w:t>
      </w:r>
    </w:p>
    <w:p w:rsidR="003B0784" w:rsidRDefault="00936408">
      <w:pPr>
        <w:pStyle w:val="Standard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30.8.2016 Rámcovou smlouvu o spolupráci 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Rámcová smlouva</w:t>
      </w:r>
      <w:r>
        <w:rPr>
          <w:rFonts w:asciiTheme="minorHAnsi" w:hAnsiTheme="minorHAnsi" w:cstheme="minorHAnsi"/>
          <w:sz w:val="22"/>
          <w:szCs w:val="22"/>
        </w:rPr>
        <w:t>“);</w:t>
      </w:r>
    </w:p>
    <w:p w:rsidR="003B0784" w:rsidRDefault="00936408">
      <w:pPr>
        <w:pStyle w:val="Standard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</w:t>
      </w:r>
      <w:r>
        <w:rPr>
          <w:rFonts w:asciiTheme="minorHAnsi" w:hAnsiTheme="minorHAnsi" w:cstheme="minorHAnsi"/>
          <w:sz w:val="22"/>
          <w:szCs w:val="22"/>
        </w:rPr>
        <w:t>ST zamýšlí podpořit aktivity, jejichž smyslem je pokročit ve výzkumu;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Smluvní strany v souladu s Rámcovou smlouvou dohodly následovně: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B0784" w:rsidRDefault="00936408">
      <w:pPr>
        <w:pStyle w:val="Bezmezer"/>
        <w:numPr>
          <w:ilvl w:val="0"/>
          <w:numId w:val="3"/>
        </w:numPr>
        <w:jc w:val="both"/>
        <w:rPr>
          <w:b/>
        </w:rPr>
      </w:pPr>
      <w:r>
        <w:rPr>
          <w:b/>
        </w:rPr>
        <w:t>PODPORA VÝZKUMU</w:t>
      </w:r>
    </w:p>
    <w:p w:rsidR="003B0784" w:rsidRDefault="003B0784">
      <w:pPr>
        <w:pStyle w:val="Bezmezer"/>
        <w:jc w:val="both"/>
        <w:rPr>
          <w:b/>
        </w:rPr>
      </w:pPr>
    </w:p>
    <w:p w:rsidR="003B0784" w:rsidRDefault="00936408">
      <w:pPr>
        <w:pStyle w:val="Standard"/>
        <w:numPr>
          <w:ilvl w:val="1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AVAST se zavazuje podpořit výzkum týmu ÚIAV finančním příspěvkem. Mezi Smluvními stranami je </w:t>
      </w:r>
      <w:r>
        <w:rPr>
          <w:rFonts w:asciiTheme="minorHAnsi" w:hAnsiTheme="minorHAnsi" w:cstheme="minorHAnsi"/>
          <w:bCs/>
          <w:sz w:val="22"/>
          <w:szCs w:val="22"/>
        </w:rPr>
        <w:t>ujednáno následující: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</w:p>
    <w:p w:rsidR="003B0784" w:rsidRDefault="00936408">
      <w:pPr>
        <w:pStyle w:val="Standard"/>
        <w:numPr>
          <w:ilvl w:val="0"/>
          <w:numId w:val="2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Vedoucí týmu ÚIAV: </w:t>
      </w:r>
      <w:proofErr w:type="spellStart"/>
      <w:r w:rsidRPr="00936408">
        <w:rPr>
          <w:rFonts w:asciiTheme="minorHAnsi" w:hAnsiTheme="minorHAnsi" w:cstheme="minorHAnsi"/>
          <w:sz w:val="22"/>
          <w:szCs w:val="22"/>
          <w:highlight w:val="black"/>
        </w:rPr>
        <w:t>xxxxxxxxxxxxxxxxxxxxxxxxxxxxxxxxx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další členové týmu: </w:t>
      </w:r>
      <w:proofErr w:type="spellStart"/>
      <w:r w:rsidRPr="00936408">
        <w:rPr>
          <w:rFonts w:asciiTheme="minorHAnsi" w:hAnsiTheme="minorHAnsi" w:cstheme="minorHAnsi"/>
          <w:sz w:val="22"/>
          <w:szCs w:val="22"/>
          <w:highlight w:val="black"/>
        </w:rPr>
        <w:t>xxxxxxxxxxxxxxxxxxxxxxxxx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36408">
        <w:rPr>
          <w:rFonts w:asciiTheme="minorHAnsi" w:hAnsiTheme="minorHAnsi" w:cstheme="minorHAnsi"/>
          <w:sz w:val="22"/>
          <w:szCs w:val="22"/>
          <w:highlight w:val="black"/>
        </w:rPr>
        <w:t>xxxxxxxxxxxxxxxxxxxxxxx</w:t>
      </w:r>
      <w:proofErr w:type="spellEnd"/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Oblast výzkumu, tj. vymezení oblasti zájmu: charakterizace struktury závislostí ve vysokodimenzionálním dynam</w:t>
      </w:r>
      <w:r>
        <w:rPr>
          <w:rFonts w:asciiTheme="minorHAnsi" w:hAnsiTheme="minorHAnsi" w:cstheme="minorHAnsi"/>
          <w:sz w:val="22"/>
          <w:szCs w:val="22"/>
        </w:rPr>
        <w:t>ickém systému</w:t>
      </w:r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Předpokládané aktivity týmu, ne však výhradně: vědecko-výzkumné aktivity, analýza dat , zejména neveřejných datasetů poskytnutých AVASTem, schůzky se zástupci obou Smluvních stran, publikace výsledků vědecko-výzkumné činnosti způsobem obvyklý</w:t>
      </w:r>
      <w:r>
        <w:rPr>
          <w:rFonts w:asciiTheme="minorHAnsi" w:hAnsiTheme="minorHAnsi" w:cstheme="minorHAnsi"/>
          <w:sz w:val="22"/>
          <w:szCs w:val="22"/>
        </w:rPr>
        <w:t>m u výzkumných pracovníků ÚIAV, (vedení dokumentace, implementace a testování algoritmů)</w:t>
      </w:r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Doba trvání: do 31. </w:t>
      </w:r>
      <w:r w:rsidR="00A8262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2020</w:t>
      </w:r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Celkový objem podpory poskytnuté AVASTem: částka odpovídá 200 hodinám </w:t>
      </w:r>
      <w:bookmarkStart w:id="0" w:name="__DdeLink__1067_1185484459"/>
      <w:r>
        <w:rPr>
          <w:rFonts w:asciiTheme="minorHAnsi" w:hAnsiTheme="minorHAnsi" w:cstheme="minorHAnsi"/>
          <w:sz w:val="22"/>
          <w:szCs w:val="22"/>
        </w:rPr>
        <w:t>smluvního výzkumu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s cenou 1500 Kč/hod, tedy celkem 300 000 Kč („</w:t>
      </w:r>
      <w:r>
        <w:rPr>
          <w:rFonts w:asciiTheme="minorHAnsi" w:hAnsiTheme="minorHAnsi" w:cstheme="minorHAnsi"/>
          <w:b/>
          <w:sz w:val="22"/>
          <w:szCs w:val="22"/>
        </w:rPr>
        <w:t>Přísp</w:t>
      </w:r>
      <w:r>
        <w:rPr>
          <w:rFonts w:asciiTheme="minorHAnsi" w:hAnsiTheme="minorHAnsi" w:cstheme="minorHAnsi"/>
          <w:b/>
          <w:sz w:val="22"/>
          <w:szCs w:val="22"/>
        </w:rPr>
        <w:t>ěvek na výzkum</w:t>
      </w:r>
      <w:r>
        <w:rPr>
          <w:rFonts w:asciiTheme="minorHAnsi" w:hAnsiTheme="minorHAnsi" w:cstheme="minorHAnsi"/>
          <w:sz w:val="22"/>
          <w:szCs w:val="22"/>
        </w:rPr>
        <w:t>“).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0784" w:rsidRDefault="00936408">
      <w:pPr>
        <w:pStyle w:val="Standard"/>
        <w:numPr>
          <w:ilvl w:val="1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Příspěvek na výzkum bude AVASTem uhrazen ve lhůtě 30 dnů od doručení faktury ze strany ÚIAV na bankovní účet uvedený na faktuře.</w:t>
      </w:r>
    </w:p>
    <w:p w:rsidR="003B0784" w:rsidRPr="008C5AFA" w:rsidRDefault="003B0784" w:rsidP="008C5AFA">
      <w:pPr>
        <w:pStyle w:val="Standard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B0784" w:rsidRPr="008C5AFA" w:rsidRDefault="00936408">
      <w:pPr>
        <w:pStyle w:val="Standard"/>
        <w:numPr>
          <w:ilvl w:val="1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Smluvní strany předpokládají, že případné výsledky takto podpořeného výzkumu budou šířeny formou obvyklou v</w:t>
      </w:r>
      <w:r>
        <w:rPr>
          <w:rFonts w:asciiTheme="minorHAnsi" w:hAnsiTheme="minorHAnsi" w:cstheme="minorHAnsi"/>
          <w:bCs/>
          <w:sz w:val="22"/>
          <w:szCs w:val="22"/>
        </w:rPr>
        <w:t xml:space="preserve"> akademickém prostředí – tj. na odborných konferencích a v odborných časopisech.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Nedohodnou-li se v průběhu podpořeného období smluvní strany jinak, tak pokud bude výsledkem vědecko-výzkumné činnosti dílo požívající ochrany ve smyslu zákona č. 121/2000 Sb.</w:t>
      </w:r>
      <w:r>
        <w:rPr>
          <w:rFonts w:asciiTheme="minorHAnsi" w:hAnsiTheme="minorHAnsi" w:cstheme="minorHAnsi"/>
          <w:bCs/>
          <w:sz w:val="22"/>
          <w:szCs w:val="22"/>
        </w:rPr>
        <w:t>, autorského zákona, ve znění pozdějších předpisů nebo dílo povede k vynálezu ve smyslu zákona č. 527 /1990 Sb., o vynálezech a zlepšovacích návrzích, ve znění pozdějších předpisů, nebo ve smyslu podobného zahraničního předpisu, bude toto dílo považováno z</w:t>
      </w:r>
      <w:r>
        <w:rPr>
          <w:rFonts w:asciiTheme="minorHAnsi" w:hAnsiTheme="minorHAnsi" w:cstheme="minorHAnsi"/>
          <w:bCs/>
          <w:sz w:val="22"/>
          <w:szCs w:val="22"/>
        </w:rPr>
        <w:t>a zaměstnanecké dílo ve smyslu autorského zákona. Práva k tomuto dílu budou náležet zaměstnavatelům autorů tohoto díla v podílu odpovídajícímu autorským podílům jednotlivých autorů.</w:t>
      </w:r>
    </w:p>
    <w:p w:rsidR="003B0784" w:rsidRDefault="003B0784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:rsidR="003B0784" w:rsidRDefault="00936408">
      <w:pPr>
        <w:pStyle w:val="Standard"/>
        <w:numPr>
          <w:ilvl w:val="1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ÚIAV poskytuje AVASTu bezúplatnou nevýhradní licenci (dále jen „Licence“)</w:t>
      </w:r>
      <w:r>
        <w:rPr>
          <w:rFonts w:asciiTheme="minorHAnsi" w:hAnsiTheme="minorHAnsi" w:cstheme="minorHAnsi"/>
          <w:bCs/>
          <w:sz w:val="22"/>
          <w:szCs w:val="22"/>
        </w:rPr>
        <w:t xml:space="preserve"> k veškerým výsledkům sponzorovaného výzkumu dle této Dohody</w:t>
      </w:r>
      <w:r w:rsidR="008C5AFA">
        <w:rPr>
          <w:rFonts w:asciiTheme="minorHAnsi" w:hAnsiTheme="minorHAnsi" w:cstheme="minorHAnsi"/>
          <w:bCs/>
          <w:sz w:val="22"/>
          <w:szCs w:val="22"/>
        </w:rPr>
        <w:t>, včetně případných výsledků, vytvořených přede Dnem účinnosti během a na základě jednání AVASTu a ÚIAV o uzavření této Dohody a o vymezení dohodnuté oblasti sponozorovaného výzkumu dle této Dohody</w:t>
      </w:r>
      <w:r>
        <w:rPr>
          <w:rFonts w:asciiTheme="minorHAnsi" w:hAnsiTheme="minorHAnsi" w:cstheme="minorHAnsi"/>
          <w:bCs/>
          <w:sz w:val="22"/>
          <w:szCs w:val="22"/>
        </w:rPr>
        <w:t>, zejména k těm výsledkům, které jsou chráněny autorským právem, právem souvisejícím s právem autorským nebo jiným právem z duševního vlastnictví, zejména veškerým algoritmům, počítačovým programům nebo databázím 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Díla</w:t>
      </w:r>
      <w:r>
        <w:rPr>
          <w:rFonts w:asciiTheme="minorHAnsi" w:hAnsiTheme="minorHAnsi" w:cstheme="minorHAnsi"/>
          <w:bCs/>
          <w:sz w:val="22"/>
          <w:szCs w:val="22"/>
        </w:rPr>
        <w:t>“). Licence je udělována k </w:t>
      </w:r>
      <w:r>
        <w:rPr>
          <w:rFonts w:asciiTheme="minorHAnsi" w:hAnsiTheme="minorHAnsi" w:cstheme="minorHAnsi"/>
          <w:bCs/>
          <w:sz w:val="22"/>
          <w:szCs w:val="22"/>
        </w:rPr>
        <w:t>užití jakéhokoli Díla jako celku nebo jakékoli jeho části na území celého světa, v původní nebo ve zpracované či jinak změněné podobě, jakýmkoli způsobem užití a k jakémukoli účelu bez jakýchkoli množstevních nebo jiných omezení, včetně práva Dílo a jakouk</w:t>
      </w:r>
      <w:r>
        <w:rPr>
          <w:rFonts w:asciiTheme="minorHAnsi" w:hAnsiTheme="minorHAnsi" w:cstheme="minorHAnsi"/>
          <w:bCs/>
          <w:sz w:val="22"/>
          <w:szCs w:val="22"/>
        </w:rPr>
        <w:t>oli jeho část jakkoli upravovat, měnit a</w:t>
      </w:r>
      <w:r w:rsidR="00E0078A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zpracovávat, spojovat s jinými díly a zahrnovat do souborného díla, a práva měnit a upravovat název a</w:t>
      </w:r>
      <w:r w:rsidR="00E0078A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označení autora Díla. Licence je poskytována na celou dobu trvání majetkových autorských práv či jiných práv z du</w:t>
      </w:r>
      <w:r>
        <w:rPr>
          <w:rFonts w:asciiTheme="minorHAnsi" w:hAnsiTheme="minorHAnsi" w:cstheme="minorHAnsi"/>
          <w:bCs/>
          <w:sz w:val="22"/>
          <w:szCs w:val="22"/>
        </w:rPr>
        <w:t>ševního vlastnictví k Dílu nebo jakékoli jeho části. AVAST je oprávněn poskytnout práva tvořící součást Licence zcela nebo zčásti třetí osobě, a to úplatně i bezúplatně, a to jak formou poskytnutí podlicence, tak úplným nebo částečným postoupením Licence.</w:t>
      </w:r>
    </w:p>
    <w:p w:rsidR="003B0784" w:rsidRDefault="003B0784">
      <w:pPr>
        <w:pStyle w:val="Standard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B0784" w:rsidRDefault="00936408">
      <w:pPr>
        <w:pStyle w:val="Standard"/>
        <w:numPr>
          <w:ilvl w:val="1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Vzhledem k tomu, že výzkum nebo jeho část bude probíhat s využitím neveřejných datasetů a know-how AVASTu 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AVAST Data</w:t>
      </w:r>
      <w:r>
        <w:rPr>
          <w:rFonts w:asciiTheme="minorHAnsi" w:hAnsiTheme="minorHAnsi" w:cstheme="minorHAnsi"/>
          <w:bCs/>
          <w:sz w:val="22"/>
          <w:szCs w:val="22"/>
        </w:rPr>
        <w:t>“) dohodly se Smluvní strany na následujícím režimu ochrany AVAST Dat:</w:t>
      </w:r>
    </w:p>
    <w:p w:rsidR="003B0784" w:rsidRDefault="003B0784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:rsidR="003B0784" w:rsidRDefault="00936408">
      <w:pPr>
        <w:pStyle w:val="Standard"/>
        <w:numPr>
          <w:ilvl w:val="0"/>
          <w:numId w:val="2"/>
        </w:numP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K jakýmkoli AVAST Datům budou mít přístup pouze oběma Sm</w:t>
      </w:r>
      <w:r>
        <w:rPr>
          <w:rFonts w:asciiTheme="minorHAnsi" w:hAnsiTheme="minorHAnsi" w:cstheme="minorHAnsi"/>
          <w:bCs/>
          <w:sz w:val="22"/>
          <w:szCs w:val="22"/>
        </w:rPr>
        <w:t>luvními stranami odsouhlasení zaměstnanci ÚIAV podílející se na výzkumu dle této Dohody, a to pouze prostřednictvím zařízení ve vlastnictví AVASTu zapůjčených AVASTem k tomuto účelu. Žádná AVAST Data nesmí být bez předchozího písemného souhlasu AVASTu kopí</w:t>
      </w:r>
      <w:r>
        <w:rPr>
          <w:rFonts w:asciiTheme="minorHAnsi" w:hAnsiTheme="minorHAnsi" w:cstheme="minorHAnsi"/>
          <w:bCs/>
          <w:sz w:val="22"/>
          <w:szCs w:val="22"/>
        </w:rPr>
        <w:t>rována na jakákoli jiná zařízení nebo úložiště.</w:t>
      </w:r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Zveřejnit jakákoli AVAST Data spolu nebo v rámci zveřejnění výsledků výzkumu je možné pouze s předchozím písemným souhlasem AVASTu. Totéž platí pro zveřejnění jakýchkoli výsledků výzkumu nebo jakýchkoli Děl, </w:t>
      </w:r>
      <w:r>
        <w:rPr>
          <w:rFonts w:asciiTheme="minorHAnsi" w:hAnsiTheme="minorHAnsi" w:cstheme="minorHAnsi"/>
          <w:bCs/>
          <w:sz w:val="22"/>
          <w:szCs w:val="22"/>
        </w:rPr>
        <w:t>které obsahují jakákoli AVAST Data nebo z nichž může osoba s běžně dostupnými odbornými znalostmi a vybavením jakákoli AVAST Data zpětně odvodit s pomocí zpětného inženýrství nebo jiným způsobem.</w:t>
      </w:r>
    </w:p>
    <w:p w:rsidR="003B0784" w:rsidRDefault="0093640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Vzhledem k tomu, že AVAST Data jsou obchodním tajemstvím AVA</w:t>
      </w:r>
      <w:r>
        <w:rPr>
          <w:rFonts w:asciiTheme="minorHAnsi" w:hAnsiTheme="minorHAnsi" w:cstheme="minorHAnsi"/>
          <w:bCs/>
          <w:sz w:val="22"/>
          <w:szCs w:val="22"/>
        </w:rPr>
        <w:t>STu, ÚIAV se zavazuje je chránit, udržovat v tajnosti a neposkytnout ani nezpřístupnit je jakékoli třetí osobě, a to i po skončení výzkumu dle této Dohody, a zavazuje se, že AVAST Data žádné třetí osobě neposkytnou ani nezpřístupní žádní zaměstnanci ÚIAV p</w:t>
      </w:r>
      <w:r>
        <w:rPr>
          <w:rFonts w:asciiTheme="minorHAnsi" w:hAnsiTheme="minorHAnsi" w:cstheme="minorHAnsi"/>
          <w:bCs/>
          <w:sz w:val="22"/>
          <w:szCs w:val="22"/>
        </w:rPr>
        <w:t>odílející se na výzkumu dle této Dohody.</w:t>
      </w:r>
    </w:p>
    <w:p w:rsidR="003B0784" w:rsidRDefault="003B0784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3B0784" w:rsidRDefault="00936408">
      <w:pPr>
        <w:pStyle w:val="Bezmezer"/>
        <w:numPr>
          <w:ilvl w:val="0"/>
          <w:numId w:val="3"/>
        </w:numPr>
        <w:jc w:val="both"/>
        <w:rPr>
          <w:b/>
        </w:rPr>
      </w:pPr>
      <w:r>
        <w:rPr>
          <w:b/>
        </w:rPr>
        <w:t>ZÁVĚREČNÁ USTANOVENÍ</w:t>
      </w:r>
    </w:p>
    <w:p w:rsidR="003B0784" w:rsidRDefault="003B0784">
      <w:pPr>
        <w:pStyle w:val="Bezmezer"/>
        <w:jc w:val="both"/>
        <w:rPr>
          <w:rFonts w:asciiTheme="minorHAnsi" w:eastAsia="Noto Sans CJK SC Regular" w:hAnsiTheme="minorHAnsi" w:cstheme="minorHAnsi"/>
          <w:bCs/>
          <w:kern w:val="2"/>
          <w:lang w:eastAsia="zh-CN" w:bidi="hi-IN"/>
        </w:rPr>
      </w:pPr>
    </w:p>
    <w:p w:rsidR="003B0784" w:rsidRDefault="00936408">
      <w:pPr>
        <w:pStyle w:val="Standard"/>
        <w:ind w:left="450" w:hanging="4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2.1.</w:t>
      </w:r>
      <w:r>
        <w:rPr>
          <w:rFonts w:asciiTheme="minorHAnsi" w:hAnsiTheme="minorHAnsi" w:cstheme="minorHAnsi"/>
          <w:bCs/>
          <w:sz w:val="22"/>
          <w:szCs w:val="22"/>
        </w:rPr>
        <w:tab/>
        <w:t>Smluvní strany prohlašují, že tato Dohoda vyjadřuje jejich plnou a výhradní dohodu ohledně předmětu této Dohody.</w:t>
      </w:r>
    </w:p>
    <w:p w:rsidR="003B0784" w:rsidRDefault="003B0784">
      <w:pPr>
        <w:pStyle w:val="Standard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B0784" w:rsidRDefault="00936408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Cs/>
          <w:sz w:val="22"/>
          <w:szCs w:val="22"/>
        </w:rPr>
        <w:t>2.2.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 xml:space="preserve">V případě neplatnosti kteréhokoli ustanovení této Dohody jsou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smluvní strany povinny dohodnout se na náhradní úpravě jejich vztahu, která bude ekonomicky co nejblíže odpovídat neplatné úpravě.</w:t>
      </w:r>
    </w:p>
    <w:p w:rsidR="003B0784" w:rsidRDefault="003B0784">
      <w:pPr>
        <w:pStyle w:val="Standard"/>
        <w:ind w:left="360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B0784" w:rsidRDefault="00936408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Cs/>
          <w:sz w:val="22"/>
          <w:szCs w:val="22"/>
        </w:rPr>
        <w:t>2.3.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Tato Dohoda se vyhotovuje v počtu dvou stejnopisů, po jednom pro každou smluvní stranu.</w:t>
      </w:r>
    </w:p>
    <w:p w:rsidR="003B0784" w:rsidRDefault="003B0784" w:rsidP="008C5AFA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B0784" w:rsidRPr="008C5AFA" w:rsidRDefault="00936408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2.4.</w:t>
      </w:r>
      <w:r w:rsidRP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 xml:space="preserve">Tato Dohoda nabývá </w:t>
      </w:r>
      <w:r w:rsidRP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platnosti okamžikem podpisu smluvními stranami a účinnosti ke Dni účinnosti.</w:t>
      </w:r>
    </w:p>
    <w:p w:rsidR="003B0784" w:rsidRDefault="003B0784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B0784" w:rsidRPr="008C5AFA" w:rsidRDefault="00936408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 xml:space="preserve">2.5. AVAST výslovně souhlasí s tím, aby byla tato smlouva uvedena v registru smluv dle zákona </w:t>
      </w:r>
      <w:r w:rsidRP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č. 340/2015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Sb., o zvláštních podmínkách účinnosti některých smluv, uveřejňování těc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hto smluv a o registru smluv </w:t>
      </w:r>
      <w:r w:rsid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zákon o registru smluv</w:t>
      </w:r>
      <w:r w:rsidR="008C5A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)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 Uveřejnění této smlouvy zajistí Ústav informatiky AV ČR, v. v. i.</w:t>
      </w:r>
    </w:p>
    <w:p w:rsidR="003B0784" w:rsidRDefault="003B0784" w:rsidP="008C5AFA">
      <w:pPr>
        <w:tabs>
          <w:tab w:val="left" w:pos="360"/>
        </w:tabs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B0784" w:rsidRDefault="003B0784">
      <w:pPr>
        <w:tabs>
          <w:tab w:val="left" w:pos="360"/>
        </w:tabs>
        <w:ind w:left="360" w:hanging="3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723"/>
        <w:gridCol w:w="4565"/>
      </w:tblGrid>
      <w:tr w:rsidR="007842BF">
        <w:tc>
          <w:tcPr>
            <w:tcW w:w="4722" w:type="dxa"/>
            <w:shd w:val="clear" w:color="auto" w:fill="auto"/>
          </w:tcPr>
          <w:p w:rsidR="008C5AFA" w:rsidRDefault="008C5AFA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C5AFA" w:rsidRDefault="00936408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V Praze dne </w:t>
            </w:r>
            <w:r w:rsidR="00883A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6. dubna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2020</w:t>
            </w:r>
          </w:p>
          <w:p w:rsidR="008C5AFA" w:rsidRDefault="008C5AFA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C5AFA" w:rsidRDefault="008C5AFA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AFA" w:rsidRDefault="008C5AFA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AFA" w:rsidRDefault="008C5AFA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784" w:rsidRDefault="009364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65" w:type="dxa"/>
            <w:shd w:val="clear" w:color="auto" w:fill="auto"/>
          </w:tcPr>
          <w:p w:rsidR="008C5AFA" w:rsidRDefault="008C5AFA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C5AFA" w:rsidRDefault="00936408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V Praze dne 20. </w:t>
            </w:r>
            <w:r w:rsidR="00883A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dubna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2020</w:t>
            </w:r>
          </w:p>
          <w:p w:rsidR="008C5AFA" w:rsidRDefault="008C5AFA" w:rsidP="008C5AFA">
            <w:pPr>
              <w:tabs>
                <w:tab w:val="left" w:pos="360"/>
              </w:tabs>
              <w:ind w:left="360" w:hanging="36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C5AFA" w:rsidRDefault="008C5AFA">
            <w:pPr>
              <w:pStyle w:val="Bezmezer"/>
              <w:jc w:val="both"/>
              <w:rPr>
                <w:szCs w:val="20"/>
              </w:rPr>
            </w:pPr>
          </w:p>
          <w:p w:rsidR="008C5AFA" w:rsidRDefault="008C5AFA">
            <w:pPr>
              <w:pStyle w:val="Bezmezer"/>
              <w:jc w:val="both"/>
              <w:rPr>
                <w:szCs w:val="20"/>
              </w:rPr>
            </w:pPr>
            <w:bookmarkStart w:id="1" w:name="_GoBack"/>
            <w:bookmarkEnd w:id="1"/>
          </w:p>
          <w:p w:rsidR="008C5AFA" w:rsidRDefault="008C5AFA">
            <w:pPr>
              <w:pStyle w:val="Bezmezer"/>
              <w:jc w:val="both"/>
              <w:rPr>
                <w:szCs w:val="20"/>
              </w:rPr>
            </w:pPr>
          </w:p>
          <w:p w:rsidR="003B0784" w:rsidRDefault="00936408">
            <w:pPr>
              <w:pStyle w:val="Bezmezer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</w:t>
            </w:r>
          </w:p>
        </w:tc>
      </w:tr>
      <w:tr w:rsidR="007842BF">
        <w:tc>
          <w:tcPr>
            <w:tcW w:w="4722" w:type="dxa"/>
            <w:shd w:val="clear" w:color="auto" w:fill="auto"/>
          </w:tcPr>
          <w:p w:rsidR="003B0784" w:rsidRDefault="00936408">
            <w:pPr>
              <w:pStyle w:val="Bezmezer"/>
              <w:jc w:val="both"/>
            </w:pPr>
            <w:r>
              <w:rPr>
                <w:b/>
                <w:bCs/>
                <w:szCs w:val="20"/>
              </w:rPr>
              <w:t xml:space="preserve">Avast </w:t>
            </w:r>
            <w:r>
              <w:rPr>
                <w:b/>
                <w:bCs/>
                <w:szCs w:val="20"/>
              </w:rPr>
              <w:t>Software s.r.o.</w:t>
            </w:r>
          </w:p>
        </w:tc>
        <w:tc>
          <w:tcPr>
            <w:tcW w:w="4565" w:type="dxa"/>
            <w:shd w:val="clear" w:color="auto" w:fill="auto"/>
          </w:tcPr>
          <w:p w:rsidR="003B0784" w:rsidRDefault="00936408">
            <w:pPr>
              <w:pStyle w:val="Bezmezer"/>
              <w:jc w:val="both"/>
            </w:pPr>
            <w:r>
              <w:rPr>
                <w:b/>
                <w:bCs/>
                <w:szCs w:val="20"/>
              </w:rPr>
              <w:t xml:space="preserve">Ústav informatiky AV ČR </w:t>
            </w:r>
          </w:p>
        </w:tc>
      </w:tr>
      <w:tr w:rsidR="007842BF">
        <w:tc>
          <w:tcPr>
            <w:tcW w:w="4722" w:type="dxa"/>
            <w:shd w:val="clear" w:color="auto" w:fill="auto"/>
          </w:tcPr>
          <w:p w:rsidR="003B0784" w:rsidRDefault="00936408">
            <w:pPr>
              <w:pStyle w:val="Bezmezer"/>
              <w:jc w:val="both"/>
              <w:rPr>
                <w:szCs w:val="20"/>
              </w:rPr>
            </w:pPr>
            <w:r>
              <w:rPr>
                <w:szCs w:val="20"/>
              </w:rPr>
              <w:t>Ondřej Vlček</w:t>
            </w:r>
          </w:p>
        </w:tc>
        <w:tc>
          <w:tcPr>
            <w:tcW w:w="4565" w:type="dxa"/>
            <w:shd w:val="clear" w:color="auto" w:fill="auto"/>
          </w:tcPr>
          <w:p w:rsidR="003B0784" w:rsidRDefault="00936408">
            <w:pPr>
              <w:pStyle w:val="Bezmezer"/>
              <w:jc w:val="both"/>
            </w:pPr>
            <w:r>
              <w:rPr>
                <w:szCs w:val="20"/>
              </w:rPr>
              <w:t>prof. Ing. Emil Pelikán, CSc.</w:t>
            </w:r>
          </w:p>
        </w:tc>
      </w:tr>
      <w:tr w:rsidR="007842BF">
        <w:tc>
          <w:tcPr>
            <w:tcW w:w="4722" w:type="dxa"/>
            <w:shd w:val="clear" w:color="auto" w:fill="auto"/>
          </w:tcPr>
          <w:p w:rsidR="003B0784" w:rsidRDefault="00936408">
            <w:pPr>
              <w:pStyle w:val="Bezmezer"/>
              <w:jc w:val="both"/>
              <w:rPr>
                <w:szCs w:val="20"/>
              </w:rPr>
            </w:pPr>
            <w:r>
              <w:rPr>
                <w:szCs w:val="20"/>
              </w:rPr>
              <w:t>jednatel</w:t>
            </w:r>
          </w:p>
        </w:tc>
        <w:tc>
          <w:tcPr>
            <w:tcW w:w="4565" w:type="dxa"/>
            <w:shd w:val="clear" w:color="auto" w:fill="auto"/>
          </w:tcPr>
          <w:p w:rsidR="003B0784" w:rsidRDefault="00936408">
            <w:pPr>
              <w:pStyle w:val="Bezmezer"/>
              <w:jc w:val="both"/>
            </w:pPr>
            <w:r>
              <w:rPr>
                <w:szCs w:val="20"/>
              </w:rPr>
              <w:t>ředitel</w:t>
            </w:r>
          </w:p>
        </w:tc>
      </w:tr>
    </w:tbl>
    <w:p w:rsidR="003B0784" w:rsidRDefault="003B0784">
      <w:pPr>
        <w:pStyle w:val="Standard"/>
        <w:jc w:val="both"/>
      </w:pPr>
    </w:p>
    <w:sectPr w:rsidR="003B0784" w:rsidSect="00883A60">
      <w:pgSz w:w="11906" w:h="16838"/>
      <w:pgMar w:top="1350" w:right="1134" w:bottom="126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553"/>
    <w:multiLevelType w:val="multilevel"/>
    <w:tmpl w:val="36F6D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EDB2A84"/>
    <w:multiLevelType w:val="multilevel"/>
    <w:tmpl w:val="87F8C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282F95"/>
    <w:multiLevelType w:val="multilevel"/>
    <w:tmpl w:val="5768B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2B367AD4"/>
    <w:multiLevelType w:val="multilevel"/>
    <w:tmpl w:val="CEB2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EE0161"/>
    <w:multiLevelType w:val="multilevel"/>
    <w:tmpl w:val="4CB0883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84"/>
    <w:rsid w:val="0028688E"/>
    <w:rsid w:val="003B0784"/>
    <w:rsid w:val="006A7C47"/>
    <w:rsid w:val="007842BF"/>
    <w:rsid w:val="00883A60"/>
    <w:rsid w:val="008C5AFA"/>
    <w:rsid w:val="009253E5"/>
    <w:rsid w:val="00936408"/>
    <w:rsid w:val="00987A56"/>
    <w:rsid w:val="00A8262B"/>
    <w:rsid w:val="00BC7133"/>
    <w:rsid w:val="00E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A0057-8995-4B57-A513-DAE9561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cs="Mangal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6824"/>
    <w:rPr>
      <w:rFonts w:ascii="Segoe UI" w:hAnsi="Segoe UI" w:cs="Mangal"/>
      <w:sz w:val="18"/>
      <w:szCs w:val="16"/>
    </w:rPr>
  </w:style>
  <w:style w:type="character" w:customStyle="1" w:styleId="ListLabel32">
    <w:name w:val="ListLabel 32"/>
    <w:qFormat/>
    <w:rPr>
      <w:rFonts w:cs="Symbol"/>
      <w:b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alibri" w:hAnsi="Calibri" w:cs="Symbol"/>
      <w:b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alibri" w:hAnsi="Calibri" w:cs="Symbol"/>
      <w:b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Normln"/>
    <w:pPr>
      <w:widowControl w:val="0"/>
    </w:pPr>
  </w:style>
  <w:style w:type="paragraph" w:styleId="Titulek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Odstavecseseznamem">
    <w:name w:val="List Paragraph"/>
    <w:basedOn w:val="Normln"/>
    <w:uiPriority w:val="34"/>
    <w:qFormat/>
    <w:rsid w:val="00E87FB2"/>
    <w:pPr>
      <w:ind w:left="720"/>
      <w:contextualSpacing/>
    </w:pPr>
    <w:rPr>
      <w:rFonts w:cs="Mangal"/>
      <w:szCs w:val="21"/>
    </w:rPr>
  </w:style>
  <w:style w:type="paragraph" w:styleId="Bezmezer">
    <w:name w:val="No Spacing"/>
    <w:qFormat/>
    <w:rsid w:val="00F53EB1"/>
    <w:pPr>
      <w:suppressAutoHyphens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682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Kuzelova</dc:creator>
  <cp:lastModifiedBy>Dana Kuzelova</cp:lastModifiedBy>
  <cp:revision>3</cp:revision>
  <dcterms:created xsi:type="dcterms:W3CDTF">2020-04-21T09:16:00Z</dcterms:created>
  <dcterms:modified xsi:type="dcterms:W3CDTF">2020-04-21T09:29:00Z</dcterms:modified>
</cp:coreProperties>
</file>