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83855" w14:textId="60A61E1E" w:rsidR="001F2A45" w:rsidRPr="00B2452F" w:rsidRDefault="001F2A45" w:rsidP="001F2A45">
      <w:pPr>
        <w:rPr>
          <w:rFonts w:ascii="Times New Roman" w:hAnsi="Times New Roman" w:cs="Times New Roman"/>
          <w:b/>
        </w:rPr>
      </w:pPr>
      <w:bookmarkStart w:id="0" w:name="_Hlk36036726"/>
      <w:r w:rsidRPr="00B2452F">
        <w:rPr>
          <w:rFonts w:ascii="Times New Roman" w:hAnsi="Times New Roman" w:cs="Times New Roman"/>
          <w:b/>
        </w:rPr>
        <w:t xml:space="preserve">PŘÍLOHA </w:t>
      </w:r>
      <w:r>
        <w:rPr>
          <w:rFonts w:ascii="Times New Roman" w:hAnsi="Times New Roman" w:cs="Times New Roman"/>
          <w:b/>
        </w:rPr>
        <w:t>č</w:t>
      </w:r>
      <w:r w:rsidRPr="00B2452F">
        <w:rPr>
          <w:rFonts w:ascii="Times New Roman" w:hAnsi="Times New Roman" w:cs="Times New Roman"/>
          <w:b/>
        </w:rPr>
        <w:t xml:space="preserve">. </w:t>
      </w:r>
      <w:r>
        <w:rPr>
          <w:rFonts w:ascii="Times New Roman" w:hAnsi="Times New Roman" w:cs="Times New Roman"/>
          <w:b/>
        </w:rPr>
        <w:t>4</w:t>
      </w:r>
      <w:r w:rsidR="00790DF9">
        <w:rPr>
          <w:rFonts w:ascii="Times New Roman" w:hAnsi="Times New Roman" w:cs="Times New Roman"/>
          <w:b/>
        </w:rPr>
        <w:t xml:space="preserve"> ke smlouvě č.j. 280870/2020-ČRA</w:t>
      </w:r>
    </w:p>
    <w:p w14:paraId="076EFB4D" w14:textId="77777777" w:rsidR="001F2A45" w:rsidRDefault="001F2A45">
      <w:pPr>
        <w:jc w:val="center"/>
        <w:rPr>
          <w:rFonts w:ascii="Georgia" w:eastAsia="Georgia" w:hAnsi="Georgia" w:cs="Georgia"/>
          <w:b/>
          <w:sz w:val="22"/>
          <w:szCs w:val="22"/>
        </w:rPr>
      </w:pPr>
    </w:p>
    <w:p w14:paraId="15D6D02D" w14:textId="77777777" w:rsidR="001F2A45" w:rsidRDefault="001F2A45">
      <w:pPr>
        <w:jc w:val="center"/>
        <w:rPr>
          <w:rFonts w:ascii="Georgia" w:eastAsia="Georgia" w:hAnsi="Georgia" w:cs="Georgia"/>
          <w:b/>
          <w:sz w:val="22"/>
          <w:szCs w:val="22"/>
        </w:rPr>
      </w:pPr>
    </w:p>
    <w:p w14:paraId="0D508386" w14:textId="47AB688D" w:rsidR="006E26D4" w:rsidRDefault="00285459">
      <w:pPr>
        <w:jc w:val="center"/>
        <w:rPr>
          <w:rFonts w:ascii="Georgia" w:eastAsia="Georgia" w:hAnsi="Georgia" w:cs="Georgia"/>
          <w:b/>
          <w:sz w:val="22"/>
          <w:szCs w:val="22"/>
        </w:rPr>
      </w:pPr>
      <w:r>
        <w:rPr>
          <w:rFonts w:ascii="Georgia" w:eastAsia="Georgia" w:hAnsi="Georgia" w:cs="Georgia"/>
          <w:b/>
          <w:sz w:val="22"/>
          <w:szCs w:val="22"/>
        </w:rPr>
        <w:t>DOHODA O ZPRACOVÁNÍ OSOBNÍCH ÚDAJŮ</w:t>
      </w:r>
    </w:p>
    <w:p w14:paraId="64D26F7D" w14:textId="77777777" w:rsidR="006E26D4" w:rsidRDefault="006E26D4">
      <w:pPr>
        <w:rPr>
          <w:rFonts w:ascii="Georgia" w:eastAsia="Georgia" w:hAnsi="Georgia" w:cs="Georgia"/>
          <w:sz w:val="22"/>
          <w:szCs w:val="22"/>
        </w:rPr>
      </w:pPr>
    </w:p>
    <w:p w14:paraId="780BF702" w14:textId="77777777" w:rsidR="006E26D4" w:rsidRDefault="00285459">
      <w:pPr>
        <w:rPr>
          <w:rFonts w:ascii="Georgia" w:eastAsia="Georgia" w:hAnsi="Georgia" w:cs="Georgia"/>
          <w:sz w:val="22"/>
          <w:szCs w:val="22"/>
        </w:rPr>
      </w:pPr>
      <w:r>
        <w:rPr>
          <w:rFonts w:ascii="Georgia" w:eastAsia="Georgia" w:hAnsi="Georgia" w:cs="Georgia"/>
          <w:sz w:val="22"/>
          <w:szCs w:val="22"/>
        </w:rPr>
        <w:t>dále jen jako</w:t>
      </w:r>
      <w:r>
        <w:rPr>
          <w:rFonts w:ascii="Georgia" w:eastAsia="Georgia" w:hAnsi="Georgia" w:cs="Georgia"/>
          <w:b/>
          <w:sz w:val="22"/>
          <w:szCs w:val="22"/>
        </w:rPr>
        <w:t xml:space="preserve"> </w:t>
      </w:r>
      <w:r>
        <w:rPr>
          <w:rFonts w:ascii="Georgia" w:eastAsia="Georgia" w:hAnsi="Georgia" w:cs="Georgia"/>
          <w:sz w:val="22"/>
          <w:szCs w:val="22"/>
        </w:rPr>
        <w:t>„</w:t>
      </w:r>
      <w:r>
        <w:rPr>
          <w:rFonts w:ascii="Georgia" w:eastAsia="Georgia" w:hAnsi="Georgia" w:cs="Georgia"/>
          <w:b/>
          <w:sz w:val="22"/>
          <w:szCs w:val="22"/>
        </w:rPr>
        <w:t>Dohoda</w:t>
      </w:r>
      <w:r>
        <w:rPr>
          <w:rFonts w:ascii="Georgia" w:eastAsia="Georgia" w:hAnsi="Georgia" w:cs="Georgia"/>
          <w:sz w:val="22"/>
          <w:szCs w:val="22"/>
        </w:rPr>
        <w:t>”</w:t>
      </w:r>
    </w:p>
    <w:p w14:paraId="7E0FF771" w14:textId="77777777" w:rsidR="006E26D4" w:rsidRDefault="006E26D4">
      <w:pPr>
        <w:rPr>
          <w:rFonts w:ascii="Georgia" w:eastAsia="Georgia" w:hAnsi="Georgia" w:cs="Georgia"/>
          <w:sz w:val="22"/>
          <w:szCs w:val="22"/>
        </w:rPr>
      </w:pPr>
    </w:p>
    <w:p w14:paraId="4594A3A9" w14:textId="3FD6904A" w:rsidR="006E26D4" w:rsidRDefault="00285459">
      <w:pPr>
        <w:rPr>
          <w:rFonts w:ascii="Georgia" w:eastAsia="Georgia" w:hAnsi="Georgia" w:cs="Georgia"/>
          <w:sz w:val="22"/>
          <w:szCs w:val="22"/>
        </w:rPr>
      </w:pPr>
      <w:r>
        <w:rPr>
          <w:rFonts w:ascii="Georgia" w:eastAsia="Georgia" w:hAnsi="Georgia" w:cs="Georgia"/>
          <w:sz w:val="22"/>
          <w:szCs w:val="22"/>
        </w:rPr>
        <w:t>uzavřená v </w:t>
      </w:r>
      <w:r w:rsidRPr="00757901">
        <w:rPr>
          <w:rFonts w:ascii="Georgia" w:eastAsia="Georgia" w:hAnsi="Georgia" w:cs="Georgia"/>
          <w:sz w:val="22"/>
          <w:szCs w:val="22"/>
        </w:rPr>
        <w:t xml:space="preserve">Praze </w:t>
      </w:r>
      <w:r>
        <w:rPr>
          <w:rFonts w:ascii="Georgia" w:eastAsia="Georgia" w:hAnsi="Georgia" w:cs="Georgia"/>
          <w:sz w:val="22"/>
          <w:szCs w:val="22"/>
        </w:rPr>
        <w:t xml:space="preserve">dne </w:t>
      </w:r>
      <w:r w:rsidR="00824E7F">
        <w:rPr>
          <w:rFonts w:ascii="Georgia" w:eastAsia="Georgia" w:hAnsi="Georgia" w:cs="Georgia"/>
          <w:sz w:val="22"/>
          <w:szCs w:val="22"/>
        </w:rPr>
        <w:t>15/4/20</w:t>
      </w:r>
      <w:r w:rsidR="00790DF9">
        <w:rPr>
          <w:rFonts w:ascii="Georgia" w:eastAsia="Georgia" w:hAnsi="Georgia" w:cs="Georgia"/>
          <w:sz w:val="22"/>
          <w:szCs w:val="22"/>
        </w:rPr>
        <w:t xml:space="preserve"> </w:t>
      </w:r>
      <w:r>
        <w:rPr>
          <w:rFonts w:ascii="Georgia" w:eastAsia="Georgia" w:hAnsi="Georgia" w:cs="Georgia"/>
          <w:sz w:val="22"/>
          <w:szCs w:val="22"/>
        </w:rPr>
        <w:t>mezi:</w:t>
      </w:r>
    </w:p>
    <w:p w14:paraId="72575CBD" w14:textId="77777777" w:rsidR="006E26D4" w:rsidRDefault="006E26D4">
      <w:pPr>
        <w:jc w:val="both"/>
        <w:rPr>
          <w:rFonts w:ascii="Georgia" w:eastAsia="Georgia" w:hAnsi="Georgia" w:cs="Georgia"/>
          <w:b/>
          <w:sz w:val="22"/>
          <w:szCs w:val="22"/>
        </w:rPr>
      </w:pPr>
    </w:p>
    <w:p w14:paraId="1C8DB067" w14:textId="53423D7A" w:rsidR="006E26D4" w:rsidRDefault="00285459">
      <w:pPr>
        <w:jc w:val="both"/>
        <w:rPr>
          <w:rFonts w:ascii="Georgia" w:eastAsia="Georgia" w:hAnsi="Georgia" w:cs="Georgia"/>
          <w:sz w:val="22"/>
          <w:szCs w:val="22"/>
        </w:rPr>
      </w:pPr>
      <w:r w:rsidRPr="00757901">
        <w:rPr>
          <w:rFonts w:ascii="Georgia" w:eastAsia="Georgia" w:hAnsi="Georgia" w:cs="Georgia"/>
          <w:sz w:val="22"/>
          <w:szCs w:val="22"/>
        </w:rPr>
        <w:t xml:space="preserve">Českou rozvojovou agenturou </w:t>
      </w:r>
      <w:r>
        <w:rPr>
          <w:rFonts w:ascii="Georgia" w:eastAsia="Georgia" w:hAnsi="Georgia" w:cs="Georgia"/>
          <w:sz w:val="22"/>
          <w:szCs w:val="22"/>
        </w:rPr>
        <w:t xml:space="preserve">se sídlem </w:t>
      </w:r>
      <w:r w:rsidRPr="00757901">
        <w:rPr>
          <w:rFonts w:ascii="Georgia" w:eastAsia="Georgia" w:hAnsi="Georgia" w:cs="Georgia"/>
          <w:sz w:val="22"/>
          <w:szCs w:val="22"/>
        </w:rPr>
        <w:t xml:space="preserve">Nerudova 3, Malá Strana, 118 50 </w:t>
      </w:r>
      <w:r>
        <w:rPr>
          <w:rFonts w:ascii="Georgia" w:eastAsia="Georgia" w:hAnsi="Georgia" w:cs="Georgia"/>
          <w:sz w:val="22"/>
          <w:szCs w:val="22"/>
        </w:rPr>
        <w:t xml:space="preserve">IČO: </w:t>
      </w:r>
      <w:r w:rsidRPr="00757901">
        <w:rPr>
          <w:rFonts w:ascii="Georgia" w:eastAsia="Georgia" w:hAnsi="Georgia" w:cs="Georgia"/>
          <w:sz w:val="22"/>
          <w:szCs w:val="22"/>
        </w:rPr>
        <w:t>75123924</w:t>
      </w:r>
      <w:r w:rsidR="007C71B9">
        <w:rPr>
          <w:rFonts w:ascii="Georgia" w:eastAsia="Georgia" w:hAnsi="Georgia" w:cs="Georgia"/>
          <w:sz w:val="22"/>
          <w:szCs w:val="22"/>
        </w:rPr>
        <w:t>,</w:t>
      </w:r>
      <w:r w:rsidRPr="00757901">
        <w:rPr>
          <w:rFonts w:ascii="Georgia" w:eastAsia="Georgia" w:hAnsi="Georgia" w:cs="Georgia"/>
          <w:sz w:val="22"/>
          <w:szCs w:val="22"/>
        </w:rPr>
        <w:t xml:space="preserve"> </w:t>
      </w:r>
      <w:r>
        <w:rPr>
          <w:rFonts w:ascii="Georgia" w:eastAsia="Georgia" w:hAnsi="Georgia" w:cs="Georgia"/>
          <w:sz w:val="22"/>
          <w:szCs w:val="22"/>
        </w:rPr>
        <w:t xml:space="preserve">zastoupená </w:t>
      </w:r>
      <w:r w:rsidRPr="00757901">
        <w:rPr>
          <w:rFonts w:ascii="Georgia" w:eastAsia="Georgia" w:hAnsi="Georgia" w:cs="Georgia"/>
          <w:sz w:val="22"/>
          <w:szCs w:val="22"/>
        </w:rPr>
        <w:t>Mgr. Štěpánkou Liteckou, ředitelkou</w:t>
      </w:r>
      <w:r>
        <w:rPr>
          <w:rFonts w:ascii="Georgia" w:eastAsia="Georgia" w:hAnsi="Georgia" w:cs="Georgia"/>
          <w:sz w:val="22"/>
          <w:szCs w:val="22"/>
        </w:rPr>
        <w:t>, dále jen jako „</w:t>
      </w:r>
      <w:r>
        <w:rPr>
          <w:rFonts w:ascii="Georgia" w:eastAsia="Georgia" w:hAnsi="Georgia" w:cs="Georgia"/>
          <w:b/>
          <w:sz w:val="22"/>
          <w:szCs w:val="22"/>
        </w:rPr>
        <w:t>Správce</w:t>
      </w:r>
      <w:r>
        <w:rPr>
          <w:rFonts w:ascii="Georgia" w:eastAsia="Georgia" w:hAnsi="Georgia" w:cs="Georgia"/>
          <w:sz w:val="22"/>
          <w:szCs w:val="22"/>
        </w:rPr>
        <w:t>” nebo „</w:t>
      </w:r>
      <w:r>
        <w:rPr>
          <w:rFonts w:ascii="Georgia" w:eastAsia="Georgia" w:hAnsi="Georgia" w:cs="Georgia"/>
          <w:b/>
          <w:sz w:val="22"/>
          <w:szCs w:val="22"/>
        </w:rPr>
        <w:t>Klient</w:t>
      </w:r>
      <w:r>
        <w:rPr>
          <w:rFonts w:ascii="Georgia" w:eastAsia="Georgia" w:hAnsi="Georgia" w:cs="Georgia"/>
          <w:sz w:val="22"/>
          <w:szCs w:val="22"/>
        </w:rPr>
        <w:t xml:space="preserve">” </w:t>
      </w:r>
    </w:p>
    <w:p w14:paraId="02B52F12" w14:textId="77777777" w:rsidR="006E26D4" w:rsidRDefault="006E26D4">
      <w:pPr>
        <w:jc w:val="both"/>
        <w:rPr>
          <w:rFonts w:ascii="Georgia" w:eastAsia="Georgia" w:hAnsi="Georgia" w:cs="Georgia"/>
          <w:sz w:val="22"/>
          <w:szCs w:val="22"/>
        </w:rPr>
      </w:pPr>
    </w:p>
    <w:p w14:paraId="7BDB7C3C" w14:textId="77777777" w:rsidR="006E26D4" w:rsidRDefault="00285459">
      <w:pPr>
        <w:jc w:val="both"/>
        <w:rPr>
          <w:rFonts w:ascii="Georgia" w:eastAsia="Georgia" w:hAnsi="Georgia" w:cs="Georgia"/>
          <w:sz w:val="22"/>
          <w:szCs w:val="22"/>
        </w:rPr>
      </w:pPr>
      <w:r>
        <w:rPr>
          <w:rFonts w:ascii="Georgia" w:eastAsia="Georgia" w:hAnsi="Georgia" w:cs="Georgia"/>
          <w:sz w:val="22"/>
          <w:szCs w:val="22"/>
        </w:rPr>
        <w:t>a</w:t>
      </w:r>
    </w:p>
    <w:p w14:paraId="2E39FA91" w14:textId="77777777" w:rsidR="006E26D4" w:rsidRDefault="006E26D4">
      <w:pPr>
        <w:jc w:val="both"/>
        <w:rPr>
          <w:rFonts w:ascii="Georgia" w:eastAsia="Georgia" w:hAnsi="Georgia" w:cs="Georgia"/>
          <w:sz w:val="22"/>
          <w:szCs w:val="22"/>
        </w:rPr>
      </w:pPr>
    </w:p>
    <w:p w14:paraId="014E6552" w14:textId="77777777" w:rsidR="006E26D4" w:rsidRDefault="00285459">
      <w:pPr>
        <w:jc w:val="both"/>
        <w:rPr>
          <w:rFonts w:ascii="Georgia" w:eastAsia="Georgia" w:hAnsi="Georgia" w:cs="Georgia"/>
          <w:sz w:val="22"/>
          <w:szCs w:val="22"/>
        </w:rPr>
      </w:pPr>
      <w:r w:rsidRPr="00757901">
        <w:rPr>
          <w:rFonts w:ascii="Georgia" w:eastAsia="Georgia" w:hAnsi="Georgia" w:cs="Georgia"/>
          <w:sz w:val="22"/>
          <w:szCs w:val="22"/>
        </w:rPr>
        <w:t xml:space="preserve">PricewaterhouseCoopers Česká republika, s.r.o. </w:t>
      </w:r>
      <w:r>
        <w:rPr>
          <w:rFonts w:ascii="Georgia" w:eastAsia="Georgia" w:hAnsi="Georgia" w:cs="Georgia"/>
          <w:sz w:val="22"/>
          <w:szCs w:val="22"/>
        </w:rPr>
        <w:t xml:space="preserve">se sídlem </w:t>
      </w:r>
      <w:r w:rsidRPr="00757901">
        <w:rPr>
          <w:rFonts w:ascii="Georgia" w:eastAsia="Georgia" w:hAnsi="Georgia" w:cs="Georgia"/>
          <w:sz w:val="22"/>
          <w:szCs w:val="22"/>
        </w:rPr>
        <w:t xml:space="preserve">Hvězdova 1734/2c, 140 00 Praha 4 </w:t>
      </w:r>
      <w:r>
        <w:rPr>
          <w:rFonts w:ascii="Georgia" w:eastAsia="Georgia" w:hAnsi="Georgia" w:cs="Georgia"/>
          <w:sz w:val="22"/>
          <w:szCs w:val="22"/>
        </w:rPr>
        <w:t xml:space="preserve">IČO: </w:t>
      </w:r>
      <w:r w:rsidRPr="00757901">
        <w:rPr>
          <w:rFonts w:ascii="Georgia" w:eastAsia="Georgia" w:hAnsi="Georgia" w:cs="Georgia"/>
          <w:sz w:val="22"/>
          <w:szCs w:val="22"/>
        </w:rPr>
        <w:t xml:space="preserve">61063029 </w:t>
      </w:r>
      <w:r>
        <w:rPr>
          <w:rFonts w:ascii="Georgia" w:eastAsia="Georgia" w:hAnsi="Georgia" w:cs="Georgia"/>
          <w:sz w:val="22"/>
          <w:szCs w:val="22"/>
        </w:rPr>
        <w:t xml:space="preserve">DIČ: </w:t>
      </w:r>
      <w:r w:rsidRPr="00757901">
        <w:rPr>
          <w:rFonts w:ascii="Georgia" w:eastAsia="Georgia" w:hAnsi="Georgia" w:cs="Georgia"/>
          <w:sz w:val="22"/>
          <w:szCs w:val="22"/>
        </w:rPr>
        <w:t>CZ 61063029,</w:t>
      </w:r>
      <w:r>
        <w:rPr>
          <w:rFonts w:ascii="Georgia" w:eastAsia="Georgia" w:hAnsi="Georgia" w:cs="Georgia"/>
          <w:sz w:val="22"/>
          <w:szCs w:val="22"/>
        </w:rPr>
        <w:t xml:space="preserve"> zastoupená </w:t>
      </w:r>
      <w:r w:rsidRPr="00757901">
        <w:rPr>
          <w:rFonts w:ascii="Georgia" w:eastAsia="Georgia" w:hAnsi="Georgia" w:cs="Georgia"/>
          <w:sz w:val="22"/>
          <w:szCs w:val="22"/>
        </w:rPr>
        <w:t>Jiřím Moserem, jednatelem,</w:t>
      </w:r>
      <w:r>
        <w:rPr>
          <w:rFonts w:ascii="Georgia" w:eastAsia="Georgia" w:hAnsi="Georgia" w:cs="Georgia"/>
          <w:sz w:val="22"/>
          <w:szCs w:val="22"/>
        </w:rPr>
        <w:t xml:space="preserve"> dále jen jako „</w:t>
      </w:r>
      <w:r>
        <w:rPr>
          <w:rFonts w:ascii="Georgia" w:eastAsia="Georgia" w:hAnsi="Georgia" w:cs="Georgia"/>
          <w:b/>
          <w:sz w:val="22"/>
          <w:szCs w:val="22"/>
        </w:rPr>
        <w:t>Zpracovatel</w:t>
      </w:r>
      <w:r>
        <w:rPr>
          <w:rFonts w:ascii="Georgia" w:eastAsia="Georgia" w:hAnsi="Georgia" w:cs="Georgia"/>
          <w:sz w:val="22"/>
          <w:szCs w:val="22"/>
        </w:rPr>
        <w:t>” nebo “</w:t>
      </w:r>
      <w:r>
        <w:rPr>
          <w:rFonts w:ascii="Georgia" w:eastAsia="Georgia" w:hAnsi="Georgia" w:cs="Georgia"/>
          <w:b/>
          <w:sz w:val="22"/>
          <w:szCs w:val="22"/>
        </w:rPr>
        <w:t>PwC</w:t>
      </w:r>
      <w:r w:rsidR="00757901">
        <w:rPr>
          <w:rFonts w:ascii="Georgia" w:eastAsia="Georgia" w:hAnsi="Georgia" w:cs="Georgia"/>
          <w:b/>
          <w:sz w:val="22"/>
          <w:szCs w:val="22"/>
        </w:rPr>
        <w:t>.</w:t>
      </w:r>
      <w:r>
        <w:rPr>
          <w:rFonts w:ascii="Georgia" w:eastAsia="Georgia" w:hAnsi="Georgia" w:cs="Georgia"/>
          <w:sz w:val="22"/>
          <w:szCs w:val="22"/>
        </w:rPr>
        <w:t>”</w:t>
      </w:r>
    </w:p>
    <w:p w14:paraId="3791A9B2" w14:textId="77777777" w:rsidR="006E26D4" w:rsidRDefault="006E26D4">
      <w:pPr>
        <w:jc w:val="both"/>
        <w:rPr>
          <w:rFonts w:ascii="Georgia" w:eastAsia="Georgia" w:hAnsi="Georgia" w:cs="Georgia"/>
          <w:b/>
          <w:sz w:val="22"/>
          <w:szCs w:val="22"/>
        </w:rPr>
      </w:pPr>
    </w:p>
    <w:p w14:paraId="6A27E043" w14:textId="77777777" w:rsidR="006E26D4" w:rsidRDefault="006E26D4">
      <w:pPr>
        <w:jc w:val="both"/>
        <w:rPr>
          <w:rFonts w:ascii="Georgia" w:eastAsia="Georgia" w:hAnsi="Georgia" w:cs="Georgia"/>
          <w:b/>
          <w:sz w:val="22"/>
          <w:szCs w:val="22"/>
        </w:rPr>
      </w:pPr>
    </w:p>
    <w:p w14:paraId="16D36467" w14:textId="77777777" w:rsidR="006E26D4" w:rsidRDefault="00285459">
      <w:pPr>
        <w:jc w:val="center"/>
        <w:rPr>
          <w:rFonts w:ascii="Georgia" w:eastAsia="Georgia" w:hAnsi="Georgia" w:cs="Georgia"/>
          <w:b/>
          <w:sz w:val="22"/>
          <w:szCs w:val="22"/>
        </w:rPr>
      </w:pPr>
      <w:r>
        <w:rPr>
          <w:rFonts w:ascii="Georgia" w:eastAsia="Georgia" w:hAnsi="Georgia" w:cs="Georgia"/>
          <w:b/>
          <w:sz w:val="22"/>
          <w:szCs w:val="22"/>
        </w:rPr>
        <w:t>§ 1</w:t>
      </w:r>
    </w:p>
    <w:p w14:paraId="46BF72C6" w14:textId="77777777" w:rsidR="006E26D4" w:rsidRDefault="00285459">
      <w:pPr>
        <w:jc w:val="center"/>
        <w:rPr>
          <w:rFonts w:ascii="Georgia" w:eastAsia="Georgia" w:hAnsi="Georgia" w:cs="Georgia"/>
          <w:sz w:val="22"/>
          <w:szCs w:val="22"/>
        </w:rPr>
      </w:pPr>
      <w:r>
        <w:rPr>
          <w:rFonts w:ascii="Georgia" w:eastAsia="Georgia" w:hAnsi="Georgia" w:cs="Georgia"/>
          <w:b/>
          <w:sz w:val="22"/>
          <w:szCs w:val="22"/>
        </w:rPr>
        <w:t>Předmět Dohody</w:t>
      </w:r>
    </w:p>
    <w:p w14:paraId="39A2E7FA" w14:textId="3519E255" w:rsidR="006E26D4" w:rsidRDefault="00285459">
      <w:pPr>
        <w:numPr>
          <w:ilvl w:val="0"/>
          <w:numId w:val="2"/>
        </w:numPr>
        <w:pBdr>
          <w:top w:val="nil"/>
          <w:left w:val="nil"/>
          <w:bottom w:val="nil"/>
          <w:right w:val="nil"/>
          <w:between w:val="nil"/>
        </w:pBdr>
        <w:jc w:val="both"/>
        <w:rPr>
          <w:rFonts w:ascii="Georgia" w:eastAsia="Georgia" w:hAnsi="Georgia" w:cs="Georgia"/>
          <w:color w:val="000000"/>
          <w:sz w:val="22"/>
          <w:szCs w:val="22"/>
        </w:rPr>
      </w:pPr>
      <w:bookmarkStart w:id="1" w:name="_gjdgxs" w:colFirst="0" w:colLast="0"/>
      <w:bookmarkEnd w:id="1"/>
      <w:r>
        <w:rPr>
          <w:rFonts w:ascii="Georgia" w:eastAsia="Georgia" w:hAnsi="Georgia" w:cs="Georgia"/>
          <w:color w:val="000000"/>
          <w:sz w:val="22"/>
          <w:szCs w:val="22"/>
        </w:rPr>
        <w:t>Tato Dohoda upravuje zpracování osobních údajů uvedených v Příloze č. 1 této Dohody (dále jen „</w:t>
      </w:r>
      <w:r>
        <w:rPr>
          <w:rFonts w:ascii="Georgia" w:eastAsia="Georgia" w:hAnsi="Georgia" w:cs="Georgia"/>
          <w:b/>
          <w:color w:val="000000"/>
          <w:sz w:val="22"/>
          <w:szCs w:val="22"/>
        </w:rPr>
        <w:t>Osobní údaje</w:t>
      </w:r>
      <w:r>
        <w:rPr>
          <w:rFonts w:ascii="Georgia" w:eastAsia="Georgia" w:hAnsi="Georgia" w:cs="Georgia"/>
          <w:color w:val="000000"/>
          <w:sz w:val="22"/>
          <w:szCs w:val="22"/>
        </w:rPr>
        <w:t xml:space="preserve">“) společností PwC pro Klienta a v souvislosti se službami poskytovanými společností PwC Klientovi na základě </w:t>
      </w:r>
      <w:r w:rsidRPr="00757901">
        <w:rPr>
          <w:rFonts w:ascii="Georgia" w:eastAsia="Georgia" w:hAnsi="Georgia" w:cs="Georgia"/>
          <w:color w:val="000000"/>
          <w:sz w:val="22"/>
          <w:szCs w:val="22"/>
        </w:rPr>
        <w:t>Smlouvy o poskytování služeb</w:t>
      </w:r>
      <w:r>
        <w:rPr>
          <w:rFonts w:ascii="Georgia" w:eastAsia="Georgia" w:hAnsi="Georgia" w:cs="Georgia"/>
          <w:color w:val="000000"/>
          <w:sz w:val="22"/>
          <w:szCs w:val="22"/>
        </w:rPr>
        <w:t xml:space="preserve"> ze dne </w:t>
      </w:r>
      <w:r w:rsidR="00790DF9">
        <w:rPr>
          <w:rFonts w:ascii="Georgia" w:eastAsia="Georgia" w:hAnsi="Georgia" w:cs="Georgia"/>
          <w:color w:val="000000"/>
          <w:sz w:val="22"/>
          <w:szCs w:val="22"/>
        </w:rPr>
        <w:t>15/4/20</w:t>
      </w:r>
      <w:r>
        <w:rPr>
          <w:rFonts w:ascii="Georgia" w:eastAsia="Georgia" w:hAnsi="Georgia" w:cs="Georgia"/>
          <w:i/>
          <w:color w:val="00B0F0"/>
          <w:sz w:val="22"/>
          <w:szCs w:val="22"/>
        </w:rPr>
        <w:t xml:space="preserve"> </w:t>
      </w:r>
      <w:r>
        <w:rPr>
          <w:rFonts w:ascii="Georgia" w:eastAsia="Georgia" w:hAnsi="Georgia" w:cs="Georgia"/>
          <w:color w:val="000000"/>
          <w:sz w:val="22"/>
          <w:szCs w:val="22"/>
        </w:rPr>
        <w:t xml:space="preserve"> (dále jen „</w:t>
      </w:r>
      <w:r>
        <w:rPr>
          <w:rFonts w:ascii="Georgia" w:eastAsia="Georgia" w:hAnsi="Georgia" w:cs="Georgia"/>
          <w:b/>
          <w:color w:val="000000"/>
          <w:sz w:val="22"/>
          <w:szCs w:val="22"/>
        </w:rPr>
        <w:t>Smlouva</w:t>
      </w:r>
      <w:r>
        <w:rPr>
          <w:rFonts w:ascii="Georgia" w:eastAsia="Georgia" w:hAnsi="Georgia" w:cs="Georgia"/>
          <w:color w:val="000000"/>
          <w:sz w:val="22"/>
          <w:szCs w:val="22"/>
        </w:rPr>
        <w:t>“).</w:t>
      </w:r>
    </w:p>
    <w:p w14:paraId="39AA37B0" w14:textId="77777777" w:rsidR="006E26D4" w:rsidRDefault="00285459">
      <w:pPr>
        <w:numPr>
          <w:ilvl w:val="0"/>
          <w:numId w:val="2"/>
        </w:numPr>
        <w:pBdr>
          <w:top w:val="nil"/>
          <w:left w:val="nil"/>
          <w:bottom w:val="nil"/>
          <w:right w:val="nil"/>
          <w:between w:val="nil"/>
        </w:pBdr>
        <w:jc w:val="both"/>
        <w:rPr>
          <w:rFonts w:ascii="Georgia" w:eastAsia="Georgia" w:hAnsi="Georgia" w:cs="Georgia"/>
          <w:color w:val="000000"/>
          <w:sz w:val="22"/>
          <w:szCs w:val="22"/>
        </w:rPr>
      </w:pPr>
      <w:r>
        <w:rPr>
          <w:rFonts w:ascii="Georgia" w:eastAsia="Georgia" w:hAnsi="Georgia" w:cs="Georgia"/>
          <w:color w:val="000000"/>
          <w:sz w:val="22"/>
          <w:szCs w:val="22"/>
        </w:rPr>
        <w:t>Správce tímto pověřuje Zpracovatele zpracováváním Osobních údajů pro Správce výhradně za účelem poskytování služeb, jakož i pro jiné účely uvedené v Příloze č. 1.</w:t>
      </w:r>
    </w:p>
    <w:p w14:paraId="52273AEB" w14:textId="77777777" w:rsidR="006E26D4" w:rsidRDefault="00285459">
      <w:pPr>
        <w:numPr>
          <w:ilvl w:val="0"/>
          <w:numId w:val="2"/>
        </w:numPr>
        <w:pBdr>
          <w:top w:val="nil"/>
          <w:left w:val="nil"/>
          <w:bottom w:val="nil"/>
          <w:right w:val="nil"/>
          <w:between w:val="nil"/>
        </w:pBdr>
        <w:jc w:val="both"/>
        <w:rPr>
          <w:rFonts w:ascii="Georgia" w:eastAsia="Georgia" w:hAnsi="Georgia" w:cs="Georgia"/>
          <w:color w:val="000000"/>
          <w:sz w:val="22"/>
          <w:szCs w:val="22"/>
        </w:rPr>
      </w:pPr>
      <w:r>
        <w:rPr>
          <w:rFonts w:ascii="Georgia" w:eastAsia="Georgia" w:hAnsi="Georgia" w:cs="Georgia"/>
          <w:color w:val="000000"/>
          <w:sz w:val="22"/>
          <w:szCs w:val="22"/>
        </w:rPr>
        <w:t>Klient a PwC mají zájem na dostání všem svým povinnostem vyplývajícím z nařízení Evropského parlamentu a Rady (EU) 2016/679, ze dne 27. dubna 2016, o ochraně fyzických osob v souvislosti se zpracováním osobních údajů a o volném pohybu těchto údajů, (dále jen „</w:t>
      </w:r>
      <w:r>
        <w:rPr>
          <w:rFonts w:ascii="Georgia" w:eastAsia="Georgia" w:hAnsi="Georgia" w:cs="Georgia"/>
          <w:b/>
          <w:color w:val="000000"/>
          <w:sz w:val="22"/>
          <w:szCs w:val="22"/>
        </w:rPr>
        <w:t>GDPR</w:t>
      </w:r>
      <w:r>
        <w:rPr>
          <w:rFonts w:ascii="Georgia" w:eastAsia="Georgia" w:hAnsi="Georgia" w:cs="Georgia"/>
          <w:color w:val="000000"/>
          <w:sz w:val="22"/>
          <w:szCs w:val="22"/>
        </w:rPr>
        <w:t>“) a veškerých příslušných právních předpisů o ochraně osobních údajů (dále jen „</w:t>
      </w:r>
      <w:r>
        <w:rPr>
          <w:rFonts w:ascii="Georgia" w:eastAsia="Georgia" w:hAnsi="Georgia" w:cs="Georgia"/>
          <w:b/>
          <w:color w:val="000000"/>
          <w:sz w:val="22"/>
          <w:szCs w:val="22"/>
        </w:rPr>
        <w:t>Zákony na ochranu osobních údajů</w:t>
      </w:r>
      <w:r>
        <w:rPr>
          <w:rFonts w:ascii="Georgia" w:eastAsia="Georgia" w:hAnsi="Georgia" w:cs="Georgia"/>
          <w:color w:val="000000"/>
          <w:sz w:val="22"/>
          <w:szCs w:val="22"/>
        </w:rPr>
        <w:t>“).</w:t>
      </w:r>
    </w:p>
    <w:p w14:paraId="460C3D5C" w14:textId="77777777" w:rsidR="006E26D4" w:rsidRDefault="00285459">
      <w:pPr>
        <w:numPr>
          <w:ilvl w:val="0"/>
          <w:numId w:val="2"/>
        </w:numPr>
        <w:pBdr>
          <w:top w:val="nil"/>
          <w:left w:val="nil"/>
          <w:bottom w:val="nil"/>
          <w:right w:val="nil"/>
          <w:between w:val="nil"/>
        </w:pBdr>
        <w:jc w:val="both"/>
        <w:rPr>
          <w:rFonts w:ascii="Georgia" w:eastAsia="Georgia" w:hAnsi="Georgia" w:cs="Georgia"/>
          <w:color w:val="000000"/>
          <w:sz w:val="22"/>
          <w:szCs w:val="22"/>
        </w:rPr>
      </w:pPr>
      <w:r>
        <w:rPr>
          <w:rFonts w:ascii="Georgia" w:eastAsia="Georgia" w:hAnsi="Georgia" w:cs="Georgia"/>
          <w:color w:val="000000"/>
          <w:sz w:val="22"/>
          <w:szCs w:val="22"/>
        </w:rPr>
        <w:t>Pro účely této Dohody mají termíny „správce“, „zpracovatel“ a „porušení zabezpečení osobních údajů“ význam uvedený v GDPR. „Subdodavatelem“ se rozumí jiný zpracovatel zapojený do zpracování Osobních údajů společností PwC.</w:t>
      </w:r>
    </w:p>
    <w:p w14:paraId="5E9AD327" w14:textId="77777777" w:rsidR="006E26D4" w:rsidRDefault="00285459">
      <w:pPr>
        <w:numPr>
          <w:ilvl w:val="0"/>
          <w:numId w:val="2"/>
        </w:numPr>
        <w:pBdr>
          <w:top w:val="nil"/>
          <w:left w:val="nil"/>
          <w:bottom w:val="nil"/>
          <w:right w:val="nil"/>
          <w:between w:val="nil"/>
        </w:pBdr>
        <w:jc w:val="both"/>
        <w:rPr>
          <w:rFonts w:ascii="Georgia" w:eastAsia="Georgia" w:hAnsi="Georgia" w:cs="Georgia"/>
          <w:color w:val="000000"/>
          <w:sz w:val="22"/>
          <w:szCs w:val="22"/>
        </w:rPr>
      </w:pPr>
      <w:r>
        <w:rPr>
          <w:rFonts w:ascii="Georgia" w:eastAsia="Georgia" w:hAnsi="Georgia" w:cs="Georgia"/>
          <w:color w:val="000000"/>
          <w:sz w:val="22"/>
          <w:szCs w:val="22"/>
        </w:rPr>
        <w:t>Povaha a účel zpracování Osobních údajů, jakož i doba trvání zpracování Osobních údajů, jsou uvedeny v Příloze č. 1.</w:t>
      </w:r>
    </w:p>
    <w:p w14:paraId="74A36C1C" w14:textId="77777777" w:rsidR="006E26D4" w:rsidRDefault="00285459">
      <w:pPr>
        <w:numPr>
          <w:ilvl w:val="0"/>
          <w:numId w:val="2"/>
        </w:numPr>
        <w:pBdr>
          <w:top w:val="nil"/>
          <w:left w:val="nil"/>
          <w:bottom w:val="nil"/>
          <w:right w:val="nil"/>
          <w:between w:val="nil"/>
        </w:pBdr>
        <w:jc w:val="both"/>
        <w:rPr>
          <w:rFonts w:ascii="Georgia" w:eastAsia="Georgia" w:hAnsi="Georgia" w:cs="Georgia"/>
          <w:color w:val="000000"/>
          <w:sz w:val="22"/>
          <w:szCs w:val="22"/>
        </w:rPr>
      </w:pPr>
      <w:r>
        <w:rPr>
          <w:rFonts w:ascii="Georgia" w:eastAsia="Georgia" w:hAnsi="Georgia" w:cs="Georgia"/>
          <w:color w:val="000000"/>
          <w:sz w:val="22"/>
          <w:szCs w:val="22"/>
        </w:rPr>
        <w:t>Tato Dohoda se vztahuje pouze na Osobní údaje. Společnost PwC nemá žádné závazky (není nijak odpovědná) dle této Dohody v souvislosti s dalšími osobními údaji.</w:t>
      </w:r>
    </w:p>
    <w:p w14:paraId="3C77726C" w14:textId="77777777" w:rsidR="006E26D4" w:rsidRDefault="006E26D4">
      <w:pPr>
        <w:ind w:left="360"/>
        <w:jc w:val="both"/>
        <w:rPr>
          <w:rFonts w:ascii="Georgia" w:eastAsia="Georgia" w:hAnsi="Georgia" w:cs="Georgia"/>
          <w:b/>
          <w:sz w:val="22"/>
          <w:szCs w:val="22"/>
        </w:rPr>
      </w:pPr>
    </w:p>
    <w:p w14:paraId="4D6D63A3" w14:textId="77777777" w:rsidR="006E26D4" w:rsidRDefault="00285459">
      <w:pPr>
        <w:jc w:val="center"/>
        <w:rPr>
          <w:rFonts w:ascii="Georgia" w:eastAsia="Georgia" w:hAnsi="Georgia" w:cs="Georgia"/>
          <w:b/>
          <w:sz w:val="22"/>
          <w:szCs w:val="22"/>
        </w:rPr>
      </w:pPr>
      <w:r>
        <w:rPr>
          <w:rFonts w:ascii="Georgia" w:eastAsia="Georgia" w:hAnsi="Georgia" w:cs="Georgia"/>
          <w:b/>
          <w:sz w:val="22"/>
          <w:szCs w:val="22"/>
        </w:rPr>
        <w:t>§ 2</w:t>
      </w:r>
    </w:p>
    <w:p w14:paraId="78944C36" w14:textId="77777777" w:rsidR="006E26D4" w:rsidRDefault="00285459">
      <w:pPr>
        <w:jc w:val="center"/>
        <w:rPr>
          <w:rFonts w:ascii="Georgia" w:eastAsia="Georgia" w:hAnsi="Georgia" w:cs="Georgia"/>
          <w:sz w:val="22"/>
          <w:szCs w:val="22"/>
        </w:rPr>
      </w:pPr>
      <w:r>
        <w:rPr>
          <w:rFonts w:ascii="Georgia" w:eastAsia="Georgia" w:hAnsi="Georgia" w:cs="Georgia"/>
          <w:b/>
          <w:sz w:val="22"/>
          <w:szCs w:val="22"/>
        </w:rPr>
        <w:t>Povinnosti zpracovatele</w:t>
      </w:r>
    </w:p>
    <w:p w14:paraId="6C3CB850" w14:textId="77777777" w:rsidR="006E26D4" w:rsidRDefault="00285459">
      <w:pPr>
        <w:numPr>
          <w:ilvl w:val="0"/>
          <w:numId w:val="6"/>
        </w:numPr>
        <w:pBdr>
          <w:top w:val="nil"/>
          <w:left w:val="nil"/>
          <w:bottom w:val="nil"/>
          <w:right w:val="nil"/>
          <w:between w:val="nil"/>
        </w:pBdr>
        <w:jc w:val="both"/>
        <w:rPr>
          <w:rFonts w:ascii="Georgia" w:eastAsia="Georgia" w:hAnsi="Georgia" w:cs="Georgia"/>
          <w:color w:val="000000"/>
          <w:sz w:val="22"/>
          <w:szCs w:val="22"/>
        </w:rPr>
      </w:pPr>
      <w:r>
        <w:rPr>
          <w:rFonts w:ascii="Georgia" w:eastAsia="Georgia" w:hAnsi="Georgia" w:cs="Georgia"/>
          <w:color w:val="000000"/>
          <w:sz w:val="22"/>
          <w:szCs w:val="22"/>
        </w:rPr>
        <w:t>PwC má povinnost:</w:t>
      </w:r>
    </w:p>
    <w:p w14:paraId="7077C946" w14:textId="77777777" w:rsidR="006E26D4" w:rsidRDefault="00285459">
      <w:pPr>
        <w:numPr>
          <w:ilvl w:val="1"/>
          <w:numId w:val="6"/>
        </w:numPr>
        <w:pBdr>
          <w:top w:val="nil"/>
          <w:left w:val="nil"/>
          <w:bottom w:val="nil"/>
          <w:right w:val="nil"/>
          <w:between w:val="nil"/>
        </w:pBdr>
        <w:ind w:left="1134" w:hanging="425"/>
        <w:jc w:val="both"/>
        <w:rPr>
          <w:rFonts w:ascii="Georgia" w:eastAsia="Georgia" w:hAnsi="Georgia" w:cs="Georgia"/>
          <w:color w:val="000000"/>
          <w:sz w:val="22"/>
          <w:szCs w:val="22"/>
        </w:rPr>
      </w:pPr>
      <w:r>
        <w:rPr>
          <w:rFonts w:ascii="Georgia" w:eastAsia="Georgia" w:hAnsi="Georgia" w:cs="Georgia"/>
          <w:color w:val="000000"/>
          <w:sz w:val="22"/>
          <w:szCs w:val="22"/>
        </w:rPr>
        <w:t>zpracovávat Osobní údaje pouze na základě doložených pokynů Klienta a pro účely uvedené v této Dohodě, pokud zpracování nevyžaduje GDPR nebo jiné Zákony na ochranu osobních údajů; v takovém případě PwC předem informuje Klienta o takovém požadavku, pokud právní předpis nezakazuje poskytnutí takovýchto informací;</w:t>
      </w:r>
    </w:p>
    <w:p w14:paraId="3E717824" w14:textId="77777777" w:rsidR="006E26D4" w:rsidRDefault="00285459">
      <w:pPr>
        <w:numPr>
          <w:ilvl w:val="1"/>
          <w:numId w:val="6"/>
        </w:numPr>
        <w:pBdr>
          <w:top w:val="nil"/>
          <w:left w:val="nil"/>
          <w:bottom w:val="nil"/>
          <w:right w:val="nil"/>
          <w:between w:val="nil"/>
        </w:pBdr>
        <w:ind w:left="1134" w:hanging="425"/>
        <w:jc w:val="both"/>
        <w:rPr>
          <w:rFonts w:ascii="Georgia" w:eastAsia="Georgia" w:hAnsi="Georgia" w:cs="Georgia"/>
          <w:color w:val="000000"/>
          <w:sz w:val="22"/>
          <w:szCs w:val="22"/>
        </w:rPr>
      </w:pPr>
      <w:r>
        <w:rPr>
          <w:rFonts w:ascii="Georgia" w:eastAsia="Georgia" w:hAnsi="Georgia" w:cs="Georgia"/>
          <w:color w:val="000000"/>
          <w:sz w:val="22"/>
          <w:szCs w:val="22"/>
        </w:rPr>
        <w:t>zajistit, aby se osoby oprávněné zpracovávat Osobní údaje zavázaly k zachování důvěrnosti, nebo aby byly vázány příslušnou zákonnou povinností důvěrnosti;</w:t>
      </w:r>
    </w:p>
    <w:p w14:paraId="221AE4B5" w14:textId="77777777" w:rsidR="006E26D4" w:rsidRDefault="00285459">
      <w:pPr>
        <w:numPr>
          <w:ilvl w:val="1"/>
          <w:numId w:val="6"/>
        </w:numPr>
        <w:pBdr>
          <w:top w:val="nil"/>
          <w:left w:val="nil"/>
          <w:bottom w:val="nil"/>
          <w:right w:val="nil"/>
          <w:between w:val="nil"/>
        </w:pBdr>
        <w:ind w:left="1134" w:hanging="425"/>
        <w:jc w:val="both"/>
        <w:rPr>
          <w:rFonts w:ascii="Georgia" w:eastAsia="Georgia" w:hAnsi="Georgia" w:cs="Georgia"/>
          <w:color w:val="000000"/>
          <w:sz w:val="22"/>
          <w:szCs w:val="22"/>
        </w:rPr>
      </w:pPr>
      <w:r>
        <w:rPr>
          <w:rFonts w:ascii="Georgia" w:eastAsia="Georgia" w:hAnsi="Georgia" w:cs="Georgia"/>
          <w:color w:val="000000"/>
          <w:sz w:val="22"/>
          <w:szCs w:val="22"/>
        </w:rPr>
        <w:t>přijmout vhodná technická a organizační opatření požadovaná podle článku 32 GDPR a dalších Zákonů na ochranu osobních údajů, přičemž zohlední (i) nejnovější stav techniky, (ii) náklady na provádění, (iii) povahu, rozsah a účel zpracování, a iv) rizika pro subjekty údajů;</w:t>
      </w:r>
    </w:p>
    <w:p w14:paraId="7CC4AF3E" w14:textId="77777777" w:rsidR="006E26D4" w:rsidRDefault="00285459">
      <w:pPr>
        <w:numPr>
          <w:ilvl w:val="1"/>
          <w:numId w:val="6"/>
        </w:numPr>
        <w:pBdr>
          <w:top w:val="nil"/>
          <w:left w:val="nil"/>
          <w:bottom w:val="nil"/>
          <w:right w:val="nil"/>
          <w:between w:val="nil"/>
        </w:pBdr>
        <w:ind w:left="1134" w:hanging="425"/>
        <w:jc w:val="both"/>
        <w:rPr>
          <w:rFonts w:ascii="Georgia" w:eastAsia="Georgia" w:hAnsi="Georgia" w:cs="Georgia"/>
          <w:color w:val="000000"/>
          <w:sz w:val="22"/>
          <w:szCs w:val="22"/>
        </w:rPr>
      </w:pPr>
      <w:r>
        <w:rPr>
          <w:rFonts w:ascii="Georgia" w:eastAsia="Georgia" w:hAnsi="Georgia" w:cs="Georgia"/>
          <w:color w:val="000000"/>
          <w:sz w:val="22"/>
          <w:szCs w:val="22"/>
        </w:rPr>
        <w:t>respektovat podmínky uvedené v § 4 této Dohody pro zapojení Subdodavatelů;</w:t>
      </w:r>
    </w:p>
    <w:p w14:paraId="2083E645" w14:textId="77777777" w:rsidR="006E26D4" w:rsidRDefault="00285459">
      <w:pPr>
        <w:numPr>
          <w:ilvl w:val="1"/>
          <w:numId w:val="6"/>
        </w:numPr>
        <w:pBdr>
          <w:top w:val="nil"/>
          <w:left w:val="nil"/>
          <w:bottom w:val="nil"/>
          <w:right w:val="nil"/>
          <w:between w:val="nil"/>
        </w:pBdr>
        <w:ind w:left="1134" w:hanging="425"/>
        <w:jc w:val="both"/>
        <w:rPr>
          <w:rFonts w:ascii="Georgia" w:eastAsia="Georgia" w:hAnsi="Georgia" w:cs="Georgia"/>
          <w:color w:val="000000"/>
          <w:sz w:val="22"/>
          <w:szCs w:val="22"/>
        </w:rPr>
      </w:pPr>
      <w:r>
        <w:rPr>
          <w:rFonts w:ascii="Georgia" w:eastAsia="Georgia" w:hAnsi="Georgia" w:cs="Georgia"/>
          <w:color w:val="000000"/>
          <w:sz w:val="22"/>
          <w:szCs w:val="22"/>
        </w:rPr>
        <w:t xml:space="preserve">při zohlednění povahy zpracování, a pokud je to možné, napomáhat Klientovi zavedením vhodných technických a organizačních opatření k plnění povinností </w:t>
      </w:r>
      <w:r>
        <w:rPr>
          <w:rFonts w:ascii="Georgia" w:eastAsia="Georgia" w:hAnsi="Georgia" w:cs="Georgia"/>
          <w:color w:val="000000"/>
          <w:sz w:val="22"/>
          <w:szCs w:val="22"/>
        </w:rPr>
        <w:lastRenderedPageBreak/>
        <w:t>Klienta reagovat na žádosti o uplatnění práv subjektů údajů stanovených v kapitole III GDPR;</w:t>
      </w:r>
    </w:p>
    <w:p w14:paraId="7F25AB92" w14:textId="77777777" w:rsidR="006E26D4" w:rsidRDefault="00285459">
      <w:pPr>
        <w:numPr>
          <w:ilvl w:val="1"/>
          <w:numId w:val="6"/>
        </w:numPr>
        <w:pBdr>
          <w:top w:val="nil"/>
          <w:left w:val="nil"/>
          <w:bottom w:val="nil"/>
          <w:right w:val="nil"/>
          <w:between w:val="nil"/>
        </w:pBdr>
        <w:ind w:left="1134" w:hanging="425"/>
        <w:jc w:val="both"/>
        <w:rPr>
          <w:rFonts w:ascii="Georgia" w:eastAsia="Georgia" w:hAnsi="Georgia" w:cs="Georgia"/>
          <w:color w:val="000000"/>
          <w:sz w:val="22"/>
          <w:szCs w:val="22"/>
        </w:rPr>
      </w:pPr>
      <w:r>
        <w:rPr>
          <w:rFonts w:ascii="Georgia" w:eastAsia="Georgia" w:hAnsi="Georgia" w:cs="Georgia"/>
          <w:color w:val="000000"/>
          <w:sz w:val="22"/>
          <w:szCs w:val="22"/>
        </w:rPr>
        <w:t>při zohlednění povahy zpracování a informací, které má PwC k dispozici, pomáhat Klientovi při zajišťování dodržování povinností podle článků 32 až 36 GDPR;</w:t>
      </w:r>
    </w:p>
    <w:p w14:paraId="6333FD51" w14:textId="77777777" w:rsidR="006E26D4" w:rsidRDefault="00285459">
      <w:pPr>
        <w:numPr>
          <w:ilvl w:val="1"/>
          <w:numId w:val="6"/>
        </w:numPr>
        <w:pBdr>
          <w:top w:val="nil"/>
          <w:left w:val="nil"/>
          <w:bottom w:val="nil"/>
          <w:right w:val="nil"/>
          <w:between w:val="nil"/>
        </w:pBdr>
        <w:ind w:left="1134" w:hanging="425"/>
        <w:jc w:val="both"/>
        <w:rPr>
          <w:rFonts w:ascii="Georgia" w:eastAsia="Georgia" w:hAnsi="Georgia" w:cs="Georgia"/>
          <w:color w:val="000000"/>
          <w:sz w:val="22"/>
          <w:szCs w:val="22"/>
        </w:rPr>
      </w:pPr>
      <w:r>
        <w:rPr>
          <w:rFonts w:ascii="Georgia" w:eastAsia="Georgia" w:hAnsi="Georgia" w:cs="Georgia"/>
          <w:color w:val="000000"/>
          <w:sz w:val="22"/>
          <w:szCs w:val="22"/>
        </w:rPr>
        <w:t>na základě volby Klienta - a na jeho písemnou žádost – smazat, nebo vrátit veškeré Osobní údaje Klientovi po ukončení poskytování služeb podle Smlouvy, nebo po uplynutí doby zpracování údajů stanovené touto Dohodou, a vymazat stávající kopie, pokud GDPR nebo jiné Zákony na ochranu osobních údajů nevyžadují uložení Osobních údajů, nebo není-li PwC oprávněno zpracovávat Osobní údaje na základě nezávislých právních důvodů jako správce osobních údajů;</w:t>
      </w:r>
    </w:p>
    <w:p w14:paraId="5C8A013D" w14:textId="77777777" w:rsidR="006E26D4" w:rsidRDefault="00285459">
      <w:pPr>
        <w:numPr>
          <w:ilvl w:val="1"/>
          <w:numId w:val="6"/>
        </w:numPr>
        <w:pBdr>
          <w:top w:val="nil"/>
          <w:left w:val="nil"/>
          <w:bottom w:val="nil"/>
          <w:right w:val="nil"/>
          <w:between w:val="nil"/>
        </w:pBdr>
        <w:ind w:left="1134" w:hanging="425"/>
        <w:jc w:val="both"/>
        <w:rPr>
          <w:rFonts w:ascii="Georgia" w:eastAsia="Georgia" w:hAnsi="Georgia" w:cs="Georgia"/>
          <w:color w:val="000000"/>
          <w:sz w:val="22"/>
          <w:szCs w:val="22"/>
        </w:rPr>
      </w:pPr>
      <w:r>
        <w:rPr>
          <w:rFonts w:ascii="Georgia" w:eastAsia="Georgia" w:hAnsi="Georgia" w:cs="Georgia"/>
          <w:color w:val="000000"/>
          <w:sz w:val="22"/>
          <w:szCs w:val="22"/>
        </w:rPr>
        <w:t>na základě písemné žádosti Klienta zpřístupnit Klientovi informace nezbytné k prokázání splnění povinností stanovených v článku 28 GDPR, pokud jsou požadované informace ve vlastnictví PwC nebo nad nimi má PwC kontrolu; PwC je povinno poskytnout informace uvedené v předchozí větě pouze v míře, která není v rozporu s účinnými právními předpisy, profesními normami nebo povinností důvěrnosti vůči třetím stranám;</w:t>
      </w:r>
    </w:p>
    <w:p w14:paraId="355E61D2" w14:textId="77777777" w:rsidR="006E26D4" w:rsidRDefault="00285459">
      <w:pPr>
        <w:numPr>
          <w:ilvl w:val="1"/>
          <w:numId w:val="6"/>
        </w:numPr>
        <w:pBdr>
          <w:top w:val="nil"/>
          <w:left w:val="nil"/>
          <w:bottom w:val="nil"/>
          <w:right w:val="nil"/>
          <w:between w:val="nil"/>
        </w:pBdr>
        <w:ind w:left="1134" w:hanging="425"/>
        <w:jc w:val="both"/>
        <w:rPr>
          <w:rFonts w:ascii="Georgia" w:eastAsia="Georgia" w:hAnsi="Georgia" w:cs="Georgia"/>
          <w:color w:val="000000"/>
          <w:sz w:val="22"/>
          <w:szCs w:val="22"/>
        </w:rPr>
      </w:pPr>
      <w:r>
        <w:rPr>
          <w:rFonts w:ascii="Georgia" w:eastAsia="Georgia" w:hAnsi="Georgia" w:cs="Georgia"/>
          <w:color w:val="000000"/>
          <w:sz w:val="22"/>
          <w:szCs w:val="22"/>
        </w:rPr>
        <w:t>informovat Klienta, pokud podle PwC pokyny Klienta porušují GDPR nebo jiné Zákony na ochranu osobních údajů;</w:t>
      </w:r>
    </w:p>
    <w:p w14:paraId="00DB74E8" w14:textId="77777777" w:rsidR="006E26D4" w:rsidRDefault="00285459">
      <w:pPr>
        <w:numPr>
          <w:ilvl w:val="1"/>
          <w:numId w:val="6"/>
        </w:numPr>
        <w:pBdr>
          <w:top w:val="nil"/>
          <w:left w:val="nil"/>
          <w:bottom w:val="nil"/>
          <w:right w:val="nil"/>
          <w:between w:val="nil"/>
        </w:pBdr>
        <w:ind w:left="1134" w:hanging="425"/>
        <w:jc w:val="both"/>
        <w:rPr>
          <w:rFonts w:ascii="Georgia" w:eastAsia="Georgia" w:hAnsi="Georgia" w:cs="Georgia"/>
          <w:color w:val="000000"/>
          <w:sz w:val="22"/>
          <w:szCs w:val="22"/>
        </w:rPr>
      </w:pPr>
      <w:r>
        <w:rPr>
          <w:rFonts w:ascii="Georgia" w:eastAsia="Georgia" w:hAnsi="Georgia" w:cs="Georgia"/>
          <w:color w:val="000000"/>
          <w:sz w:val="22"/>
          <w:szCs w:val="22"/>
        </w:rPr>
        <w:t>umožnit a poskytnout nezbytnou součinnost k auditům prováděným Klientem v souladu s podmínkami stanovenými v § 5 této Dohody.</w:t>
      </w:r>
    </w:p>
    <w:p w14:paraId="7E20A3EC" w14:textId="1A5BF38A" w:rsidR="006E26D4" w:rsidRDefault="00285459">
      <w:pPr>
        <w:numPr>
          <w:ilvl w:val="0"/>
          <w:numId w:val="6"/>
        </w:numPr>
        <w:pBdr>
          <w:top w:val="nil"/>
          <w:left w:val="nil"/>
          <w:bottom w:val="nil"/>
          <w:right w:val="nil"/>
          <w:between w:val="nil"/>
        </w:pBdr>
        <w:jc w:val="both"/>
        <w:rPr>
          <w:rFonts w:ascii="Georgia" w:eastAsia="Georgia" w:hAnsi="Georgia" w:cs="Georgia"/>
          <w:color w:val="000000"/>
          <w:sz w:val="22"/>
          <w:szCs w:val="22"/>
        </w:rPr>
      </w:pPr>
      <w:r>
        <w:rPr>
          <w:rFonts w:ascii="Georgia" w:eastAsia="Georgia" w:hAnsi="Georgia" w:cs="Georgia"/>
          <w:color w:val="000000"/>
          <w:sz w:val="22"/>
          <w:szCs w:val="22"/>
        </w:rPr>
        <w:t xml:space="preserve">PwC oznámí Klientovi porušení zabezpečení osobních údajů bez zbytečného odkladu po zjištění tohoto porušení. Oznámení podle předchozí věty bude Klientovi poskytnuto e-mailem na následující e-mailovou adresu: </w:t>
      </w:r>
      <w:r w:rsidR="00790DF9">
        <w:rPr>
          <w:rFonts w:ascii="Georgia" w:eastAsia="Georgia" w:hAnsi="Georgia" w:cs="Georgia"/>
          <w:b/>
          <w:bCs/>
          <w:color w:val="000000"/>
          <w:sz w:val="22"/>
          <w:szCs w:val="22"/>
        </w:rPr>
        <w:t>XXXXXXXXXX</w:t>
      </w:r>
      <w:r w:rsidR="00757901">
        <w:rPr>
          <w:rFonts w:ascii="Georgia" w:eastAsia="Georgia" w:hAnsi="Georgia" w:cs="Georgia"/>
          <w:color w:val="000000"/>
          <w:sz w:val="22"/>
          <w:szCs w:val="22"/>
        </w:rPr>
        <w:t>.</w:t>
      </w:r>
    </w:p>
    <w:p w14:paraId="453D850E" w14:textId="77777777" w:rsidR="006E26D4" w:rsidRDefault="00285459">
      <w:pPr>
        <w:numPr>
          <w:ilvl w:val="0"/>
          <w:numId w:val="6"/>
        </w:numPr>
        <w:pBdr>
          <w:top w:val="nil"/>
          <w:left w:val="nil"/>
          <w:bottom w:val="nil"/>
          <w:right w:val="nil"/>
          <w:between w:val="nil"/>
        </w:pBdr>
        <w:jc w:val="both"/>
        <w:rPr>
          <w:rFonts w:ascii="Georgia" w:eastAsia="Georgia" w:hAnsi="Georgia" w:cs="Georgia"/>
          <w:color w:val="000000"/>
          <w:sz w:val="22"/>
          <w:szCs w:val="22"/>
        </w:rPr>
      </w:pPr>
      <w:r>
        <w:rPr>
          <w:rFonts w:ascii="Georgia" w:eastAsia="Georgia" w:hAnsi="Georgia" w:cs="Georgia"/>
          <w:color w:val="000000"/>
          <w:sz w:val="22"/>
          <w:szCs w:val="22"/>
        </w:rPr>
        <w:t>Klient může použít informace získané od PwC podle tohoto § 2 pouze k zajištění a/nebo prokázání souladu s GDPR nebo jinými Zákony na ochranu osobních údajů. Klient je povinen tyto informace uchovávat jako důvěrné, pokud se nejedná o důvěrné informace Klienta nebo pokud tyto informace nemusí být zveřejněny podle účinných právních předpisů.</w:t>
      </w:r>
    </w:p>
    <w:p w14:paraId="642633E3" w14:textId="77777777" w:rsidR="006E26D4" w:rsidRDefault="00285459">
      <w:pPr>
        <w:numPr>
          <w:ilvl w:val="0"/>
          <w:numId w:val="6"/>
        </w:numPr>
        <w:pBdr>
          <w:top w:val="nil"/>
          <w:left w:val="nil"/>
          <w:bottom w:val="nil"/>
          <w:right w:val="nil"/>
          <w:between w:val="nil"/>
        </w:pBdr>
        <w:jc w:val="both"/>
        <w:rPr>
          <w:rFonts w:ascii="Georgia" w:eastAsia="Georgia" w:hAnsi="Georgia" w:cs="Georgia"/>
          <w:color w:val="000000"/>
          <w:sz w:val="22"/>
          <w:szCs w:val="22"/>
        </w:rPr>
      </w:pPr>
      <w:r>
        <w:rPr>
          <w:rFonts w:ascii="Georgia" w:eastAsia="Georgia" w:hAnsi="Georgia" w:cs="Georgia"/>
          <w:color w:val="000000"/>
          <w:sz w:val="22"/>
          <w:szCs w:val="22"/>
        </w:rPr>
        <w:t>V rozsahu povoleném kogentními ustanoveními zákona bude PwC odpovědné pouze za vlastní jednání nebo opomenutí. Celková odpovědnost PwC (včetně úroků) za veškeré nároky související s jakýmkoli porušením této Dohody, jakož i veškeré nároky vznesené v rámci Smlouvy (zejména odpovědnosti za nedbalost), je omezena na dvojnásobek výše ceny za služby podle Smlouvy nebo skutečné škody, podle toho, která částka je nižší. PwC není odpovědné za (i) ztrátu zisku, dobrého jména/pověsti, obchodních příležitostí, očekávaných úspor nebo výhod, (ii) nepřímé nebo následné ztráty.</w:t>
      </w:r>
    </w:p>
    <w:p w14:paraId="28A18872" w14:textId="77777777" w:rsidR="006E26D4" w:rsidRDefault="00285459">
      <w:pPr>
        <w:numPr>
          <w:ilvl w:val="0"/>
          <w:numId w:val="6"/>
        </w:numPr>
        <w:pBdr>
          <w:top w:val="nil"/>
          <w:left w:val="nil"/>
          <w:bottom w:val="nil"/>
          <w:right w:val="nil"/>
          <w:between w:val="nil"/>
        </w:pBdr>
        <w:jc w:val="both"/>
        <w:rPr>
          <w:rFonts w:ascii="Georgia" w:eastAsia="Georgia" w:hAnsi="Georgia" w:cs="Georgia"/>
          <w:color w:val="000000"/>
          <w:sz w:val="22"/>
          <w:szCs w:val="22"/>
        </w:rPr>
      </w:pPr>
      <w:r>
        <w:rPr>
          <w:rFonts w:ascii="Georgia" w:eastAsia="Georgia" w:hAnsi="Georgia" w:cs="Georgia"/>
          <w:color w:val="000000"/>
          <w:sz w:val="22"/>
          <w:szCs w:val="22"/>
        </w:rPr>
        <w:t>Klient souhlasí se vznesením jakéhokoli nároku v souvislosti s touto Dohodou pouze vůči společnosti PwC a nikoli vůči jakémukoliv jednotlivci.</w:t>
      </w:r>
    </w:p>
    <w:p w14:paraId="57FC565A" w14:textId="77777777" w:rsidR="006E26D4" w:rsidRDefault="006E26D4">
      <w:pPr>
        <w:jc w:val="center"/>
        <w:rPr>
          <w:rFonts w:ascii="Georgia" w:eastAsia="Georgia" w:hAnsi="Georgia" w:cs="Georgia"/>
          <w:b/>
          <w:sz w:val="22"/>
          <w:szCs w:val="22"/>
        </w:rPr>
      </w:pPr>
    </w:p>
    <w:p w14:paraId="0689ABD7" w14:textId="77777777" w:rsidR="006E26D4" w:rsidRDefault="00285459">
      <w:pPr>
        <w:jc w:val="center"/>
        <w:rPr>
          <w:rFonts w:ascii="Georgia" w:eastAsia="Georgia" w:hAnsi="Georgia" w:cs="Georgia"/>
          <w:b/>
          <w:sz w:val="22"/>
          <w:szCs w:val="22"/>
        </w:rPr>
      </w:pPr>
      <w:r>
        <w:rPr>
          <w:rFonts w:ascii="Georgia" w:eastAsia="Georgia" w:hAnsi="Georgia" w:cs="Georgia"/>
          <w:b/>
          <w:sz w:val="22"/>
          <w:szCs w:val="22"/>
        </w:rPr>
        <w:t>§ 3</w:t>
      </w:r>
    </w:p>
    <w:p w14:paraId="6A921538" w14:textId="77777777" w:rsidR="006E26D4" w:rsidRDefault="00285459">
      <w:pPr>
        <w:jc w:val="center"/>
        <w:rPr>
          <w:rFonts w:ascii="Georgia" w:eastAsia="Georgia" w:hAnsi="Georgia" w:cs="Georgia"/>
          <w:sz w:val="22"/>
          <w:szCs w:val="22"/>
        </w:rPr>
      </w:pPr>
      <w:r>
        <w:rPr>
          <w:rFonts w:ascii="Georgia" w:eastAsia="Georgia" w:hAnsi="Georgia" w:cs="Georgia"/>
          <w:b/>
          <w:sz w:val="22"/>
          <w:szCs w:val="22"/>
        </w:rPr>
        <w:t>Povinnosti správce</w:t>
      </w:r>
    </w:p>
    <w:p w14:paraId="0144F571" w14:textId="77777777" w:rsidR="006E26D4" w:rsidRDefault="00285459">
      <w:pPr>
        <w:numPr>
          <w:ilvl w:val="0"/>
          <w:numId w:val="7"/>
        </w:numPr>
        <w:pBdr>
          <w:top w:val="nil"/>
          <w:left w:val="nil"/>
          <w:bottom w:val="nil"/>
          <w:right w:val="nil"/>
          <w:between w:val="nil"/>
        </w:pBdr>
        <w:jc w:val="both"/>
        <w:rPr>
          <w:rFonts w:ascii="Georgia" w:eastAsia="Georgia" w:hAnsi="Georgia" w:cs="Georgia"/>
          <w:color w:val="000000"/>
          <w:sz w:val="22"/>
          <w:szCs w:val="22"/>
        </w:rPr>
      </w:pPr>
      <w:r>
        <w:rPr>
          <w:rFonts w:ascii="Georgia" w:eastAsia="Georgia" w:hAnsi="Georgia" w:cs="Georgia"/>
          <w:color w:val="000000"/>
          <w:sz w:val="22"/>
          <w:szCs w:val="22"/>
        </w:rPr>
        <w:t>Klient zajistí plný soulad s GDPR a všemi ostatními Zákony na ochranu osobních údajů. Zejména Klient zajistí, aby:</w:t>
      </w:r>
    </w:p>
    <w:p w14:paraId="4D889956" w14:textId="77777777" w:rsidR="006E26D4" w:rsidRDefault="00285459">
      <w:pPr>
        <w:numPr>
          <w:ilvl w:val="0"/>
          <w:numId w:val="8"/>
        </w:numPr>
        <w:pBdr>
          <w:top w:val="nil"/>
          <w:left w:val="nil"/>
          <w:bottom w:val="nil"/>
          <w:right w:val="nil"/>
          <w:between w:val="nil"/>
        </w:pBdr>
        <w:jc w:val="both"/>
        <w:rPr>
          <w:rFonts w:ascii="Georgia" w:eastAsia="Georgia" w:hAnsi="Georgia" w:cs="Georgia"/>
          <w:color w:val="000000"/>
          <w:sz w:val="22"/>
          <w:szCs w:val="22"/>
        </w:rPr>
      </w:pPr>
      <w:r>
        <w:rPr>
          <w:rFonts w:ascii="Georgia" w:eastAsia="Georgia" w:hAnsi="Georgia" w:cs="Georgia"/>
          <w:color w:val="000000"/>
          <w:sz w:val="22"/>
          <w:szCs w:val="22"/>
        </w:rPr>
        <w:t>zpracovával Osobní údaje v souladu s GDPR a všemi ostatními Zákony na ochranu osobních údajů, zejména aby měl kompetenci a potřebné oprávnění od všech příslušných subjektů údajů k tomu, aby PwC mohlo užívat a předávat takové Osobní údaje v souladu s Dohodou, a aby tyto subjekty údajů dostaly potřebné informace týkající se použití Osobních údajů;</w:t>
      </w:r>
    </w:p>
    <w:p w14:paraId="0C6F554F" w14:textId="77777777" w:rsidR="006E26D4" w:rsidRDefault="00285459">
      <w:pPr>
        <w:numPr>
          <w:ilvl w:val="0"/>
          <w:numId w:val="8"/>
        </w:numPr>
        <w:pBdr>
          <w:top w:val="nil"/>
          <w:left w:val="nil"/>
          <w:bottom w:val="nil"/>
          <w:right w:val="nil"/>
          <w:between w:val="nil"/>
        </w:pBdr>
        <w:jc w:val="both"/>
        <w:rPr>
          <w:rFonts w:ascii="Georgia" w:eastAsia="Georgia" w:hAnsi="Georgia" w:cs="Georgia"/>
          <w:color w:val="000000"/>
          <w:sz w:val="22"/>
          <w:szCs w:val="22"/>
        </w:rPr>
      </w:pPr>
      <w:r>
        <w:rPr>
          <w:rFonts w:ascii="Georgia" w:eastAsia="Georgia" w:hAnsi="Georgia" w:cs="Georgia"/>
          <w:color w:val="000000"/>
          <w:sz w:val="22"/>
          <w:szCs w:val="22"/>
        </w:rPr>
        <w:t>pokyny vůči PwC týkající se zpracování Osobních údajů byly v souladu s GDPR a všemi ostatními Zákony na ochranu osobních údajů.</w:t>
      </w:r>
    </w:p>
    <w:p w14:paraId="26286735" w14:textId="77777777" w:rsidR="006E26D4" w:rsidRDefault="00285459">
      <w:pPr>
        <w:numPr>
          <w:ilvl w:val="0"/>
          <w:numId w:val="7"/>
        </w:numPr>
        <w:pBdr>
          <w:top w:val="nil"/>
          <w:left w:val="nil"/>
          <w:bottom w:val="nil"/>
          <w:right w:val="nil"/>
          <w:between w:val="nil"/>
        </w:pBdr>
        <w:jc w:val="both"/>
        <w:rPr>
          <w:rFonts w:ascii="Georgia" w:eastAsia="Georgia" w:hAnsi="Georgia" w:cs="Georgia"/>
          <w:color w:val="000000"/>
          <w:sz w:val="22"/>
          <w:szCs w:val="22"/>
        </w:rPr>
      </w:pPr>
      <w:r>
        <w:rPr>
          <w:rFonts w:ascii="Georgia" w:eastAsia="Georgia" w:hAnsi="Georgia" w:cs="Georgia"/>
          <w:color w:val="000000"/>
          <w:sz w:val="22"/>
          <w:szCs w:val="22"/>
        </w:rPr>
        <w:t>Klient se zavazuje neprodleně písemně informovat PwC o nedostatcích, které zjistí v rámci zpracování těchto Osobních údajů společností PwC podle této Dohody.</w:t>
      </w:r>
    </w:p>
    <w:p w14:paraId="770C15DF" w14:textId="77777777" w:rsidR="006E26D4" w:rsidRDefault="006E26D4">
      <w:pPr>
        <w:jc w:val="center"/>
        <w:rPr>
          <w:rFonts w:ascii="Georgia" w:eastAsia="Georgia" w:hAnsi="Georgia" w:cs="Georgia"/>
          <w:b/>
          <w:sz w:val="22"/>
          <w:szCs w:val="22"/>
        </w:rPr>
      </w:pPr>
    </w:p>
    <w:p w14:paraId="25B00001" w14:textId="77777777" w:rsidR="006E26D4" w:rsidRDefault="006E26D4">
      <w:pPr>
        <w:jc w:val="center"/>
        <w:rPr>
          <w:rFonts w:ascii="Georgia" w:eastAsia="Georgia" w:hAnsi="Georgia" w:cs="Georgia"/>
          <w:b/>
          <w:sz w:val="22"/>
          <w:szCs w:val="22"/>
        </w:rPr>
      </w:pPr>
    </w:p>
    <w:p w14:paraId="6BFCE0BB" w14:textId="77777777" w:rsidR="006E26D4" w:rsidRDefault="00285459">
      <w:pPr>
        <w:jc w:val="center"/>
        <w:rPr>
          <w:rFonts w:ascii="Georgia" w:eastAsia="Georgia" w:hAnsi="Georgia" w:cs="Georgia"/>
          <w:b/>
          <w:sz w:val="22"/>
          <w:szCs w:val="22"/>
        </w:rPr>
      </w:pPr>
      <w:r>
        <w:rPr>
          <w:rFonts w:ascii="Georgia" w:eastAsia="Georgia" w:hAnsi="Georgia" w:cs="Georgia"/>
          <w:b/>
          <w:sz w:val="22"/>
          <w:szCs w:val="22"/>
        </w:rPr>
        <w:t>§ 4</w:t>
      </w:r>
    </w:p>
    <w:p w14:paraId="5F4652E1" w14:textId="77777777" w:rsidR="006E26D4" w:rsidRDefault="00285459">
      <w:pPr>
        <w:jc w:val="center"/>
        <w:rPr>
          <w:rFonts w:ascii="Georgia" w:eastAsia="Georgia" w:hAnsi="Georgia" w:cs="Georgia"/>
          <w:b/>
          <w:sz w:val="22"/>
          <w:szCs w:val="22"/>
        </w:rPr>
      </w:pPr>
      <w:r>
        <w:rPr>
          <w:rFonts w:ascii="Georgia" w:eastAsia="Georgia" w:hAnsi="Georgia" w:cs="Georgia"/>
          <w:b/>
          <w:sz w:val="22"/>
          <w:szCs w:val="22"/>
        </w:rPr>
        <w:t>Subdodavatelé</w:t>
      </w:r>
    </w:p>
    <w:p w14:paraId="27E65FC6" w14:textId="77777777" w:rsidR="006E26D4" w:rsidRDefault="00285459">
      <w:pPr>
        <w:numPr>
          <w:ilvl w:val="0"/>
          <w:numId w:val="9"/>
        </w:numPr>
        <w:pBdr>
          <w:top w:val="nil"/>
          <w:left w:val="nil"/>
          <w:bottom w:val="nil"/>
          <w:right w:val="nil"/>
          <w:between w:val="nil"/>
        </w:pBdr>
        <w:jc w:val="both"/>
        <w:rPr>
          <w:rFonts w:ascii="Georgia" w:eastAsia="Georgia" w:hAnsi="Georgia" w:cs="Georgia"/>
          <w:color w:val="000000"/>
          <w:sz w:val="22"/>
          <w:szCs w:val="22"/>
        </w:rPr>
      </w:pPr>
      <w:r>
        <w:rPr>
          <w:rFonts w:ascii="Georgia" w:eastAsia="Georgia" w:hAnsi="Georgia" w:cs="Georgia"/>
          <w:color w:val="000000"/>
          <w:sz w:val="22"/>
          <w:szCs w:val="22"/>
        </w:rPr>
        <w:t xml:space="preserve">Správce tímto povoluje PwC, aby jmenovalo následující subjekty jako Subdodavatele: (i) jiné společnosti skupiny PwC (tj. jakýkoli subjekt v rámci celosvětové sítě entit </w:t>
      </w:r>
      <w:r>
        <w:rPr>
          <w:rFonts w:ascii="Georgia" w:eastAsia="Georgia" w:hAnsi="Georgia" w:cs="Georgia"/>
          <w:color w:val="000000"/>
          <w:sz w:val="22"/>
          <w:szCs w:val="22"/>
        </w:rPr>
        <w:lastRenderedPageBreak/>
        <w:t>PricewaterhouseCoopers International Limited), (ii) poskytovatele služeb IT pro PwC nebo jiné společnosti PwC, a (iii) subdodavatele PwC nebo jiných společností PwC. PwC bude informovat Klienta o všech zamýšlených změnách týkajících se přidání nebo nahrazení dalších Subdodavatelů jmenovaných v souvislosti s touto Dohodou.</w:t>
      </w:r>
    </w:p>
    <w:p w14:paraId="4BF50732" w14:textId="77777777" w:rsidR="006E26D4" w:rsidRDefault="00285459">
      <w:pPr>
        <w:numPr>
          <w:ilvl w:val="0"/>
          <w:numId w:val="9"/>
        </w:numPr>
        <w:pBdr>
          <w:top w:val="nil"/>
          <w:left w:val="nil"/>
          <w:bottom w:val="nil"/>
          <w:right w:val="nil"/>
          <w:between w:val="nil"/>
        </w:pBdr>
        <w:jc w:val="both"/>
        <w:rPr>
          <w:rFonts w:ascii="Georgia" w:eastAsia="Georgia" w:hAnsi="Georgia" w:cs="Georgia"/>
          <w:color w:val="000000"/>
          <w:sz w:val="22"/>
          <w:szCs w:val="22"/>
        </w:rPr>
      </w:pPr>
      <w:r>
        <w:rPr>
          <w:rFonts w:ascii="Georgia" w:eastAsia="Georgia" w:hAnsi="Georgia" w:cs="Georgia"/>
          <w:color w:val="000000"/>
          <w:sz w:val="22"/>
          <w:szCs w:val="22"/>
        </w:rPr>
        <w:t>PwC je povinno uložit Subdodavatelům stejné povinnosti týkající se ochrany údajů, které jsou stanoveny v této Dohodě. Pokud Subdodavatel nesplní svou povinnost týkající se ochrany Osobních údajů, PwC odpovídá Klientovi za plnění takových závazků Subdodavatele.</w:t>
      </w:r>
    </w:p>
    <w:p w14:paraId="38E630D9" w14:textId="77777777" w:rsidR="006E26D4" w:rsidRDefault="006E26D4">
      <w:pPr>
        <w:jc w:val="center"/>
        <w:rPr>
          <w:rFonts w:ascii="Georgia" w:eastAsia="Georgia" w:hAnsi="Georgia" w:cs="Georgia"/>
          <w:b/>
          <w:sz w:val="22"/>
          <w:szCs w:val="22"/>
        </w:rPr>
      </w:pPr>
    </w:p>
    <w:p w14:paraId="71ECBB30" w14:textId="77777777" w:rsidR="006E26D4" w:rsidRDefault="00285459">
      <w:pPr>
        <w:jc w:val="center"/>
        <w:rPr>
          <w:rFonts w:ascii="Georgia" w:eastAsia="Georgia" w:hAnsi="Georgia" w:cs="Georgia"/>
          <w:b/>
          <w:sz w:val="22"/>
          <w:szCs w:val="22"/>
        </w:rPr>
      </w:pPr>
      <w:r>
        <w:rPr>
          <w:rFonts w:ascii="Georgia" w:eastAsia="Georgia" w:hAnsi="Georgia" w:cs="Georgia"/>
          <w:b/>
          <w:sz w:val="22"/>
          <w:szCs w:val="22"/>
        </w:rPr>
        <w:t>§ 5</w:t>
      </w:r>
    </w:p>
    <w:p w14:paraId="21D60FC8" w14:textId="77777777" w:rsidR="006E26D4" w:rsidRDefault="00285459">
      <w:pPr>
        <w:jc w:val="center"/>
        <w:rPr>
          <w:rFonts w:ascii="Georgia" w:eastAsia="Georgia" w:hAnsi="Georgia" w:cs="Georgia"/>
          <w:b/>
          <w:sz w:val="22"/>
          <w:szCs w:val="22"/>
        </w:rPr>
      </w:pPr>
      <w:r>
        <w:rPr>
          <w:rFonts w:ascii="Georgia" w:eastAsia="Georgia" w:hAnsi="Georgia" w:cs="Georgia"/>
          <w:b/>
          <w:sz w:val="22"/>
          <w:szCs w:val="22"/>
        </w:rPr>
        <w:t>Audity</w:t>
      </w:r>
    </w:p>
    <w:p w14:paraId="2C284280" w14:textId="365FD222" w:rsidR="006E26D4" w:rsidRDefault="00285459">
      <w:pPr>
        <w:numPr>
          <w:ilvl w:val="0"/>
          <w:numId w:val="1"/>
        </w:numPr>
        <w:pBdr>
          <w:top w:val="nil"/>
          <w:left w:val="nil"/>
          <w:bottom w:val="nil"/>
          <w:right w:val="nil"/>
          <w:between w:val="nil"/>
        </w:pBdr>
        <w:ind w:left="709"/>
        <w:jc w:val="both"/>
        <w:rPr>
          <w:rFonts w:ascii="Georgia" w:eastAsia="Georgia" w:hAnsi="Georgia" w:cs="Georgia"/>
          <w:color w:val="000000"/>
          <w:sz w:val="22"/>
          <w:szCs w:val="22"/>
        </w:rPr>
      </w:pPr>
      <w:r>
        <w:rPr>
          <w:rFonts w:ascii="Georgia" w:eastAsia="Georgia" w:hAnsi="Georgia" w:cs="Georgia"/>
          <w:color w:val="000000"/>
          <w:sz w:val="22"/>
          <w:szCs w:val="22"/>
        </w:rPr>
        <w:t xml:space="preserve">Klient může provádět audity v souladu s tímto § 5 písemným dožádáním relevantních </w:t>
      </w:r>
      <w:r w:rsidR="001E63E1">
        <w:rPr>
          <w:rFonts w:ascii="Georgia" w:eastAsia="Georgia" w:hAnsi="Georgia" w:cs="Georgia"/>
          <w:color w:val="000000"/>
          <w:sz w:val="22"/>
          <w:szCs w:val="22"/>
        </w:rPr>
        <w:t xml:space="preserve">informací od společnosti PwC, </w:t>
      </w:r>
      <w:r>
        <w:rPr>
          <w:rFonts w:ascii="Georgia" w:eastAsia="Georgia" w:hAnsi="Georgia" w:cs="Georgia"/>
          <w:color w:val="000000"/>
          <w:sz w:val="22"/>
          <w:szCs w:val="22"/>
        </w:rPr>
        <w:t>jedině pro účely kontroly plnění povinností PwC dle této Dohody.</w:t>
      </w:r>
    </w:p>
    <w:p w14:paraId="1F8BEFFC" w14:textId="77777777" w:rsidR="006E26D4" w:rsidRDefault="00285459">
      <w:pPr>
        <w:numPr>
          <w:ilvl w:val="0"/>
          <w:numId w:val="1"/>
        </w:numPr>
        <w:pBdr>
          <w:top w:val="nil"/>
          <w:left w:val="nil"/>
          <w:bottom w:val="nil"/>
          <w:right w:val="nil"/>
          <w:between w:val="nil"/>
        </w:pBdr>
        <w:ind w:left="709"/>
        <w:jc w:val="both"/>
        <w:rPr>
          <w:rFonts w:ascii="Georgia" w:eastAsia="Georgia" w:hAnsi="Georgia" w:cs="Georgia"/>
          <w:color w:val="000000"/>
          <w:sz w:val="22"/>
          <w:szCs w:val="22"/>
        </w:rPr>
      </w:pPr>
      <w:r>
        <w:rPr>
          <w:rFonts w:ascii="Georgia" w:eastAsia="Georgia" w:hAnsi="Georgia" w:cs="Georgia"/>
          <w:color w:val="000000"/>
          <w:sz w:val="22"/>
          <w:szCs w:val="22"/>
        </w:rPr>
        <w:t xml:space="preserve">Audity může provádět buď (i) Klient, nebo (ii) třetí osoba pověřená Klientem a předem dohodnutá se společností PwC. Pokud PwC a Klient nedosáhnou shody na třetí osobě, která by měla provést audit podle bodu (ii) předchozí věty, audit může provést výhradně Klient. </w:t>
      </w:r>
    </w:p>
    <w:p w14:paraId="568254F6" w14:textId="77777777" w:rsidR="006E26D4" w:rsidRDefault="00285459">
      <w:pPr>
        <w:numPr>
          <w:ilvl w:val="0"/>
          <w:numId w:val="1"/>
        </w:numPr>
        <w:pBdr>
          <w:top w:val="nil"/>
          <w:left w:val="nil"/>
          <w:bottom w:val="nil"/>
          <w:right w:val="nil"/>
          <w:between w:val="nil"/>
        </w:pBdr>
        <w:ind w:left="709"/>
        <w:jc w:val="both"/>
        <w:rPr>
          <w:rFonts w:ascii="Georgia" w:eastAsia="Georgia" w:hAnsi="Georgia" w:cs="Georgia"/>
          <w:color w:val="000000"/>
          <w:sz w:val="22"/>
          <w:szCs w:val="22"/>
        </w:rPr>
      </w:pPr>
      <w:r>
        <w:rPr>
          <w:rFonts w:ascii="Georgia" w:eastAsia="Georgia" w:hAnsi="Georgia" w:cs="Georgia"/>
          <w:color w:val="000000"/>
          <w:sz w:val="22"/>
          <w:szCs w:val="22"/>
        </w:rPr>
        <w:t xml:space="preserve">Žádost o informace musí být adresována </w:t>
      </w:r>
      <w:r w:rsidR="00757901">
        <w:rPr>
          <w:rFonts w:ascii="Georgia" w:eastAsia="Georgia" w:hAnsi="Georgia" w:cs="Georgia"/>
          <w:color w:val="000000"/>
          <w:sz w:val="22"/>
          <w:szCs w:val="22"/>
        </w:rPr>
        <w:t xml:space="preserve">na kontaktní email: </w:t>
      </w:r>
      <w:r w:rsidR="00757901" w:rsidRPr="00757901">
        <w:rPr>
          <w:rFonts w:ascii="Georgia" w:eastAsia="Georgia" w:hAnsi="Georgia" w:cs="Georgia"/>
          <w:b/>
          <w:bCs/>
          <w:color w:val="000000"/>
          <w:sz w:val="22"/>
          <w:szCs w:val="22"/>
        </w:rPr>
        <w:t>dpo</w:t>
      </w:r>
      <w:r w:rsidR="00757901" w:rsidRPr="007C71B9">
        <w:rPr>
          <w:rFonts w:ascii="Georgia" w:eastAsia="Georgia" w:hAnsi="Georgia" w:cs="Georgia"/>
          <w:b/>
          <w:bCs/>
          <w:color w:val="000000"/>
          <w:sz w:val="22"/>
          <w:szCs w:val="22"/>
        </w:rPr>
        <w:t>@cz.pwc.cz</w:t>
      </w:r>
      <w:r>
        <w:rPr>
          <w:rFonts w:ascii="Georgia" w:eastAsia="Georgia" w:hAnsi="Georgia" w:cs="Georgia"/>
          <w:color w:val="000000"/>
          <w:sz w:val="22"/>
          <w:szCs w:val="22"/>
        </w:rPr>
        <w:t xml:space="preserve"> a musí specifikovat konkrétní informaci, záznamy a další dokumenty, které budou od PwC v rámci auditu požadovány.</w:t>
      </w:r>
    </w:p>
    <w:p w14:paraId="610246F8" w14:textId="77777777" w:rsidR="006E26D4" w:rsidRDefault="00285459">
      <w:pPr>
        <w:numPr>
          <w:ilvl w:val="0"/>
          <w:numId w:val="1"/>
        </w:numPr>
        <w:pBdr>
          <w:top w:val="nil"/>
          <w:left w:val="nil"/>
          <w:bottom w:val="nil"/>
          <w:right w:val="nil"/>
          <w:between w:val="nil"/>
        </w:pBdr>
        <w:ind w:left="709"/>
        <w:jc w:val="both"/>
        <w:rPr>
          <w:rFonts w:ascii="Georgia" w:eastAsia="Georgia" w:hAnsi="Georgia" w:cs="Georgia"/>
          <w:color w:val="000000"/>
          <w:sz w:val="22"/>
          <w:szCs w:val="22"/>
        </w:rPr>
      </w:pPr>
      <w:r>
        <w:rPr>
          <w:rFonts w:ascii="Georgia" w:eastAsia="Georgia" w:hAnsi="Georgia" w:cs="Georgia"/>
          <w:color w:val="000000"/>
          <w:sz w:val="22"/>
          <w:szCs w:val="22"/>
        </w:rPr>
        <w:t>Bez ohledu na výše uvedená ustanovení se Klient a PwC dohodli, že:</w:t>
      </w:r>
    </w:p>
    <w:p w14:paraId="2F697D9F" w14:textId="77777777" w:rsidR="006E26D4" w:rsidRDefault="00285459">
      <w:pPr>
        <w:numPr>
          <w:ilvl w:val="0"/>
          <w:numId w:val="3"/>
        </w:numPr>
        <w:pBdr>
          <w:top w:val="nil"/>
          <w:left w:val="nil"/>
          <w:bottom w:val="nil"/>
          <w:right w:val="nil"/>
          <w:between w:val="nil"/>
        </w:pBdr>
        <w:jc w:val="both"/>
        <w:rPr>
          <w:rFonts w:ascii="Georgia" w:eastAsia="Georgia" w:hAnsi="Georgia" w:cs="Georgia"/>
          <w:color w:val="000000"/>
          <w:sz w:val="22"/>
          <w:szCs w:val="22"/>
        </w:rPr>
      </w:pPr>
      <w:r>
        <w:rPr>
          <w:rFonts w:ascii="Georgia" w:eastAsia="Georgia" w:hAnsi="Georgia" w:cs="Georgia"/>
          <w:color w:val="000000"/>
          <w:sz w:val="22"/>
          <w:szCs w:val="22"/>
        </w:rPr>
        <w:t>PwC poskytne Klientovi pouze informace, záznamy a dokumenty, jejichž požadování je přiměřené k prokázání  toho, že PwC dodržuje své závazky dle této Dohody;</w:t>
      </w:r>
    </w:p>
    <w:p w14:paraId="7D051B51" w14:textId="77777777" w:rsidR="006E26D4" w:rsidRDefault="00285459">
      <w:pPr>
        <w:numPr>
          <w:ilvl w:val="0"/>
          <w:numId w:val="3"/>
        </w:numPr>
        <w:pBdr>
          <w:top w:val="nil"/>
          <w:left w:val="nil"/>
          <w:bottom w:val="nil"/>
          <w:right w:val="nil"/>
          <w:between w:val="nil"/>
        </w:pBdr>
        <w:jc w:val="both"/>
        <w:rPr>
          <w:rFonts w:ascii="Georgia" w:eastAsia="Georgia" w:hAnsi="Georgia" w:cs="Georgia"/>
          <w:color w:val="000000"/>
          <w:sz w:val="22"/>
          <w:szCs w:val="22"/>
        </w:rPr>
      </w:pPr>
      <w:r>
        <w:rPr>
          <w:rFonts w:ascii="Georgia" w:eastAsia="Georgia" w:hAnsi="Georgia" w:cs="Georgia"/>
          <w:color w:val="000000"/>
          <w:sz w:val="22"/>
          <w:szCs w:val="22"/>
        </w:rPr>
        <w:t xml:space="preserve">PwC nezpřístupní žádné informace, záznamy nebo jiné dokumenty, které jsou předmětem obchodního tajemství PwC; </w:t>
      </w:r>
    </w:p>
    <w:p w14:paraId="47F5FB78" w14:textId="77777777" w:rsidR="006E26D4" w:rsidRDefault="00285459">
      <w:pPr>
        <w:numPr>
          <w:ilvl w:val="0"/>
          <w:numId w:val="3"/>
        </w:numPr>
        <w:pBdr>
          <w:top w:val="nil"/>
          <w:left w:val="nil"/>
          <w:bottom w:val="nil"/>
          <w:right w:val="nil"/>
          <w:between w:val="nil"/>
        </w:pBdr>
        <w:jc w:val="both"/>
        <w:rPr>
          <w:rFonts w:ascii="Georgia" w:eastAsia="Georgia" w:hAnsi="Georgia" w:cs="Georgia"/>
          <w:color w:val="000000"/>
          <w:sz w:val="22"/>
          <w:szCs w:val="22"/>
        </w:rPr>
      </w:pPr>
      <w:r>
        <w:rPr>
          <w:rFonts w:ascii="Georgia" w:eastAsia="Georgia" w:hAnsi="Georgia" w:cs="Georgia"/>
          <w:color w:val="000000"/>
          <w:sz w:val="22"/>
          <w:szCs w:val="22"/>
        </w:rPr>
        <w:t>PwC nezpřístupní žádné informace, záznamy nebo jiné dokumenty, jejichž zpřístupnění by znamenalo porušení povinnosti týkající se důvěrnosti podle příslušných zákonů nebo profesních norem ze strany PwC;</w:t>
      </w:r>
    </w:p>
    <w:p w14:paraId="42BD0CFA" w14:textId="77777777" w:rsidR="006E26D4" w:rsidRDefault="00285459">
      <w:pPr>
        <w:numPr>
          <w:ilvl w:val="0"/>
          <w:numId w:val="3"/>
        </w:numPr>
        <w:pBdr>
          <w:top w:val="nil"/>
          <w:left w:val="nil"/>
          <w:bottom w:val="nil"/>
          <w:right w:val="nil"/>
          <w:between w:val="nil"/>
        </w:pBdr>
        <w:jc w:val="both"/>
        <w:rPr>
          <w:rFonts w:ascii="Georgia" w:eastAsia="Georgia" w:hAnsi="Georgia" w:cs="Georgia"/>
          <w:color w:val="000000"/>
          <w:sz w:val="22"/>
          <w:szCs w:val="22"/>
        </w:rPr>
      </w:pPr>
      <w:r>
        <w:rPr>
          <w:rFonts w:ascii="Georgia" w:eastAsia="Georgia" w:hAnsi="Georgia" w:cs="Georgia"/>
          <w:color w:val="000000"/>
          <w:sz w:val="22"/>
          <w:szCs w:val="22"/>
        </w:rPr>
        <w:t>PwC nezveřejní žádné informace, záznamy nebo jiné dokumenty související se záležitostí, která je předmětem současného, probíhajícího nebo hrozícího soudního sporu nebo jiného mechanismu řešení sporů mezi Klientem a PwC;</w:t>
      </w:r>
    </w:p>
    <w:p w14:paraId="69A79940" w14:textId="77777777" w:rsidR="006E26D4" w:rsidRDefault="00285459">
      <w:pPr>
        <w:numPr>
          <w:ilvl w:val="0"/>
          <w:numId w:val="3"/>
        </w:numPr>
        <w:pBdr>
          <w:top w:val="nil"/>
          <w:left w:val="nil"/>
          <w:bottom w:val="nil"/>
          <w:right w:val="nil"/>
          <w:between w:val="nil"/>
        </w:pBdr>
        <w:jc w:val="both"/>
        <w:rPr>
          <w:rFonts w:ascii="Georgia" w:eastAsia="Georgia" w:hAnsi="Georgia" w:cs="Georgia"/>
          <w:color w:val="000000"/>
          <w:sz w:val="22"/>
          <w:szCs w:val="22"/>
        </w:rPr>
      </w:pPr>
      <w:r>
        <w:rPr>
          <w:rFonts w:ascii="Georgia" w:eastAsia="Georgia" w:hAnsi="Georgia" w:cs="Georgia"/>
          <w:color w:val="000000"/>
          <w:sz w:val="22"/>
          <w:szCs w:val="22"/>
        </w:rPr>
        <w:t>veškeré informace, záznamy nebo jiné dokumenty poskytnuté Klientovi podle tohoto § 5 musí být Klientem považovány za důvěrné.</w:t>
      </w:r>
    </w:p>
    <w:p w14:paraId="5DAF228F" w14:textId="77777777" w:rsidR="006E26D4" w:rsidRDefault="00285459">
      <w:pPr>
        <w:numPr>
          <w:ilvl w:val="0"/>
          <w:numId w:val="1"/>
        </w:numPr>
        <w:pBdr>
          <w:top w:val="nil"/>
          <w:left w:val="nil"/>
          <w:bottom w:val="nil"/>
          <w:right w:val="nil"/>
          <w:between w:val="nil"/>
        </w:pBdr>
        <w:ind w:left="709"/>
        <w:jc w:val="both"/>
        <w:rPr>
          <w:rFonts w:ascii="Georgia" w:eastAsia="Georgia" w:hAnsi="Georgia" w:cs="Georgia"/>
          <w:color w:val="000000"/>
          <w:sz w:val="22"/>
          <w:szCs w:val="22"/>
        </w:rPr>
      </w:pPr>
      <w:r>
        <w:rPr>
          <w:rFonts w:ascii="Georgia" w:eastAsia="Georgia" w:hAnsi="Georgia" w:cs="Georgia"/>
          <w:color w:val="000000"/>
          <w:sz w:val="22"/>
          <w:szCs w:val="22"/>
        </w:rPr>
        <w:t>Klient může vykonávat své právo provádět audit podle tohoto § 5 nejvýše jednou v kalendářním roce. Toto právo Klient v každém případě pozbývá do 2 měsíců od ukončení zpracování Osobních údajů společností PwC pro Klienta dle této Dohody.</w:t>
      </w:r>
    </w:p>
    <w:p w14:paraId="22CDC0E3" w14:textId="77777777" w:rsidR="006E26D4" w:rsidRDefault="006E26D4">
      <w:pPr>
        <w:jc w:val="center"/>
        <w:rPr>
          <w:rFonts w:ascii="Georgia" w:eastAsia="Georgia" w:hAnsi="Georgia" w:cs="Georgia"/>
          <w:b/>
          <w:sz w:val="22"/>
          <w:szCs w:val="22"/>
        </w:rPr>
      </w:pPr>
    </w:p>
    <w:p w14:paraId="4A6D7E62" w14:textId="77777777" w:rsidR="006E26D4" w:rsidRDefault="00285459">
      <w:pPr>
        <w:jc w:val="center"/>
        <w:rPr>
          <w:rFonts w:ascii="Georgia" w:eastAsia="Georgia" w:hAnsi="Georgia" w:cs="Georgia"/>
          <w:b/>
          <w:sz w:val="22"/>
          <w:szCs w:val="22"/>
        </w:rPr>
      </w:pPr>
      <w:r>
        <w:rPr>
          <w:rFonts w:ascii="Georgia" w:eastAsia="Georgia" w:hAnsi="Georgia" w:cs="Georgia"/>
          <w:b/>
          <w:sz w:val="22"/>
          <w:szCs w:val="22"/>
        </w:rPr>
        <w:t>§ 6</w:t>
      </w:r>
    </w:p>
    <w:p w14:paraId="65965F19" w14:textId="77777777" w:rsidR="006E26D4" w:rsidRDefault="00285459">
      <w:pPr>
        <w:jc w:val="center"/>
        <w:rPr>
          <w:rFonts w:ascii="Georgia" w:eastAsia="Georgia" w:hAnsi="Georgia" w:cs="Georgia"/>
          <w:b/>
          <w:sz w:val="22"/>
          <w:szCs w:val="22"/>
        </w:rPr>
      </w:pPr>
      <w:r>
        <w:rPr>
          <w:rFonts w:ascii="Georgia" w:eastAsia="Georgia" w:hAnsi="Georgia" w:cs="Georgia"/>
          <w:b/>
          <w:sz w:val="22"/>
          <w:szCs w:val="22"/>
        </w:rPr>
        <w:t>Závěrečná ujednání</w:t>
      </w:r>
    </w:p>
    <w:p w14:paraId="54CB38B1" w14:textId="77777777" w:rsidR="006E26D4" w:rsidRDefault="00285459">
      <w:pPr>
        <w:numPr>
          <w:ilvl w:val="0"/>
          <w:numId w:val="4"/>
        </w:numPr>
        <w:pBdr>
          <w:top w:val="nil"/>
          <w:left w:val="nil"/>
          <w:bottom w:val="nil"/>
          <w:right w:val="nil"/>
          <w:between w:val="nil"/>
        </w:pBdr>
        <w:ind w:left="851" w:hanging="425"/>
        <w:jc w:val="both"/>
        <w:rPr>
          <w:color w:val="000000"/>
          <w:sz w:val="22"/>
          <w:szCs w:val="22"/>
        </w:rPr>
      </w:pPr>
      <w:r>
        <w:rPr>
          <w:rFonts w:ascii="Georgia" w:eastAsia="Georgia" w:hAnsi="Georgia" w:cs="Georgia"/>
          <w:color w:val="000000"/>
          <w:sz w:val="22"/>
          <w:szCs w:val="22"/>
        </w:rPr>
        <w:t>Tato Dohoda je účinnou ode dne jejího podpisu oběma stranami, a to do doby ukončení zpracování Osobních údajů PwC pro Klienta ve spojení se službami, které PwC Klientovi poskytuje na základě Smlouvy. Tímto není dotčeno právo uchovávat Osobní údaje společností PwC, jenž je možné realizovat na základě této Dohody a/nebo podle právních předpisů, které se vztahují, nebo se budou vztahovat na PwC.</w:t>
      </w:r>
    </w:p>
    <w:p w14:paraId="134ACCC0" w14:textId="77777777" w:rsidR="006E26D4" w:rsidRDefault="00285459">
      <w:pPr>
        <w:numPr>
          <w:ilvl w:val="0"/>
          <w:numId w:val="4"/>
        </w:numPr>
        <w:pBdr>
          <w:top w:val="nil"/>
          <w:left w:val="nil"/>
          <w:bottom w:val="nil"/>
          <w:right w:val="nil"/>
          <w:between w:val="nil"/>
        </w:pBdr>
        <w:ind w:left="851" w:hanging="425"/>
        <w:jc w:val="both"/>
        <w:rPr>
          <w:color w:val="000000"/>
          <w:sz w:val="22"/>
          <w:szCs w:val="22"/>
        </w:rPr>
      </w:pPr>
      <w:r>
        <w:rPr>
          <w:rFonts w:ascii="Georgia" w:eastAsia="Georgia" w:hAnsi="Georgia" w:cs="Georgia"/>
          <w:color w:val="000000"/>
          <w:sz w:val="22"/>
          <w:szCs w:val="22"/>
        </w:rPr>
        <w:t>Strany si nejsou vzájemně odpovědny za porušení svých povinností na základě okolností, nad nimiž neměly skutečnou kontrolu.</w:t>
      </w:r>
    </w:p>
    <w:p w14:paraId="379D8B30" w14:textId="77777777" w:rsidR="006E26D4" w:rsidRDefault="00285459">
      <w:pPr>
        <w:numPr>
          <w:ilvl w:val="0"/>
          <w:numId w:val="4"/>
        </w:numPr>
        <w:pBdr>
          <w:top w:val="nil"/>
          <w:left w:val="nil"/>
          <w:bottom w:val="nil"/>
          <w:right w:val="nil"/>
          <w:between w:val="nil"/>
        </w:pBdr>
        <w:ind w:left="851" w:hanging="425"/>
        <w:jc w:val="both"/>
        <w:rPr>
          <w:color w:val="000000"/>
          <w:sz w:val="22"/>
          <w:szCs w:val="22"/>
        </w:rPr>
      </w:pPr>
      <w:r>
        <w:rPr>
          <w:rFonts w:ascii="Georgia" w:eastAsia="Georgia" w:hAnsi="Georgia" w:cs="Georgia"/>
          <w:color w:val="000000"/>
          <w:sz w:val="22"/>
          <w:szCs w:val="22"/>
        </w:rPr>
        <w:t>Tato dohoda se řídí právem České republiky. K řešení sporů vyplývajících z Dohody nebo v souvislosti s ní jsou příslušné obecné soudy České republiky.</w:t>
      </w:r>
    </w:p>
    <w:p w14:paraId="31F17513" w14:textId="77777777" w:rsidR="006E26D4" w:rsidRDefault="00285459">
      <w:pPr>
        <w:numPr>
          <w:ilvl w:val="0"/>
          <w:numId w:val="4"/>
        </w:numPr>
        <w:pBdr>
          <w:top w:val="nil"/>
          <w:left w:val="nil"/>
          <w:bottom w:val="nil"/>
          <w:right w:val="nil"/>
          <w:between w:val="nil"/>
        </w:pBdr>
        <w:ind w:left="851" w:hanging="425"/>
        <w:jc w:val="both"/>
        <w:rPr>
          <w:color w:val="000000"/>
          <w:sz w:val="22"/>
          <w:szCs w:val="22"/>
        </w:rPr>
      </w:pPr>
      <w:r>
        <w:rPr>
          <w:rFonts w:ascii="Georgia" w:eastAsia="Georgia" w:hAnsi="Georgia" w:cs="Georgia"/>
          <w:color w:val="000000"/>
          <w:sz w:val="22"/>
          <w:szCs w:val="22"/>
        </w:rPr>
        <w:t>Pokud bude jakékoliv ustanovení této Dohody shledáno neplatným, protiprávním nebo nevymahatelným, pak ostatní ustanovení této Dohody, v maximálním možném rozsahu, zůstávají platná a vymahatelná a strany se zavazují vynaložit přiměřené úsilí k tomu, aby nahradily tato ustanovení dle jejich záměru a účelu této Dohody ke dni účinnosti Smlouvy.</w:t>
      </w:r>
    </w:p>
    <w:p w14:paraId="17251C11" w14:textId="77777777" w:rsidR="006E26D4" w:rsidRDefault="00285459">
      <w:pPr>
        <w:numPr>
          <w:ilvl w:val="0"/>
          <w:numId w:val="4"/>
        </w:numPr>
        <w:pBdr>
          <w:top w:val="nil"/>
          <w:left w:val="nil"/>
          <w:bottom w:val="nil"/>
          <w:right w:val="nil"/>
          <w:between w:val="nil"/>
        </w:pBdr>
        <w:ind w:left="851" w:hanging="425"/>
        <w:jc w:val="both"/>
        <w:rPr>
          <w:color w:val="000000"/>
          <w:sz w:val="22"/>
          <w:szCs w:val="22"/>
        </w:rPr>
      </w:pPr>
      <w:r>
        <w:rPr>
          <w:rFonts w:ascii="Georgia" w:eastAsia="Georgia" w:hAnsi="Georgia" w:cs="Georgia"/>
          <w:color w:val="000000"/>
          <w:sz w:val="22"/>
          <w:szCs w:val="22"/>
        </w:rPr>
        <w:t>Tato Dohoda byla sepsána ve dvou vyhotoveních s platností originálu.</w:t>
      </w:r>
    </w:p>
    <w:p w14:paraId="5418AE48" w14:textId="77777777" w:rsidR="006E26D4" w:rsidRDefault="006E26D4">
      <w:pPr>
        <w:rPr>
          <w:rFonts w:ascii="Georgia" w:eastAsia="Georgia" w:hAnsi="Georgia" w:cs="Georgia"/>
          <w:sz w:val="22"/>
          <w:szCs w:val="22"/>
        </w:rPr>
      </w:pPr>
    </w:p>
    <w:p w14:paraId="60C21E1A" w14:textId="77777777" w:rsidR="006E26D4" w:rsidRDefault="006E26D4">
      <w:pPr>
        <w:rPr>
          <w:rFonts w:ascii="Georgia" w:eastAsia="Georgia" w:hAnsi="Georgia" w:cs="Georgia"/>
          <w:b/>
        </w:rPr>
      </w:pPr>
    </w:p>
    <w:p w14:paraId="1209A3A4" w14:textId="28648B30" w:rsidR="006E26D4" w:rsidRDefault="00285459">
      <w:pPr>
        <w:rPr>
          <w:rFonts w:ascii="Georgia" w:eastAsia="Georgia" w:hAnsi="Georgia" w:cs="Georgia"/>
          <w:b/>
        </w:rPr>
      </w:pPr>
      <w:r>
        <w:rPr>
          <w:rFonts w:ascii="Georgia" w:eastAsia="Georgia" w:hAnsi="Georgia" w:cs="Georgia"/>
          <w:b/>
        </w:rPr>
        <w:t xml:space="preserve">PŘÍLOHA Č. 1 DOHODY O ZPRACOVÁNÍ OSOBNÍCH ÚDAJŮ </w:t>
      </w:r>
    </w:p>
    <w:p w14:paraId="16D7760A" w14:textId="77777777" w:rsidR="006E26D4" w:rsidRDefault="006E26D4">
      <w:pPr>
        <w:rPr>
          <w:rFonts w:ascii="Georgia" w:eastAsia="Georgia" w:hAnsi="Georgia" w:cs="Georgia"/>
          <w:b/>
        </w:rPr>
      </w:pPr>
    </w:p>
    <w:p w14:paraId="62D81E98" w14:textId="77777777" w:rsidR="006E26D4" w:rsidRDefault="006E26D4">
      <w:pPr>
        <w:rPr>
          <w:rFonts w:ascii="Georgia" w:eastAsia="Georgia" w:hAnsi="Georgia" w:cs="Georgia"/>
          <w:b/>
        </w:rPr>
      </w:pPr>
    </w:p>
    <w:p w14:paraId="181A9991" w14:textId="77777777" w:rsidR="006E26D4" w:rsidRDefault="00285459">
      <w:pPr>
        <w:numPr>
          <w:ilvl w:val="0"/>
          <w:numId w:val="5"/>
        </w:numPr>
        <w:pBdr>
          <w:top w:val="nil"/>
          <w:left w:val="nil"/>
          <w:bottom w:val="nil"/>
          <w:right w:val="nil"/>
          <w:between w:val="nil"/>
        </w:pBdr>
        <w:spacing w:after="160" w:line="256" w:lineRule="auto"/>
        <w:rPr>
          <w:rFonts w:ascii="Georgia" w:eastAsia="Georgia" w:hAnsi="Georgia" w:cs="Georgia"/>
          <w:color w:val="000000"/>
          <w:u w:val="single"/>
        </w:rPr>
      </w:pPr>
      <w:r>
        <w:rPr>
          <w:rFonts w:ascii="Georgia" w:eastAsia="Georgia" w:hAnsi="Georgia" w:cs="Georgia"/>
          <w:color w:val="000000"/>
          <w:u w:val="single"/>
        </w:rPr>
        <w:t>Typy osobních údajů:</w:t>
      </w:r>
    </w:p>
    <w:p w14:paraId="4F821C2D" w14:textId="77777777" w:rsidR="006E26D4" w:rsidRDefault="00285459">
      <w:pPr>
        <w:rPr>
          <w:rFonts w:ascii="Georgia" w:eastAsia="Georgia" w:hAnsi="Georgia" w:cs="Georgia"/>
        </w:rPr>
      </w:pPr>
      <w:r>
        <w:rPr>
          <w:rFonts w:ascii="MS Gothic" w:eastAsia="MS Gothic" w:hAnsi="MS Gothic" w:cs="MS Gothic"/>
        </w:rPr>
        <w:t>☒</w:t>
      </w:r>
      <w:r>
        <w:rPr>
          <w:rFonts w:ascii="Georgia" w:eastAsia="Georgia" w:hAnsi="Georgia" w:cs="Georgia"/>
        </w:rPr>
        <w:t xml:space="preserve"> běžné osobní údaje</w:t>
      </w:r>
    </w:p>
    <w:p w14:paraId="4D7FD5A5" w14:textId="77777777" w:rsidR="006E26D4" w:rsidRDefault="00285459">
      <w:pPr>
        <w:rPr>
          <w:rFonts w:ascii="Georgia" w:eastAsia="Georgia" w:hAnsi="Georgia" w:cs="Georgia"/>
        </w:rPr>
      </w:pPr>
      <w:r>
        <w:rPr>
          <w:rFonts w:ascii="MS Gothic" w:eastAsia="MS Gothic" w:hAnsi="MS Gothic" w:cs="MS Gothic"/>
        </w:rPr>
        <w:t>☐</w:t>
      </w:r>
      <w:r>
        <w:rPr>
          <w:rFonts w:ascii="Georgia" w:eastAsia="Georgia" w:hAnsi="Georgia" w:cs="Georgia"/>
        </w:rPr>
        <w:t xml:space="preserve"> osobní údaje zvláštních kategorií</w:t>
      </w:r>
    </w:p>
    <w:p w14:paraId="3C33F8FA" w14:textId="77777777" w:rsidR="006E26D4" w:rsidRDefault="006E26D4">
      <w:pPr>
        <w:rPr>
          <w:rFonts w:ascii="Georgia" w:eastAsia="Georgia" w:hAnsi="Georgia" w:cs="Georgia"/>
        </w:rPr>
      </w:pPr>
    </w:p>
    <w:p w14:paraId="30E36716" w14:textId="77777777" w:rsidR="006E26D4" w:rsidRDefault="00285459">
      <w:pPr>
        <w:numPr>
          <w:ilvl w:val="0"/>
          <w:numId w:val="5"/>
        </w:numPr>
        <w:pBdr>
          <w:top w:val="nil"/>
          <w:left w:val="nil"/>
          <w:bottom w:val="nil"/>
          <w:right w:val="nil"/>
          <w:between w:val="nil"/>
        </w:pBdr>
        <w:spacing w:after="160" w:line="256" w:lineRule="auto"/>
        <w:rPr>
          <w:rFonts w:ascii="Georgia" w:eastAsia="Georgia" w:hAnsi="Georgia" w:cs="Georgia"/>
          <w:color w:val="000000"/>
          <w:u w:val="single"/>
        </w:rPr>
      </w:pPr>
      <w:r>
        <w:rPr>
          <w:rFonts w:ascii="Georgia" w:eastAsia="Georgia" w:hAnsi="Georgia" w:cs="Georgia"/>
          <w:color w:val="000000"/>
          <w:u w:val="single"/>
        </w:rPr>
        <w:t>Kategorie osobních údajů:</w:t>
      </w:r>
    </w:p>
    <w:p w14:paraId="1EF68FC9" w14:textId="77777777" w:rsidR="006E26D4" w:rsidRDefault="00285459">
      <w:r>
        <w:rPr>
          <w:rFonts w:ascii="MS Gothic" w:eastAsia="MS Gothic" w:hAnsi="MS Gothic" w:cs="MS Gothic"/>
        </w:rPr>
        <w:t>☒</w:t>
      </w:r>
      <w:r>
        <w:rPr>
          <w:rFonts w:ascii="Georgia" w:eastAsia="Georgia" w:hAnsi="Georgia" w:cs="Georgia"/>
        </w:rPr>
        <w:t xml:space="preserve"> identifikační údaje</w:t>
      </w:r>
    </w:p>
    <w:p w14:paraId="73F6CEDC" w14:textId="77777777" w:rsidR="006E26D4" w:rsidRDefault="00285459">
      <w:pPr>
        <w:rPr>
          <w:rFonts w:ascii="Georgia" w:eastAsia="Georgia" w:hAnsi="Georgia" w:cs="Georgia"/>
        </w:rPr>
      </w:pPr>
      <w:r>
        <w:rPr>
          <w:rFonts w:ascii="MS Gothic" w:eastAsia="MS Gothic" w:hAnsi="MS Gothic" w:cs="MS Gothic"/>
        </w:rPr>
        <w:t>☒</w:t>
      </w:r>
      <w:r>
        <w:rPr>
          <w:rFonts w:ascii="Georgia" w:eastAsia="Georgia" w:hAnsi="Georgia" w:cs="Georgia"/>
        </w:rPr>
        <w:t xml:space="preserve"> kontaktní údaje</w:t>
      </w:r>
    </w:p>
    <w:p w14:paraId="5E6ABAA4" w14:textId="77777777" w:rsidR="006E26D4" w:rsidRDefault="00285459">
      <w:pPr>
        <w:rPr>
          <w:rFonts w:ascii="Georgia" w:eastAsia="Georgia" w:hAnsi="Georgia" w:cs="Georgia"/>
        </w:rPr>
      </w:pPr>
      <w:r>
        <w:rPr>
          <w:rFonts w:ascii="MS Gothic" w:eastAsia="MS Gothic" w:hAnsi="MS Gothic" w:cs="MS Gothic"/>
        </w:rPr>
        <w:t>☐</w:t>
      </w:r>
      <w:r>
        <w:rPr>
          <w:rFonts w:ascii="Georgia" w:eastAsia="Georgia" w:hAnsi="Georgia" w:cs="Georgia"/>
        </w:rPr>
        <w:t xml:space="preserve"> údaje o soukromém životě</w:t>
      </w:r>
    </w:p>
    <w:p w14:paraId="3F8714FF" w14:textId="77777777" w:rsidR="006E26D4" w:rsidRDefault="00285459">
      <w:r>
        <w:rPr>
          <w:rFonts w:ascii="MS Gothic" w:eastAsia="MS Gothic" w:hAnsi="MS Gothic" w:cs="MS Gothic"/>
        </w:rPr>
        <w:t>☒</w:t>
      </w:r>
      <w:r>
        <w:rPr>
          <w:rFonts w:ascii="Georgia" w:eastAsia="Georgia" w:hAnsi="Georgia" w:cs="Georgia"/>
        </w:rPr>
        <w:t xml:space="preserve"> údaje o profesionálním životě</w:t>
      </w:r>
    </w:p>
    <w:p w14:paraId="3C3D584C" w14:textId="77777777" w:rsidR="006E26D4" w:rsidRDefault="00285459">
      <w:pPr>
        <w:rPr>
          <w:rFonts w:ascii="Georgia" w:eastAsia="Georgia" w:hAnsi="Georgia" w:cs="Georgia"/>
        </w:rPr>
      </w:pPr>
      <w:r>
        <w:rPr>
          <w:rFonts w:ascii="MS Gothic" w:eastAsia="MS Gothic" w:hAnsi="MS Gothic" w:cs="MS Gothic"/>
        </w:rPr>
        <w:t>☐</w:t>
      </w:r>
      <w:r>
        <w:rPr>
          <w:rFonts w:ascii="Georgia" w:eastAsia="Georgia" w:hAnsi="Georgia" w:cs="Georgia"/>
        </w:rPr>
        <w:t xml:space="preserve"> údaje vztahující se k členům rodiny</w:t>
      </w:r>
    </w:p>
    <w:p w14:paraId="18713766" w14:textId="77777777" w:rsidR="006E26D4" w:rsidRDefault="00285459">
      <w:pPr>
        <w:rPr>
          <w:rFonts w:ascii="Georgia" w:eastAsia="Georgia" w:hAnsi="Georgia" w:cs="Georgia"/>
        </w:rPr>
      </w:pPr>
      <w:r>
        <w:rPr>
          <w:rFonts w:ascii="MS Gothic" w:eastAsia="MS Gothic" w:hAnsi="MS Gothic" w:cs="MS Gothic"/>
        </w:rPr>
        <w:t>☐</w:t>
      </w:r>
      <w:r>
        <w:rPr>
          <w:rFonts w:ascii="Georgia" w:eastAsia="Georgia" w:hAnsi="Georgia" w:cs="Georgia"/>
        </w:rPr>
        <w:t xml:space="preserve"> digitální údaje</w:t>
      </w:r>
    </w:p>
    <w:p w14:paraId="4A670B16" w14:textId="77777777" w:rsidR="006E26D4" w:rsidRDefault="00285459">
      <w:r>
        <w:rPr>
          <w:rFonts w:ascii="MS Gothic" w:eastAsia="MS Gothic" w:hAnsi="MS Gothic" w:cs="MS Gothic"/>
        </w:rPr>
        <w:t>☐</w:t>
      </w:r>
      <w:r>
        <w:rPr>
          <w:rFonts w:ascii="Georgia" w:eastAsia="Georgia" w:hAnsi="Georgia" w:cs="Georgia"/>
        </w:rPr>
        <w:t xml:space="preserve"> osobní údaje zvláštních kategorií</w:t>
      </w:r>
    </w:p>
    <w:p w14:paraId="6E212C52" w14:textId="77777777" w:rsidR="006E26D4" w:rsidRDefault="00285459">
      <w:pPr>
        <w:rPr>
          <w:rFonts w:ascii="Georgia" w:eastAsia="Georgia" w:hAnsi="Georgia" w:cs="Georgia"/>
        </w:rPr>
      </w:pPr>
      <w:bookmarkStart w:id="2" w:name="_30j0zll" w:colFirst="0" w:colLast="0"/>
      <w:bookmarkEnd w:id="2"/>
      <w:r>
        <w:rPr>
          <w:rFonts w:ascii="MS Gothic" w:eastAsia="MS Gothic" w:hAnsi="MS Gothic" w:cs="MS Gothic"/>
        </w:rPr>
        <w:t>☐</w:t>
      </w:r>
      <w:r>
        <w:rPr>
          <w:rFonts w:ascii="Georgia" w:eastAsia="Georgia" w:hAnsi="Georgia" w:cs="Georgia"/>
        </w:rPr>
        <w:t xml:space="preserve"> jiné: ... </w:t>
      </w:r>
      <w:r>
        <w:rPr>
          <w:rFonts w:ascii="Georgia" w:eastAsia="Georgia" w:hAnsi="Georgia" w:cs="Georgia"/>
          <w:i/>
        </w:rPr>
        <w:t>(prosím specifikujte)</w:t>
      </w:r>
    </w:p>
    <w:p w14:paraId="09AE441F" w14:textId="77777777" w:rsidR="006E26D4" w:rsidRDefault="006E26D4">
      <w:pPr>
        <w:rPr>
          <w:rFonts w:ascii="Georgia" w:eastAsia="Georgia" w:hAnsi="Georgia" w:cs="Georgia"/>
        </w:rPr>
      </w:pPr>
    </w:p>
    <w:p w14:paraId="7D781653" w14:textId="77777777" w:rsidR="006E26D4" w:rsidRDefault="00285459">
      <w:pPr>
        <w:numPr>
          <w:ilvl w:val="0"/>
          <w:numId w:val="5"/>
        </w:numPr>
        <w:pBdr>
          <w:top w:val="nil"/>
          <w:left w:val="nil"/>
          <w:bottom w:val="nil"/>
          <w:right w:val="nil"/>
          <w:between w:val="nil"/>
        </w:pBdr>
        <w:spacing w:after="160" w:line="256" w:lineRule="auto"/>
        <w:rPr>
          <w:rFonts w:ascii="Georgia" w:eastAsia="Georgia" w:hAnsi="Georgia" w:cs="Georgia"/>
          <w:color w:val="000000"/>
          <w:u w:val="single"/>
        </w:rPr>
      </w:pPr>
      <w:r>
        <w:rPr>
          <w:rFonts w:ascii="Georgia" w:eastAsia="Georgia" w:hAnsi="Georgia" w:cs="Georgia"/>
          <w:color w:val="000000"/>
          <w:u w:val="single"/>
        </w:rPr>
        <w:t>Kategorie subjektů údajů:</w:t>
      </w:r>
    </w:p>
    <w:p w14:paraId="02FD6FC8" w14:textId="77777777" w:rsidR="006E26D4" w:rsidRDefault="00285459">
      <w:pPr>
        <w:rPr>
          <w:rFonts w:ascii="Georgia" w:eastAsia="Georgia" w:hAnsi="Georgia" w:cs="Georgia"/>
        </w:rPr>
      </w:pPr>
      <w:r>
        <w:rPr>
          <w:rFonts w:ascii="MS Gothic" w:eastAsia="MS Gothic" w:hAnsi="MS Gothic" w:cs="MS Gothic"/>
        </w:rPr>
        <w:t>☒</w:t>
      </w:r>
      <w:r>
        <w:rPr>
          <w:rFonts w:ascii="Georgia" w:eastAsia="Georgia" w:hAnsi="Georgia" w:cs="Georgia"/>
        </w:rPr>
        <w:t xml:space="preserve"> zaměstnanci Správce</w:t>
      </w:r>
    </w:p>
    <w:p w14:paraId="4FB6086C" w14:textId="77777777" w:rsidR="006E26D4" w:rsidRDefault="00285459">
      <w:pPr>
        <w:rPr>
          <w:rFonts w:ascii="Georgia" w:eastAsia="Georgia" w:hAnsi="Georgia" w:cs="Georgia"/>
        </w:rPr>
      </w:pPr>
      <w:r>
        <w:rPr>
          <w:rFonts w:ascii="MS Gothic" w:eastAsia="MS Gothic" w:hAnsi="MS Gothic" w:cs="MS Gothic"/>
        </w:rPr>
        <w:t>☒</w:t>
      </w:r>
      <w:r>
        <w:rPr>
          <w:rFonts w:ascii="Georgia" w:eastAsia="Georgia" w:hAnsi="Georgia" w:cs="Georgia"/>
        </w:rPr>
        <w:t xml:space="preserve"> management Správce</w:t>
      </w:r>
    </w:p>
    <w:p w14:paraId="156DFCFE" w14:textId="77777777" w:rsidR="006E26D4" w:rsidRDefault="00285459">
      <w:pPr>
        <w:rPr>
          <w:rFonts w:ascii="Georgia" w:eastAsia="Georgia" w:hAnsi="Georgia" w:cs="Georgia"/>
        </w:rPr>
      </w:pPr>
      <w:r>
        <w:rPr>
          <w:rFonts w:ascii="MS Gothic" w:eastAsia="MS Gothic" w:hAnsi="MS Gothic" w:cs="MS Gothic"/>
        </w:rPr>
        <w:t>☐</w:t>
      </w:r>
      <w:r>
        <w:rPr>
          <w:rFonts w:ascii="Georgia" w:eastAsia="Georgia" w:hAnsi="Georgia" w:cs="Georgia"/>
        </w:rPr>
        <w:t xml:space="preserve"> dodavatelé Správce</w:t>
      </w:r>
    </w:p>
    <w:p w14:paraId="378F5A04" w14:textId="77777777" w:rsidR="006E26D4" w:rsidRDefault="00285459">
      <w:pPr>
        <w:rPr>
          <w:rFonts w:ascii="Georgia" w:eastAsia="Georgia" w:hAnsi="Georgia" w:cs="Georgia"/>
          <w:i/>
        </w:rPr>
      </w:pPr>
      <w:r>
        <w:rPr>
          <w:rFonts w:ascii="MS Gothic" w:eastAsia="MS Gothic" w:hAnsi="MS Gothic" w:cs="MS Gothic"/>
        </w:rPr>
        <w:t>☒</w:t>
      </w:r>
      <w:r>
        <w:rPr>
          <w:rFonts w:ascii="Georgia" w:eastAsia="Georgia" w:hAnsi="Georgia" w:cs="Georgia"/>
        </w:rPr>
        <w:t xml:space="preserve"> jiné: Subjekty žádající o finanční subvence z programech administrovaných Správcem.</w:t>
      </w:r>
    </w:p>
    <w:p w14:paraId="117D18B5" w14:textId="77777777" w:rsidR="006E26D4" w:rsidRDefault="006E26D4">
      <w:pPr>
        <w:rPr>
          <w:rFonts w:ascii="Georgia" w:eastAsia="Georgia" w:hAnsi="Georgia" w:cs="Georgia"/>
          <w:i/>
        </w:rPr>
      </w:pPr>
    </w:p>
    <w:p w14:paraId="072995A6" w14:textId="77777777" w:rsidR="006E26D4" w:rsidRDefault="00285459">
      <w:pPr>
        <w:numPr>
          <w:ilvl w:val="0"/>
          <w:numId w:val="5"/>
        </w:numPr>
        <w:pBdr>
          <w:top w:val="nil"/>
          <w:left w:val="nil"/>
          <w:bottom w:val="nil"/>
          <w:right w:val="nil"/>
          <w:between w:val="nil"/>
        </w:pBdr>
        <w:spacing w:after="160" w:line="256" w:lineRule="auto"/>
        <w:rPr>
          <w:rFonts w:ascii="Georgia" w:eastAsia="Georgia" w:hAnsi="Georgia" w:cs="Georgia"/>
          <w:color w:val="000000"/>
          <w:u w:val="single"/>
        </w:rPr>
      </w:pPr>
      <w:r>
        <w:rPr>
          <w:rFonts w:ascii="Georgia" w:eastAsia="Georgia" w:hAnsi="Georgia" w:cs="Georgia"/>
          <w:color w:val="000000"/>
          <w:u w:val="single"/>
        </w:rPr>
        <w:t xml:space="preserve">Způsob zpracování: </w:t>
      </w:r>
    </w:p>
    <w:p w14:paraId="615EB621" w14:textId="77777777" w:rsidR="006E26D4" w:rsidRDefault="00285459">
      <w:pPr>
        <w:rPr>
          <w:rFonts w:ascii="Georgia" w:eastAsia="Georgia" w:hAnsi="Georgia" w:cs="Georgia"/>
        </w:rPr>
      </w:pPr>
      <w:r>
        <w:rPr>
          <w:rFonts w:ascii="MS Gothic" w:eastAsia="MS Gothic" w:hAnsi="MS Gothic" w:cs="MS Gothic"/>
        </w:rPr>
        <w:t>☒</w:t>
      </w:r>
      <w:r>
        <w:rPr>
          <w:rFonts w:ascii="Georgia" w:eastAsia="Georgia" w:hAnsi="Georgia" w:cs="Georgia"/>
        </w:rPr>
        <w:t xml:space="preserve"> elektronicky</w:t>
      </w:r>
    </w:p>
    <w:p w14:paraId="097DEC01" w14:textId="77777777" w:rsidR="006E26D4" w:rsidRDefault="00285459">
      <w:pPr>
        <w:rPr>
          <w:rFonts w:ascii="Georgia" w:eastAsia="Georgia" w:hAnsi="Georgia" w:cs="Georgia"/>
        </w:rPr>
      </w:pPr>
      <w:r>
        <w:rPr>
          <w:rFonts w:ascii="MS Gothic" w:eastAsia="MS Gothic" w:hAnsi="MS Gothic" w:cs="MS Gothic"/>
        </w:rPr>
        <w:t>☒</w:t>
      </w:r>
      <w:r>
        <w:rPr>
          <w:rFonts w:ascii="Georgia" w:eastAsia="Georgia" w:hAnsi="Georgia" w:cs="Georgia"/>
        </w:rPr>
        <w:t xml:space="preserve"> papírová forma</w:t>
      </w:r>
    </w:p>
    <w:p w14:paraId="3ED397F0" w14:textId="77777777" w:rsidR="006E26D4" w:rsidRDefault="00285459">
      <w:pPr>
        <w:rPr>
          <w:rFonts w:ascii="Georgia" w:eastAsia="Georgia" w:hAnsi="Georgia" w:cs="Georgia"/>
          <w:i/>
        </w:rPr>
      </w:pPr>
      <w:r>
        <w:rPr>
          <w:rFonts w:ascii="MS Gothic" w:eastAsia="MS Gothic" w:hAnsi="MS Gothic" w:cs="MS Gothic"/>
        </w:rPr>
        <w:t>☐</w:t>
      </w:r>
      <w:r>
        <w:rPr>
          <w:rFonts w:ascii="Georgia" w:eastAsia="Georgia" w:hAnsi="Georgia" w:cs="Georgia"/>
        </w:rPr>
        <w:t xml:space="preserve"> jiné: … </w:t>
      </w:r>
      <w:r>
        <w:rPr>
          <w:rFonts w:ascii="Georgia" w:eastAsia="Georgia" w:hAnsi="Georgia" w:cs="Georgia"/>
          <w:i/>
        </w:rPr>
        <w:t>(prosím specifikujte)</w:t>
      </w:r>
    </w:p>
    <w:p w14:paraId="5678A728" w14:textId="77777777" w:rsidR="006E26D4" w:rsidRDefault="006E26D4">
      <w:pPr>
        <w:rPr>
          <w:rFonts w:ascii="Georgia" w:eastAsia="Georgia" w:hAnsi="Georgia" w:cs="Georgia"/>
        </w:rPr>
      </w:pPr>
    </w:p>
    <w:p w14:paraId="6DB1829E" w14:textId="77777777" w:rsidR="006E26D4" w:rsidRDefault="00285459">
      <w:pPr>
        <w:numPr>
          <w:ilvl w:val="0"/>
          <w:numId w:val="5"/>
        </w:numPr>
        <w:pBdr>
          <w:top w:val="nil"/>
          <w:left w:val="nil"/>
          <w:bottom w:val="nil"/>
          <w:right w:val="nil"/>
          <w:between w:val="nil"/>
        </w:pBdr>
        <w:spacing w:after="160" w:line="256" w:lineRule="auto"/>
        <w:rPr>
          <w:rFonts w:ascii="Georgia" w:eastAsia="Georgia" w:hAnsi="Georgia" w:cs="Georgia"/>
          <w:color w:val="000000"/>
          <w:u w:val="single"/>
        </w:rPr>
      </w:pPr>
      <w:r>
        <w:rPr>
          <w:rFonts w:ascii="Georgia" w:eastAsia="Georgia" w:hAnsi="Georgia" w:cs="Georgia"/>
          <w:color w:val="000000"/>
          <w:u w:val="single"/>
        </w:rPr>
        <w:t>Účel zpracování:</w:t>
      </w:r>
    </w:p>
    <w:p w14:paraId="4DECE67A" w14:textId="77777777" w:rsidR="006E26D4" w:rsidRDefault="00285459">
      <w:pPr>
        <w:rPr>
          <w:rFonts w:ascii="Georgia" w:eastAsia="Georgia" w:hAnsi="Georgia" w:cs="Georgia"/>
        </w:rPr>
      </w:pPr>
      <w:r>
        <w:rPr>
          <w:rFonts w:ascii="MS Gothic" w:eastAsia="MS Gothic" w:hAnsi="MS Gothic" w:cs="MS Gothic"/>
        </w:rPr>
        <w:t>☒</w:t>
      </w:r>
      <w:r>
        <w:rPr>
          <w:rFonts w:ascii="Georgia" w:eastAsia="Georgia" w:hAnsi="Georgia" w:cs="Georgia"/>
        </w:rPr>
        <w:t xml:space="preserve"> poskytování služeb na základě Smlouvy </w:t>
      </w:r>
    </w:p>
    <w:p w14:paraId="1452B28F" w14:textId="77777777" w:rsidR="006E26D4" w:rsidRDefault="00285459">
      <w:pPr>
        <w:rPr>
          <w:rFonts w:ascii="Georgia" w:eastAsia="Georgia" w:hAnsi="Georgia" w:cs="Georgia"/>
        </w:rPr>
      </w:pPr>
      <w:r>
        <w:rPr>
          <w:rFonts w:ascii="MS Gothic" w:eastAsia="MS Gothic" w:hAnsi="MS Gothic" w:cs="MS Gothic"/>
        </w:rPr>
        <w:t>☐</w:t>
      </w:r>
      <w:r>
        <w:rPr>
          <w:rFonts w:ascii="Georgia" w:eastAsia="Georgia" w:hAnsi="Georgia" w:cs="Georgia"/>
        </w:rPr>
        <w:t xml:space="preserve"> údržba a využívání IT systémů</w:t>
      </w:r>
    </w:p>
    <w:p w14:paraId="4398E26E" w14:textId="77777777" w:rsidR="006E26D4" w:rsidRDefault="00285459">
      <w:pPr>
        <w:rPr>
          <w:rFonts w:ascii="Georgia" w:eastAsia="Georgia" w:hAnsi="Georgia" w:cs="Georgia"/>
        </w:rPr>
      </w:pPr>
      <w:r>
        <w:rPr>
          <w:rFonts w:ascii="MS Gothic" w:eastAsia="MS Gothic" w:hAnsi="MS Gothic" w:cs="MS Gothic"/>
        </w:rPr>
        <w:t>☐</w:t>
      </w:r>
      <w:r>
        <w:rPr>
          <w:rFonts w:ascii="Georgia" w:eastAsia="Georgia" w:hAnsi="Georgia" w:cs="Georgia"/>
        </w:rPr>
        <w:t xml:space="preserve"> řízení kvality, rizika a managementu Klienta</w:t>
      </w:r>
    </w:p>
    <w:p w14:paraId="5B335E91" w14:textId="77777777" w:rsidR="006E26D4" w:rsidRDefault="00285459">
      <w:pPr>
        <w:rPr>
          <w:rFonts w:ascii="Georgia" w:eastAsia="Georgia" w:hAnsi="Georgia" w:cs="Georgia"/>
        </w:rPr>
      </w:pPr>
      <w:r>
        <w:rPr>
          <w:rFonts w:ascii="MS Gothic" w:eastAsia="MS Gothic" w:hAnsi="MS Gothic" w:cs="MS Gothic"/>
        </w:rPr>
        <w:t>☐</w:t>
      </w:r>
      <w:r>
        <w:rPr>
          <w:rFonts w:ascii="Georgia" w:eastAsia="Georgia" w:hAnsi="Georgia" w:cs="Georgia"/>
        </w:rPr>
        <w:t xml:space="preserve"> poskytování informací Správci, vč. užití elektronických prostředků, o PwC, dalších PwC firmách a o našich / jejich službách</w:t>
      </w:r>
    </w:p>
    <w:p w14:paraId="5CBFBAE3" w14:textId="77777777" w:rsidR="006E26D4" w:rsidRDefault="00285459">
      <w:pPr>
        <w:rPr>
          <w:rFonts w:ascii="Georgia" w:eastAsia="Georgia" w:hAnsi="Georgia" w:cs="Georgia"/>
        </w:rPr>
      </w:pPr>
      <w:r>
        <w:rPr>
          <w:rFonts w:ascii="MS Gothic" w:eastAsia="MS Gothic" w:hAnsi="MS Gothic" w:cs="MS Gothic"/>
        </w:rPr>
        <w:t>☐</w:t>
      </w:r>
      <w:r>
        <w:rPr>
          <w:rFonts w:ascii="Georgia" w:eastAsia="Georgia" w:hAnsi="Georgia" w:cs="Georgia"/>
        </w:rPr>
        <w:t xml:space="preserve"> spory a litigace</w:t>
      </w:r>
    </w:p>
    <w:p w14:paraId="42718AFA" w14:textId="77777777" w:rsidR="006E26D4" w:rsidRDefault="00285459">
      <w:pPr>
        <w:rPr>
          <w:rFonts w:ascii="Georgia" w:eastAsia="Georgia" w:hAnsi="Georgia" w:cs="Georgia"/>
        </w:rPr>
      </w:pPr>
      <w:r>
        <w:rPr>
          <w:rFonts w:ascii="MS Gothic" w:eastAsia="MS Gothic" w:hAnsi="MS Gothic" w:cs="MS Gothic"/>
        </w:rPr>
        <w:t>☐</w:t>
      </w:r>
      <w:r>
        <w:rPr>
          <w:rFonts w:ascii="Georgia" w:eastAsia="Georgia" w:hAnsi="Georgia" w:cs="Georgia"/>
        </w:rPr>
        <w:t xml:space="preserve"> potvrzení poskytnutí služeb</w:t>
      </w:r>
    </w:p>
    <w:p w14:paraId="18ED83F8" w14:textId="77777777" w:rsidR="006E26D4" w:rsidRDefault="00285459">
      <w:pPr>
        <w:rPr>
          <w:rFonts w:ascii="Georgia" w:eastAsia="Georgia" w:hAnsi="Georgia" w:cs="Georgia"/>
        </w:rPr>
      </w:pPr>
      <w:r>
        <w:rPr>
          <w:rFonts w:ascii="MS Gothic" w:eastAsia="MS Gothic" w:hAnsi="MS Gothic" w:cs="MS Gothic"/>
        </w:rPr>
        <w:t>☐</w:t>
      </w:r>
      <w:r>
        <w:rPr>
          <w:rFonts w:ascii="Georgia" w:eastAsia="Georgia" w:hAnsi="Georgia" w:cs="Georgia"/>
        </w:rPr>
        <w:t xml:space="preserve"> jiné: … </w:t>
      </w:r>
      <w:r>
        <w:rPr>
          <w:rFonts w:ascii="Georgia" w:eastAsia="Georgia" w:hAnsi="Georgia" w:cs="Georgia"/>
          <w:i/>
        </w:rPr>
        <w:t>(prosím specifikujte)</w:t>
      </w:r>
    </w:p>
    <w:p w14:paraId="6AEC9131" w14:textId="77777777" w:rsidR="006E26D4" w:rsidRDefault="00285459">
      <w:pPr>
        <w:numPr>
          <w:ilvl w:val="0"/>
          <w:numId w:val="5"/>
        </w:numPr>
        <w:pBdr>
          <w:top w:val="nil"/>
          <w:left w:val="nil"/>
          <w:bottom w:val="nil"/>
          <w:right w:val="nil"/>
          <w:between w:val="nil"/>
        </w:pBdr>
        <w:spacing w:after="160" w:line="256" w:lineRule="auto"/>
        <w:rPr>
          <w:rFonts w:ascii="Georgia" w:eastAsia="Georgia" w:hAnsi="Georgia" w:cs="Georgia"/>
          <w:color w:val="000000"/>
          <w:u w:val="single"/>
        </w:rPr>
      </w:pPr>
      <w:r>
        <w:rPr>
          <w:rFonts w:ascii="Georgia" w:eastAsia="Georgia" w:hAnsi="Georgia" w:cs="Georgia"/>
          <w:color w:val="000000"/>
          <w:u w:val="single"/>
        </w:rPr>
        <w:t>Doba zpracování:</w:t>
      </w:r>
    </w:p>
    <w:tbl>
      <w:tblPr>
        <w:tblStyle w:val="a0"/>
        <w:tblW w:w="6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4111"/>
      </w:tblGrid>
      <w:tr w:rsidR="006E26D4" w14:paraId="00133FEA" w14:textId="77777777">
        <w:tc>
          <w:tcPr>
            <w:tcW w:w="2693" w:type="dxa"/>
            <w:tcBorders>
              <w:top w:val="single" w:sz="4" w:space="0" w:color="000000"/>
              <w:left w:val="single" w:sz="4" w:space="0" w:color="000000"/>
              <w:bottom w:val="single" w:sz="4" w:space="0" w:color="000000"/>
              <w:right w:val="single" w:sz="4" w:space="0" w:color="000000"/>
            </w:tcBorders>
          </w:tcPr>
          <w:p w14:paraId="108AE550" w14:textId="77777777" w:rsidR="006E26D4" w:rsidRDefault="00285459">
            <w:pPr>
              <w:jc w:val="both"/>
              <w:rPr>
                <w:rFonts w:ascii="Georgia" w:eastAsia="Georgia" w:hAnsi="Georgia" w:cs="Georgia"/>
              </w:rPr>
            </w:pPr>
            <w:r>
              <w:rPr>
                <w:rFonts w:ascii="Georgia" w:eastAsia="Georgia" w:hAnsi="Georgia" w:cs="Georgia"/>
              </w:rPr>
              <w:t>Účel zpracování</w:t>
            </w:r>
          </w:p>
        </w:tc>
        <w:tc>
          <w:tcPr>
            <w:tcW w:w="4111" w:type="dxa"/>
            <w:tcBorders>
              <w:top w:val="single" w:sz="4" w:space="0" w:color="000000"/>
              <w:left w:val="single" w:sz="4" w:space="0" w:color="000000"/>
              <w:bottom w:val="single" w:sz="4" w:space="0" w:color="000000"/>
              <w:right w:val="single" w:sz="4" w:space="0" w:color="000000"/>
            </w:tcBorders>
          </w:tcPr>
          <w:p w14:paraId="3B8BDFBE" w14:textId="77777777" w:rsidR="006E26D4" w:rsidRDefault="00285459">
            <w:pPr>
              <w:jc w:val="both"/>
              <w:rPr>
                <w:rFonts w:ascii="Georgia" w:eastAsia="Georgia" w:hAnsi="Georgia" w:cs="Georgia"/>
              </w:rPr>
            </w:pPr>
            <w:r>
              <w:rPr>
                <w:rFonts w:ascii="Georgia" w:eastAsia="Georgia" w:hAnsi="Georgia" w:cs="Georgia"/>
              </w:rPr>
              <w:t>Doba zpracování</w:t>
            </w:r>
          </w:p>
        </w:tc>
      </w:tr>
      <w:tr w:rsidR="006E26D4" w14:paraId="4C71D34B" w14:textId="77777777">
        <w:tc>
          <w:tcPr>
            <w:tcW w:w="2693" w:type="dxa"/>
            <w:tcBorders>
              <w:top w:val="single" w:sz="4" w:space="0" w:color="000000"/>
              <w:left w:val="single" w:sz="4" w:space="0" w:color="000000"/>
              <w:bottom w:val="single" w:sz="4" w:space="0" w:color="000000"/>
              <w:right w:val="single" w:sz="4" w:space="0" w:color="000000"/>
            </w:tcBorders>
          </w:tcPr>
          <w:p w14:paraId="7D8796D9" w14:textId="77777777" w:rsidR="006E26D4" w:rsidRDefault="00285459">
            <w:pPr>
              <w:jc w:val="both"/>
              <w:rPr>
                <w:rFonts w:ascii="Georgia" w:eastAsia="Georgia" w:hAnsi="Georgia" w:cs="Georgia"/>
              </w:rPr>
            </w:pPr>
            <w:r>
              <w:rPr>
                <w:rFonts w:ascii="Georgia" w:eastAsia="Georgia" w:hAnsi="Georgia" w:cs="Georgia"/>
                <w:i/>
              </w:rPr>
              <w:t>poskytování služeb na základě smlouvy o poskytování služeb</w:t>
            </w:r>
          </w:p>
        </w:tc>
        <w:tc>
          <w:tcPr>
            <w:tcW w:w="4111" w:type="dxa"/>
            <w:tcBorders>
              <w:top w:val="single" w:sz="4" w:space="0" w:color="000000"/>
              <w:left w:val="single" w:sz="4" w:space="0" w:color="000000"/>
              <w:bottom w:val="single" w:sz="4" w:space="0" w:color="000000"/>
              <w:right w:val="single" w:sz="4" w:space="0" w:color="000000"/>
            </w:tcBorders>
          </w:tcPr>
          <w:p w14:paraId="55B2EE6E" w14:textId="77777777" w:rsidR="006E26D4" w:rsidRDefault="00285459">
            <w:pPr>
              <w:jc w:val="both"/>
              <w:rPr>
                <w:rFonts w:ascii="Georgia" w:eastAsia="Georgia" w:hAnsi="Georgia" w:cs="Georgia"/>
                <w:i/>
              </w:rPr>
            </w:pPr>
            <w:r>
              <w:rPr>
                <w:rFonts w:ascii="Georgia" w:eastAsia="Georgia" w:hAnsi="Georgia" w:cs="Georgia"/>
                <w:i/>
              </w:rPr>
              <w:t>Po dobu trvání Smlouvy.</w:t>
            </w:r>
          </w:p>
        </w:tc>
      </w:tr>
      <w:bookmarkEnd w:id="0"/>
    </w:tbl>
    <w:p w14:paraId="45C3BC36" w14:textId="77777777" w:rsidR="006E26D4" w:rsidRDefault="006E26D4">
      <w:pPr>
        <w:rPr>
          <w:rFonts w:ascii="Georgia" w:eastAsia="Georgia" w:hAnsi="Georgia" w:cs="Georgia"/>
          <w:sz w:val="22"/>
          <w:szCs w:val="22"/>
        </w:rPr>
      </w:pPr>
    </w:p>
    <w:sectPr w:rsidR="006E26D4">
      <w:headerReference w:type="even" r:id="rId7"/>
      <w:headerReference w:type="default" r:id="rId8"/>
      <w:footerReference w:type="even" r:id="rId9"/>
      <w:footerReference w:type="default" r:id="rId10"/>
      <w:headerReference w:type="first" r:id="rId11"/>
      <w:footerReference w:type="first" r:id="rId12"/>
      <w:pgSz w:w="11906" w:h="16838"/>
      <w:pgMar w:top="1276" w:right="1417" w:bottom="993"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1E3C6" w14:textId="77777777" w:rsidR="004C615E" w:rsidRDefault="004C615E">
      <w:r>
        <w:separator/>
      </w:r>
    </w:p>
  </w:endnote>
  <w:endnote w:type="continuationSeparator" w:id="0">
    <w:p w14:paraId="09E38B30" w14:textId="77777777" w:rsidR="004C615E" w:rsidRDefault="004C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C1206" w14:textId="77777777" w:rsidR="006E26D4" w:rsidRDefault="00285459">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26C4B5E" w14:textId="77777777" w:rsidR="006E26D4" w:rsidRDefault="006E26D4">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ECDD5" w14:textId="77777777" w:rsidR="006E26D4" w:rsidRDefault="006E26D4">
    <w:pPr>
      <w:pBdr>
        <w:top w:val="nil"/>
        <w:left w:val="nil"/>
        <w:bottom w:val="nil"/>
        <w:right w:val="nil"/>
        <w:between w:val="nil"/>
      </w:pBdr>
      <w:tabs>
        <w:tab w:val="center" w:pos="4536"/>
        <w:tab w:val="right" w:pos="9072"/>
      </w:tabs>
      <w:jc w:val="center"/>
      <w:rPr>
        <w:color w:val="000000"/>
        <w:sz w:val="16"/>
        <w:szCs w:val="16"/>
      </w:rPr>
    </w:pPr>
  </w:p>
  <w:p w14:paraId="559B396C" w14:textId="77777777" w:rsidR="006E26D4" w:rsidRDefault="006E26D4">
    <w:pPr>
      <w:pBdr>
        <w:top w:val="nil"/>
        <w:left w:val="nil"/>
        <w:bottom w:val="nil"/>
        <w:right w:val="nil"/>
        <w:between w:val="nil"/>
      </w:pBdr>
      <w:tabs>
        <w:tab w:val="center" w:pos="4536"/>
        <w:tab w:val="right" w:pos="9072"/>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4CACC" w14:textId="77777777" w:rsidR="006E26D4" w:rsidRDefault="006E26D4">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972F9" w14:textId="77777777" w:rsidR="004C615E" w:rsidRDefault="004C615E">
      <w:r>
        <w:separator/>
      </w:r>
    </w:p>
  </w:footnote>
  <w:footnote w:type="continuationSeparator" w:id="0">
    <w:p w14:paraId="52E18934" w14:textId="77777777" w:rsidR="004C615E" w:rsidRDefault="004C6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5E91E" w14:textId="77777777" w:rsidR="006E26D4" w:rsidRDefault="00285459">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0" distR="0" simplePos="0" relativeHeight="251659264" behindDoc="0" locked="0" layoutInCell="1" hidden="0" allowOverlap="1" wp14:anchorId="17FA14AA" wp14:editId="6FF7865C">
              <wp:simplePos x="0" y="0"/>
              <wp:positionH relativeFrom="column">
                <wp:posOffset>-88899</wp:posOffset>
              </wp:positionH>
              <wp:positionV relativeFrom="paragraph">
                <wp:posOffset>-1396999</wp:posOffset>
              </wp:positionV>
              <wp:extent cx="5939092" cy="5939092"/>
              <wp:effectExtent l="0" t="0" r="0" b="0"/>
              <wp:wrapSquare wrapText="bothSides" distT="0" distB="0" distL="0" distR="0"/>
              <wp:docPr id="2" name="Rectangle 2"/>
              <wp:cNvGraphicFramePr/>
              <a:graphic xmlns:a="http://schemas.openxmlformats.org/drawingml/2006/main">
                <a:graphicData uri="http://schemas.microsoft.com/office/word/2010/wordprocessingShape">
                  <wps:wsp>
                    <wps:cNvSpPr/>
                    <wps:spPr>
                      <a:xfrm rot="-2700000">
                        <a:off x="2727260" y="2208693"/>
                        <a:ext cx="5237480" cy="3142615"/>
                      </a:xfrm>
                      <a:prstGeom prst="rect">
                        <a:avLst/>
                      </a:prstGeom>
                    </wps:spPr>
                    <wps:txbx>
                      <w:txbxContent>
                        <w:p w14:paraId="30058D2B" w14:textId="77777777" w:rsidR="006E26D4" w:rsidRDefault="00285459">
                          <w:pPr>
                            <w:jc w:val="center"/>
                            <w:textDirection w:val="btLr"/>
                          </w:pPr>
                          <w:r>
                            <w:rPr>
                              <w:rFonts w:ascii="Calibri" w:eastAsia="Calibri" w:hAnsi="Calibri" w:cs="Calibri"/>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17FA14AA" id="Rectangle 2" o:spid="_x0000_s1026" style="position:absolute;margin-left:-7pt;margin-top:-110pt;width:467.65pt;height:467.65pt;rotation:-45;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" filled="f" stroked="f">
              <v:textbox inset="2.53958mm,2.53958mm,2.53958mm,2.53958mm">
                <w:txbxContent>
                  <w:p w14:paraId="30058D2B" w14:textId="77777777" w:rsidR="006E26D4" w:rsidRDefault="00285459">
                    <w:pPr>
                      <w:jc w:val="center"/>
                      <w:textDirection w:val="btLr"/>
                    </w:pPr>
                    <w:r>
                      <w:rPr>
                        <w:rFonts w:ascii="Calibri" w:eastAsia="Calibri" w:hAnsi="Calibri" w:cs="Calibri"/>
                        <w:color w:val="C0C0C0"/>
                        <w:sz w:val="144"/>
                      </w:rPr>
                      <w:t>DRAFT</w:t>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F8FDD" w14:textId="77777777" w:rsidR="006E26D4" w:rsidRDefault="006E26D4">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545D8" w14:textId="77777777" w:rsidR="006E26D4" w:rsidRDefault="00285459">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0" distR="0" simplePos="0" relativeHeight="251658240" behindDoc="0" locked="0" layoutInCell="1" hidden="0" allowOverlap="1" wp14:anchorId="05EA7801" wp14:editId="0F0A6627">
              <wp:simplePos x="0" y="0"/>
              <wp:positionH relativeFrom="column">
                <wp:posOffset>-88899</wp:posOffset>
              </wp:positionH>
              <wp:positionV relativeFrom="paragraph">
                <wp:posOffset>-1396999</wp:posOffset>
              </wp:positionV>
              <wp:extent cx="5939092" cy="5939092"/>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rot="-2700000">
                        <a:off x="2727260" y="2208693"/>
                        <a:ext cx="5237480" cy="3142615"/>
                      </a:xfrm>
                      <a:prstGeom prst="rect">
                        <a:avLst/>
                      </a:prstGeom>
                    </wps:spPr>
                    <wps:txbx>
                      <w:txbxContent>
                        <w:p w14:paraId="1CFDAAF4" w14:textId="77777777" w:rsidR="006E26D4" w:rsidRDefault="00285459">
                          <w:pPr>
                            <w:jc w:val="center"/>
                            <w:textDirection w:val="btLr"/>
                          </w:pPr>
                          <w:r>
                            <w:rPr>
                              <w:rFonts w:ascii="Calibri" w:eastAsia="Calibri" w:hAnsi="Calibri" w:cs="Calibri"/>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05EA7801" id="Rectangle 1" o:spid="_x0000_s1027" style="position:absolute;margin-left:-7pt;margin-top:-110pt;width:467.65pt;height:467.65pt;rotation:-45;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" filled="f" stroked="f">
              <v:textbox inset="2.53958mm,2.53958mm,2.53958mm,2.53958mm">
                <w:txbxContent>
                  <w:p w14:paraId="1CFDAAF4" w14:textId="77777777" w:rsidR="006E26D4" w:rsidRDefault="00285459">
                    <w:pPr>
                      <w:jc w:val="center"/>
                      <w:textDirection w:val="btLr"/>
                    </w:pPr>
                    <w:r>
                      <w:rPr>
                        <w:rFonts w:ascii="Calibri" w:eastAsia="Calibri" w:hAnsi="Calibri" w:cs="Calibri"/>
                        <w:color w:val="C0C0C0"/>
                        <w:sz w:val="144"/>
                      </w:rPr>
                      <w:t>DRAFT</w:t>
                    </w: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30B37"/>
    <w:multiLevelType w:val="multilevel"/>
    <w:tmpl w:val="BC5CB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08336B"/>
    <w:multiLevelType w:val="multilevel"/>
    <w:tmpl w:val="78303D20"/>
    <w:lvl w:ilvl="0">
      <w:start w:val="1"/>
      <w:numFmt w:val="decimal"/>
      <w:lvlText w:val="%1."/>
      <w:lvlJc w:val="left"/>
      <w:pPr>
        <w:ind w:left="360" w:hanging="360"/>
      </w:pPr>
      <w:rPr>
        <w:rFonts w:ascii="Georgia" w:eastAsia="Georgia" w:hAnsi="Georgia" w:cs="Georgia"/>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29353FA"/>
    <w:multiLevelType w:val="multilevel"/>
    <w:tmpl w:val="C1B278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DF66EEE"/>
    <w:multiLevelType w:val="multilevel"/>
    <w:tmpl w:val="025E1BD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FCD121B"/>
    <w:multiLevelType w:val="multilevel"/>
    <w:tmpl w:val="B4B4D7B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6644762"/>
    <w:multiLevelType w:val="multilevel"/>
    <w:tmpl w:val="587E74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94A01B8"/>
    <w:multiLevelType w:val="multilevel"/>
    <w:tmpl w:val="42C4C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AE06BB1"/>
    <w:multiLevelType w:val="multilevel"/>
    <w:tmpl w:val="80B893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C657EED"/>
    <w:multiLevelType w:val="multilevel"/>
    <w:tmpl w:val="1F72D3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 w:numId="6">
    <w:abstractNumId w:val="6"/>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D4"/>
    <w:rsid w:val="001E63E1"/>
    <w:rsid w:val="001F2A45"/>
    <w:rsid w:val="00285459"/>
    <w:rsid w:val="003530AA"/>
    <w:rsid w:val="004C615E"/>
    <w:rsid w:val="006708A3"/>
    <w:rsid w:val="006E26D4"/>
    <w:rsid w:val="00757901"/>
    <w:rsid w:val="00790DF9"/>
    <w:rsid w:val="007C71B9"/>
    <w:rsid w:val="008229CF"/>
    <w:rsid w:val="00824E7F"/>
    <w:rsid w:val="00892332"/>
    <w:rsid w:val="00C73907"/>
    <w:rsid w:val="00ED1F6A"/>
    <w:rsid w:val="00F72F18"/>
    <w:rsid w:val="00FD16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F7D09"/>
  <w15:docId w15:val="{7E47ECC4-9AC0-4AD3-8306-0AB4DFAD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Normlntabulka"/>
    <w:tblPr>
      <w:tblStyleRowBandSize w:val="1"/>
      <w:tblStyleColBandSize w:val="1"/>
    </w:tblPr>
  </w:style>
  <w:style w:type="table" w:customStyle="1" w:styleId="a0">
    <w:basedOn w:val="Normlntabulka"/>
    <w:tblPr>
      <w:tblStyleRowBandSize w:val="1"/>
      <w:tblStyleColBandSize w:val="1"/>
    </w:tblPr>
  </w:style>
  <w:style w:type="character" w:styleId="Odkaznakoment">
    <w:name w:val="annotation reference"/>
    <w:basedOn w:val="Standardnpsmoodstavce"/>
    <w:uiPriority w:val="99"/>
    <w:semiHidden/>
    <w:unhideWhenUsed/>
    <w:rsid w:val="00757901"/>
    <w:rPr>
      <w:sz w:val="16"/>
      <w:szCs w:val="16"/>
    </w:rPr>
  </w:style>
  <w:style w:type="paragraph" w:styleId="Textkomente">
    <w:name w:val="annotation text"/>
    <w:basedOn w:val="Normln"/>
    <w:link w:val="TextkomenteChar"/>
    <w:uiPriority w:val="99"/>
    <w:semiHidden/>
    <w:unhideWhenUsed/>
    <w:rsid w:val="00757901"/>
    <w:rPr>
      <w:sz w:val="20"/>
      <w:szCs w:val="20"/>
    </w:rPr>
  </w:style>
  <w:style w:type="character" w:customStyle="1" w:styleId="TextkomenteChar">
    <w:name w:val="Text komentáře Char"/>
    <w:basedOn w:val="Standardnpsmoodstavce"/>
    <w:link w:val="Textkomente"/>
    <w:uiPriority w:val="99"/>
    <w:semiHidden/>
    <w:rsid w:val="00757901"/>
    <w:rPr>
      <w:sz w:val="20"/>
      <w:szCs w:val="20"/>
    </w:rPr>
  </w:style>
  <w:style w:type="paragraph" w:styleId="Pedmtkomente">
    <w:name w:val="annotation subject"/>
    <w:basedOn w:val="Textkomente"/>
    <w:next w:val="Textkomente"/>
    <w:link w:val="PedmtkomenteChar"/>
    <w:uiPriority w:val="99"/>
    <w:semiHidden/>
    <w:unhideWhenUsed/>
    <w:rsid w:val="00757901"/>
    <w:rPr>
      <w:b/>
      <w:bCs/>
    </w:rPr>
  </w:style>
  <w:style w:type="character" w:customStyle="1" w:styleId="PedmtkomenteChar">
    <w:name w:val="Předmět komentáře Char"/>
    <w:basedOn w:val="TextkomenteChar"/>
    <w:link w:val="Pedmtkomente"/>
    <w:uiPriority w:val="99"/>
    <w:semiHidden/>
    <w:rsid w:val="00757901"/>
    <w:rPr>
      <w:b/>
      <w:bCs/>
      <w:sz w:val="20"/>
      <w:szCs w:val="20"/>
    </w:rPr>
  </w:style>
  <w:style w:type="paragraph" w:styleId="Textbubliny">
    <w:name w:val="Balloon Text"/>
    <w:basedOn w:val="Normln"/>
    <w:link w:val="TextbublinyChar"/>
    <w:uiPriority w:val="99"/>
    <w:semiHidden/>
    <w:unhideWhenUsed/>
    <w:rsid w:val="0075790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79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1600</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Vladislava Zizkova</dc:creator>
  <cp:lastModifiedBy>Daniela Hajčiarová</cp:lastModifiedBy>
  <cp:revision>6</cp:revision>
  <dcterms:created xsi:type="dcterms:W3CDTF">2020-03-27T14:22:00Z</dcterms:created>
  <dcterms:modified xsi:type="dcterms:W3CDTF">2020-04-17T08:45:00Z</dcterms:modified>
</cp:coreProperties>
</file>