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83855" w14:textId="60A61E1E" w:rsidR="001F2A45" w:rsidRPr="00B2452F" w:rsidRDefault="001F2A45" w:rsidP="001F2A45">
      <w:pPr>
        <w:rPr>
          <w:rFonts w:ascii="Times New Roman" w:hAnsi="Times New Roman" w:cs="Times New Roman"/>
          <w:b/>
        </w:rPr>
      </w:pPr>
      <w:bookmarkStart w:id="0" w:name="_Hlk36036726"/>
      <w:r w:rsidRPr="00B2452F">
        <w:rPr>
          <w:rFonts w:ascii="Times New Roman" w:hAnsi="Times New Roman" w:cs="Times New Roman"/>
          <w:b/>
        </w:rPr>
        <w:t xml:space="preserve">PŘÍLOHA </w:t>
      </w:r>
      <w:r>
        <w:rPr>
          <w:rFonts w:ascii="Times New Roman" w:hAnsi="Times New Roman" w:cs="Times New Roman"/>
          <w:b/>
        </w:rPr>
        <w:t>č</w:t>
      </w:r>
      <w:r w:rsidRPr="00B2452F">
        <w:rPr>
          <w:rFonts w:ascii="Times New Roman" w:hAnsi="Times New Roman" w:cs="Times New Roman"/>
          <w:b/>
        </w:rPr>
        <w:t xml:space="preserve">. </w:t>
      </w:r>
      <w:r>
        <w:rPr>
          <w:rFonts w:ascii="Times New Roman" w:hAnsi="Times New Roman" w:cs="Times New Roman"/>
          <w:b/>
        </w:rPr>
        <w:t>4</w:t>
      </w:r>
      <w:r w:rsidR="00790DF9">
        <w:rPr>
          <w:rFonts w:ascii="Times New Roman" w:hAnsi="Times New Roman" w:cs="Times New Roman"/>
          <w:b/>
        </w:rPr>
        <w:t xml:space="preserve"> ke smlouvě č.j. 280870/2020-ČRA</w:t>
      </w:r>
    </w:p>
    <w:p w14:paraId="076EFB4D" w14:textId="77777777" w:rsidR="001F2A45" w:rsidRDefault="001F2A45">
      <w:pPr>
        <w:jc w:val="center"/>
        <w:rPr>
          <w:rFonts w:ascii="Georgia" w:eastAsia="Georgia" w:hAnsi="Georgia" w:cs="Georgia"/>
          <w:b/>
          <w:sz w:val="22"/>
          <w:szCs w:val="22"/>
        </w:rPr>
      </w:pPr>
    </w:p>
    <w:p w14:paraId="15D6D02D" w14:textId="77777777" w:rsidR="001F2A45" w:rsidRDefault="001F2A45">
      <w:pPr>
        <w:jc w:val="center"/>
        <w:rPr>
          <w:rFonts w:ascii="Georgia" w:eastAsia="Georgia" w:hAnsi="Georgia" w:cs="Georgia"/>
          <w:b/>
          <w:sz w:val="22"/>
          <w:szCs w:val="22"/>
        </w:rPr>
      </w:pPr>
    </w:p>
    <w:p w14:paraId="0D508386" w14:textId="47AB688D" w:rsidR="006E26D4" w:rsidRDefault="00285459">
      <w:pPr>
        <w:jc w:val="center"/>
        <w:rPr>
          <w:rFonts w:ascii="Georgia" w:eastAsia="Georgia" w:hAnsi="Georgia" w:cs="Georgia"/>
          <w:b/>
          <w:sz w:val="22"/>
          <w:szCs w:val="22"/>
        </w:rPr>
      </w:pPr>
      <w:r>
        <w:rPr>
          <w:rFonts w:ascii="Georgia" w:eastAsia="Georgia" w:hAnsi="Georgia" w:cs="Georgia"/>
          <w:b/>
          <w:sz w:val="22"/>
          <w:szCs w:val="22"/>
        </w:rPr>
        <w:t>DOHODA O ZPRACOVÁNÍ OSOBNÍCH ÚDAJŮ</w:t>
      </w:r>
    </w:p>
    <w:p w14:paraId="64D26F7D" w14:textId="77777777" w:rsidR="006E26D4" w:rsidRDefault="006E26D4">
      <w:pPr>
        <w:rPr>
          <w:rFonts w:ascii="Georgia" w:eastAsia="Georgia" w:hAnsi="Georgia" w:cs="Georgia"/>
          <w:sz w:val="22"/>
          <w:szCs w:val="22"/>
        </w:rPr>
      </w:pPr>
    </w:p>
    <w:p w14:paraId="780BF702" w14:textId="77777777" w:rsidR="006E26D4" w:rsidRDefault="00285459">
      <w:pPr>
        <w:rPr>
          <w:rFonts w:ascii="Georgia" w:eastAsia="Georgia" w:hAnsi="Georgia" w:cs="Georgia"/>
          <w:sz w:val="22"/>
          <w:szCs w:val="22"/>
        </w:rPr>
      </w:pPr>
      <w:r>
        <w:rPr>
          <w:rFonts w:ascii="Georgia" w:eastAsia="Georgia" w:hAnsi="Georgia" w:cs="Georgia"/>
          <w:sz w:val="22"/>
          <w:szCs w:val="22"/>
        </w:rPr>
        <w:t>dále jen jako</w:t>
      </w:r>
      <w:r>
        <w:rPr>
          <w:rFonts w:ascii="Georgia" w:eastAsia="Georgia" w:hAnsi="Georgia" w:cs="Georgia"/>
          <w:b/>
          <w:sz w:val="22"/>
          <w:szCs w:val="22"/>
        </w:rPr>
        <w:t xml:space="preserve"> </w:t>
      </w:r>
      <w:r>
        <w:rPr>
          <w:rFonts w:ascii="Georgia" w:eastAsia="Georgia" w:hAnsi="Georgia" w:cs="Georgia"/>
          <w:sz w:val="22"/>
          <w:szCs w:val="22"/>
        </w:rPr>
        <w:t>„</w:t>
      </w:r>
      <w:r>
        <w:rPr>
          <w:rFonts w:ascii="Georgia" w:eastAsia="Georgia" w:hAnsi="Georgia" w:cs="Georgia"/>
          <w:b/>
          <w:sz w:val="22"/>
          <w:szCs w:val="22"/>
        </w:rPr>
        <w:t>Dohoda</w:t>
      </w:r>
      <w:r>
        <w:rPr>
          <w:rFonts w:ascii="Georgia" w:eastAsia="Georgia" w:hAnsi="Georgia" w:cs="Georgia"/>
          <w:sz w:val="22"/>
          <w:szCs w:val="22"/>
        </w:rPr>
        <w:t>”</w:t>
      </w:r>
    </w:p>
    <w:p w14:paraId="7E0FF771" w14:textId="77777777" w:rsidR="006E26D4" w:rsidRDefault="006E26D4">
      <w:pPr>
        <w:rPr>
          <w:rFonts w:ascii="Georgia" w:eastAsia="Georgia" w:hAnsi="Georgia" w:cs="Georgia"/>
          <w:sz w:val="22"/>
          <w:szCs w:val="22"/>
        </w:rPr>
      </w:pPr>
    </w:p>
    <w:p w14:paraId="4594A3A9" w14:textId="3FD6904A" w:rsidR="006E26D4" w:rsidRDefault="00285459">
      <w:pPr>
        <w:rPr>
          <w:rFonts w:ascii="Georgia" w:eastAsia="Georgia" w:hAnsi="Georgia" w:cs="Georgia"/>
          <w:sz w:val="22"/>
          <w:szCs w:val="22"/>
        </w:rPr>
      </w:pPr>
      <w:r>
        <w:rPr>
          <w:rFonts w:ascii="Georgia" w:eastAsia="Georgia" w:hAnsi="Georgia" w:cs="Georgia"/>
          <w:sz w:val="22"/>
          <w:szCs w:val="22"/>
        </w:rPr>
        <w:t>uzavřená v </w:t>
      </w:r>
      <w:r w:rsidRPr="00757901">
        <w:rPr>
          <w:rFonts w:ascii="Georgia" w:eastAsia="Georgia" w:hAnsi="Georgia" w:cs="Georgia"/>
          <w:sz w:val="22"/>
          <w:szCs w:val="22"/>
        </w:rPr>
        <w:t xml:space="preserve">Praze </w:t>
      </w:r>
      <w:r>
        <w:rPr>
          <w:rFonts w:ascii="Georgia" w:eastAsia="Georgia" w:hAnsi="Georgia" w:cs="Georgia"/>
          <w:sz w:val="22"/>
          <w:szCs w:val="22"/>
        </w:rPr>
        <w:t xml:space="preserve">dne </w:t>
      </w:r>
      <w:r w:rsidR="00824E7F">
        <w:rPr>
          <w:rFonts w:ascii="Georgia" w:eastAsia="Georgia" w:hAnsi="Georgia" w:cs="Georgia"/>
          <w:sz w:val="22"/>
          <w:szCs w:val="22"/>
        </w:rPr>
        <w:t>15/4/20</w:t>
      </w:r>
      <w:r w:rsidR="00790DF9">
        <w:rPr>
          <w:rFonts w:ascii="Georgia" w:eastAsia="Georgia" w:hAnsi="Georgia" w:cs="Georgia"/>
          <w:sz w:val="22"/>
          <w:szCs w:val="22"/>
        </w:rPr>
        <w:t xml:space="preserve"> </w:t>
      </w:r>
      <w:r>
        <w:rPr>
          <w:rFonts w:ascii="Georgia" w:eastAsia="Georgia" w:hAnsi="Georgia" w:cs="Georgia"/>
          <w:sz w:val="22"/>
          <w:szCs w:val="22"/>
        </w:rPr>
        <w:t>mezi:</w:t>
      </w:r>
    </w:p>
    <w:p w14:paraId="72575CBD" w14:textId="77777777" w:rsidR="006E26D4" w:rsidRDefault="006E26D4">
      <w:pPr>
        <w:jc w:val="both"/>
        <w:rPr>
          <w:rFonts w:ascii="Georgia" w:eastAsia="Georgia" w:hAnsi="Georgia" w:cs="Georgia"/>
          <w:b/>
          <w:sz w:val="22"/>
          <w:szCs w:val="22"/>
        </w:rPr>
      </w:pPr>
    </w:p>
    <w:p w14:paraId="1C8DB067" w14:textId="53423D7A" w:rsidR="006E26D4" w:rsidRDefault="00285459">
      <w:pPr>
        <w:jc w:val="both"/>
        <w:rPr>
          <w:rFonts w:ascii="Georgia" w:eastAsia="Georgia" w:hAnsi="Georgia" w:cs="Georgia"/>
          <w:sz w:val="22"/>
          <w:szCs w:val="22"/>
        </w:rPr>
      </w:pPr>
      <w:r w:rsidRPr="00757901">
        <w:rPr>
          <w:rFonts w:ascii="Georgia" w:eastAsia="Georgia" w:hAnsi="Georgia" w:cs="Georgia"/>
          <w:sz w:val="22"/>
          <w:szCs w:val="22"/>
        </w:rPr>
        <w:t xml:space="preserve">Českou rozvojovou agenturou </w:t>
      </w:r>
      <w:r>
        <w:rPr>
          <w:rFonts w:ascii="Georgia" w:eastAsia="Georgia" w:hAnsi="Georgia" w:cs="Georgia"/>
          <w:sz w:val="22"/>
          <w:szCs w:val="22"/>
        </w:rPr>
        <w:t xml:space="preserve">se sídlem </w:t>
      </w:r>
      <w:r w:rsidRPr="00757901">
        <w:rPr>
          <w:rFonts w:ascii="Georgia" w:eastAsia="Georgia" w:hAnsi="Georgia" w:cs="Georgia"/>
          <w:sz w:val="22"/>
          <w:szCs w:val="22"/>
        </w:rPr>
        <w:t xml:space="preserve">Nerudova 3, Malá Strana, 118 50 </w:t>
      </w:r>
      <w:r>
        <w:rPr>
          <w:rFonts w:ascii="Georgia" w:eastAsia="Georgia" w:hAnsi="Georgia" w:cs="Georgia"/>
          <w:sz w:val="22"/>
          <w:szCs w:val="22"/>
        </w:rPr>
        <w:t xml:space="preserve">IČO: </w:t>
      </w:r>
      <w:r w:rsidRPr="00757901">
        <w:rPr>
          <w:rFonts w:ascii="Georgia" w:eastAsia="Georgia" w:hAnsi="Georgia" w:cs="Georgia"/>
          <w:sz w:val="22"/>
          <w:szCs w:val="22"/>
        </w:rPr>
        <w:t>75123924</w:t>
      </w:r>
      <w:r w:rsidR="007C71B9">
        <w:rPr>
          <w:rFonts w:ascii="Georgia" w:eastAsia="Georgia" w:hAnsi="Georgia" w:cs="Georgia"/>
          <w:sz w:val="22"/>
          <w:szCs w:val="22"/>
        </w:rPr>
        <w:t>,</w:t>
      </w:r>
      <w:r w:rsidRPr="00757901">
        <w:rPr>
          <w:rFonts w:ascii="Georgia" w:eastAsia="Georgia" w:hAnsi="Georgia" w:cs="Georgia"/>
          <w:sz w:val="22"/>
          <w:szCs w:val="22"/>
        </w:rPr>
        <w:t xml:space="preserve"> </w:t>
      </w:r>
      <w:r>
        <w:rPr>
          <w:rFonts w:ascii="Georgia" w:eastAsia="Georgia" w:hAnsi="Georgia" w:cs="Georgia"/>
          <w:sz w:val="22"/>
          <w:szCs w:val="22"/>
        </w:rPr>
        <w:t xml:space="preserve">zastoupená </w:t>
      </w:r>
      <w:r w:rsidRPr="00757901">
        <w:rPr>
          <w:rFonts w:ascii="Georgia" w:eastAsia="Georgia" w:hAnsi="Georgia" w:cs="Georgia"/>
          <w:sz w:val="22"/>
          <w:szCs w:val="22"/>
        </w:rPr>
        <w:t>Mgr. Štěpánkou Liteckou, ředitelkou</w:t>
      </w:r>
      <w:r>
        <w:rPr>
          <w:rFonts w:ascii="Georgia" w:eastAsia="Georgia" w:hAnsi="Georgia" w:cs="Georgia"/>
          <w:sz w:val="22"/>
          <w:szCs w:val="22"/>
        </w:rPr>
        <w:t>, dále jen jako „</w:t>
      </w:r>
      <w:r>
        <w:rPr>
          <w:rFonts w:ascii="Georgia" w:eastAsia="Georgia" w:hAnsi="Georgia" w:cs="Georgia"/>
          <w:b/>
          <w:sz w:val="22"/>
          <w:szCs w:val="22"/>
        </w:rPr>
        <w:t>Správce</w:t>
      </w:r>
      <w:r>
        <w:rPr>
          <w:rFonts w:ascii="Georgia" w:eastAsia="Georgia" w:hAnsi="Georgia" w:cs="Georgia"/>
          <w:sz w:val="22"/>
          <w:szCs w:val="22"/>
        </w:rPr>
        <w:t>” nebo „</w:t>
      </w:r>
      <w:r>
        <w:rPr>
          <w:rFonts w:ascii="Georgia" w:eastAsia="Georgia" w:hAnsi="Georgia" w:cs="Georgia"/>
          <w:b/>
          <w:sz w:val="22"/>
          <w:szCs w:val="22"/>
        </w:rPr>
        <w:t>Klient</w:t>
      </w:r>
      <w:r>
        <w:rPr>
          <w:rFonts w:ascii="Georgia" w:eastAsia="Georgia" w:hAnsi="Georgia" w:cs="Georgia"/>
          <w:sz w:val="22"/>
          <w:szCs w:val="22"/>
        </w:rPr>
        <w:t xml:space="preserve">” </w:t>
      </w:r>
    </w:p>
    <w:p w14:paraId="02B52F12" w14:textId="77777777" w:rsidR="006E26D4" w:rsidRDefault="006E26D4">
      <w:pPr>
        <w:jc w:val="both"/>
        <w:rPr>
          <w:rFonts w:ascii="Georgia" w:eastAsia="Georgia" w:hAnsi="Georgia" w:cs="Georgia"/>
          <w:sz w:val="22"/>
          <w:szCs w:val="22"/>
        </w:rPr>
      </w:pPr>
    </w:p>
    <w:p w14:paraId="7BDB7C3C" w14:textId="77777777" w:rsidR="006E26D4" w:rsidRDefault="00285459">
      <w:pPr>
        <w:jc w:val="both"/>
        <w:rPr>
          <w:rFonts w:ascii="Georgia" w:eastAsia="Georgia" w:hAnsi="Georgia" w:cs="Georgia"/>
          <w:sz w:val="22"/>
          <w:szCs w:val="22"/>
        </w:rPr>
      </w:pPr>
      <w:r>
        <w:rPr>
          <w:rFonts w:ascii="Georgia" w:eastAsia="Georgia" w:hAnsi="Georgia" w:cs="Georgia"/>
          <w:sz w:val="22"/>
          <w:szCs w:val="22"/>
        </w:rPr>
        <w:t>a</w:t>
      </w:r>
    </w:p>
    <w:p w14:paraId="2E39FA91" w14:textId="77777777" w:rsidR="006E26D4" w:rsidRDefault="006E26D4">
      <w:pPr>
        <w:jc w:val="both"/>
        <w:rPr>
          <w:rFonts w:ascii="Georgia" w:eastAsia="Georgia" w:hAnsi="Georgia" w:cs="Georgia"/>
          <w:sz w:val="22"/>
          <w:szCs w:val="22"/>
        </w:rPr>
      </w:pPr>
    </w:p>
    <w:p w14:paraId="014E6552" w14:textId="77777777" w:rsidR="006E26D4" w:rsidRDefault="00285459">
      <w:pPr>
        <w:jc w:val="both"/>
        <w:rPr>
          <w:rFonts w:ascii="Georgia" w:eastAsia="Georgia" w:hAnsi="Georgia" w:cs="Georgia"/>
          <w:sz w:val="22"/>
          <w:szCs w:val="22"/>
        </w:rPr>
      </w:pPr>
      <w:r w:rsidRPr="00757901">
        <w:rPr>
          <w:rFonts w:ascii="Georgia" w:eastAsia="Georgia" w:hAnsi="Georgia" w:cs="Georgia"/>
          <w:sz w:val="22"/>
          <w:szCs w:val="22"/>
        </w:rPr>
        <w:t xml:space="preserve">PricewaterhouseCoopers Česká republika, s.r.o. </w:t>
      </w:r>
      <w:r>
        <w:rPr>
          <w:rFonts w:ascii="Georgia" w:eastAsia="Georgia" w:hAnsi="Georgia" w:cs="Georgia"/>
          <w:sz w:val="22"/>
          <w:szCs w:val="22"/>
        </w:rPr>
        <w:t xml:space="preserve">se sídlem </w:t>
      </w:r>
      <w:r w:rsidRPr="00757901">
        <w:rPr>
          <w:rFonts w:ascii="Georgia" w:eastAsia="Georgia" w:hAnsi="Georgia" w:cs="Georgia"/>
          <w:sz w:val="22"/>
          <w:szCs w:val="22"/>
        </w:rPr>
        <w:t xml:space="preserve">Hvězdova 1734/2c, 140 00 Praha 4 </w:t>
      </w:r>
      <w:r>
        <w:rPr>
          <w:rFonts w:ascii="Georgia" w:eastAsia="Georgia" w:hAnsi="Georgia" w:cs="Georgia"/>
          <w:sz w:val="22"/>
          <w:szCs w:val="22"/>
        </w:rPr>
        <w:t xml:space="preserve">IČO: </w:t>
      </w:r>
      <w:r w:rsidRPr="00757901">
        <w:rPr>
          <w:rFonts w:ascii="Georgia" w:eastAsia="Georgia" w:hAnsi="Georgia" w:cs="Georgia"/>
          <w:sz w:val="22"/>
          <w:szCs w:val="22"/>
        </w:rPr>
        <w:t xml:space="preserve">61063029 </w:t>
      </w:r>
      <w:r>
        <w:rPr>
          <w:rFonts w:ascii="Georgia" w:eastAsia="Georgia" w:hAnsi="Georgia" w:cs="Georgia"/>
          <w:sz w:val="22"/>
          <w:szCs w:val="22"/>
        </w:rPr>
        <w:t xml:space="preserve">DIČ: </w:t>
      </w:r>
      <w:r w:rsidRPr="00757901">
        <w:rPr>
          <w:rFonts w:ascii="Georgia" w:eastAsia="Georgia" w:hAnsi="Georgia" w:cs="Georgia"/>
          <w:sz w:val="22"/>
          <w:szCs w:val="22"/>
        </w:rPr>
        <w:t>CZ 61063029,</w:t>
      </w:r>
      <w:r>
        <w:rPr>
          <w:rFonts w:ascii="Georgia" w:eastAsia="Georgia" w:hAnsi="Georgia" w:cs="Georgia"/>
          <w:sz w:val="22"/>
          <w:szCs w:val="22"/>
        </w:rPr>
        <w:t xml:space="preserve"> zastoupená </w:t>
      </w:r>
      <w:r w:rsidRPr="00757901">
        <w:rPr>
          <w:rFonts w:ascii="Georgia" w:eastAsia="Georgia" w:hAnsi="Georgia" w:cs="Georgia"/>
          <w:sz w:val="22"/>
          <w:szCs w:val="22"/>
        </w:rPr>
        <w:t>Jiřím Moserem, jednatelem,</w:t>
      </w:r>
      <w:r>
        <w:rPr>
          <w:rFonts w:ascii="Georgia" w:eastAsia="Georgia" w:hAnsi="Georgia" w:cs="Georgia"/>
          <w:sz w:val="22"/>
          <w:szCs w:val="22"/>
        </w:rPr>
        <w:t xml:space="preserve"> dále jen jako „</w:t>
      </w:r>
      <w:r>
        <w:rPr>
          <w:rFonts w:ascii="Georgia" w:eastAsia="Georgia" w:hAnsi="Georgia" w:cs="Georgia"/>
          <w:b/>
          <w:sz w:val="22"/>
          <w:szCs w:val="22"/>
        </w:rPr>
        <w:t>Zpracovatel</w:t>
      </w:r>
      <w:r>
        <w:rPr>
          <w:rFonts w:ascii="Georgia" w:eastAsia="Georgia" w:hAnsi="Georgia" w:cs="Georgia"/>
          <w:sz w:val="22"/>
          <w:szCs w:val="22"/>
        </w:rPr>
        <w:t>” nebo “</w:t>
      </w:r>
      <w:r>
        <w:rPr>
          <w:rFonts w:ascii="Georgia" w:eastAsia="Georgia" w:hAnsi="Georgia" w:cs="Georgia"/>
          <w:b/>
          <w:sz w:val="22"/>
          <w:szCs w:val="22"/>
        </w:rPr>
        <w:t>PwC</w:t>
      </w:r>
      <w:r w:rsidR="00757901">
        <w:rPr>
          <w:rFonts w:ascii="Georgia" w:eastAsia="Georgia" w:hAnsi="Georgia" w:cs="Georgia"/>
          <w:b/>
          <w:sz w:val="22"/>
          <w:szCs w:val="22"/>
        </w:rPr>
        <w:t>.</w:t>
      </w:r>
      <w:r>
        <w:rPr>
          <w:rFonts w:ascii="Georgia" w:eastAsia="Georgia" w:hAnsi="Georgia" w:cs="Georgia"/>
          <w:sz w:val="22"/>
          <w:szCs w:val="22"/>
        </w:rPr>
        <w:t>”</w:t>
      </w:r>
    </w:p>
    <w:p w14:paraId="3791A9B2" w14:textId="77777777" w:rsidR="006E26D4" w:rsidRDefault="006E26D4">
      <w:pPr>
        <w:jc w:val="both"/>
        <w:rPr>
          <w:rFonts w:ascii="Georgia" w:eastAsia="Georgia" w:hAnsi="Georgia" w:cs="Georgia"/>
          <w:b/>
          <w:sz w:val="22"/>
          <w:szCs w:val="22"/>
        </w:rPr>
      </w:pPr>
    </w:p>
    <w:p w14:paraId="6A27E043" w14:textId="77777777" w:rsidR="006E26D4" w:rsidRDefault="006E26D4">
      <w:pPr>
        <w:jc w:val="both"/>
        <w:rPr>
          <w:rFonts w:ascii="Georgia" w:eastAsia="Georgia" w:hAnsi="Georgia" w:cs="Georgia"/>
          <w:b/>
          <w:sz w:val="22"/>
          <w:szCs w:val="22"/>
        </w:rPr>
      </w:pPr>
    </w:p>
    <w:p w14:paraId="16D36467"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1</w:t>
      </w:r>
    </w:p>
    <w:p w14:paraId="46BF72C6" w14:textId="77777777" w:rsidR="006E26D4" w:rsidRDefault="00285459">
      <w:pPr>
        <w:jc w:val="center"/>
        <w:rPr>
          <w:rFonts w:ascii="Georgia" w:eastAsia="Georgia" w:hAnsi="Georgia" w:cs="Georgia"/>
          <w:sz w:val="22"/>
          <w:szCs w:val="22"/>
        </w:rPr>
      </w:pPr>
      <w:r>
        <w:rPr>
          <w:rFonts w:ascii="Georgia" w:eastAsia="Georgia" w:hAnsi="Georgia" w:cs="Georgia"/>
          <w:b/>
          <w:sz w:val="22"/>
          <w:szCs w:val="22"/>
        </w:rPr>
        <w:t>Předmět Dohody</w:t>
      </w:r>
    </w:p>
    <w:p w14:paraId="39A2E7FA" w14:textId="3519E255"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bookmarkStart w:id="1" w:name="_gjdgxs" w:colFirst="0" w:colLast="0"/>
      <w:bookmarkEnd w:id="1"/>
      <w:r>
        <w:rPr>
          <w:rFonts w:ascii="Georgia" w:eastAsia="Georgia" w:hAnsi="Georgia" w:cs="Georgia"/>
          <w:color w:val="000000"/>
          <w:sz w:val="22"/>
          <w:szCs w:val="22"/>
        </w:rPr>
        <w:t>Tato Dohoda upravuje zpracování osobních údajů uvedených v Příloze č. 1 této Dohody (dále jen „</w:t>
      </w:r>
      <w:r>
        <w:rPr>
          <w:rFonts w:ascii="Georgia" w:eastAsia="Georgia" w:hAnsi="Georgia" w:cs="Georgia"/>
          <w:b/>
          <w:color w:val="000000"/>
          <w:sz w:val="22"/>
          <w:szCs w:val="22"/>
        </w:rPr>
        <w:t>Osobní údaje</w:t>
      </w:r>
      <w:r>
        <w:rPr>
          <w:rFonts w:ascii="Georgia" w:eastAsia="Georgia" w:hAnsi="Georgia" w:cs="Georgia"/>
          <w:color w:val="000000"/>
          <w:sz w:val="22"/>
          <w:szCs w:val="22"/>
        </w:rPr>
        <w:t xml:space="preserve">“) společností PwC pro Klienta a v souvislosti se službami poskytovanými společností PwC Klientovi na základě </w:t>
      </w:r>
      <w:r w:rsidRPr="00757901">
        <w:rPr>
          <w:rFonts w:ascii="Georgia" w:eastAsia="Georgia" w:hAnsi="Georgia" w:cs="Georgia"/>
          <w:color w:val="000000"/>
          <w:sz w:val="22"/>
          <w:szCs w:val="22"/>
        </w:rPr>
        <w:t>Smlouvy o poskytování služeb</w:t>
      </w:r>
      <w:r>
        <w:rPr>
          <w:rFonts w:ascii="Georgia" w:eastAsia="Georgia" w:hAnsi="Georgia" w:cs="Georgia"/>
          <w:color w:val="000000"/>
          <w:sz w:val="22"/>
          <w:szCs w:val="22"/>
        </w:rPr>
        <w:t xml:space="preserve"> ze dne </w:t>
      </w:r>
      <w:r w:rsidR="00790DF9">
        <w:rPr>
          <w:rFonts w:ascii="Georgia" w:eastAsia="Georgia" w:hAnsi="Georgia" w:cs="Georgia"/>
          <w:color w:val="000000"/>
          <w:sz w:val="22"/>
          <w:szCs w:val="22"/>
        </w:rPr>
        <w:t>15/4/20</w:t>
      </w:r>
      <w:r>
        <w:rPr>
          <w:rFonts w:ascii="Georgia" w:eastAsia="Georgia" w:hAnsi="Georgia" w:cs="Georgia"/>
          <w:i/>
          <w:color w:val="00B0F0"/>
          <w:sz w:val="22"/>
          <w:szCs w:val="22"/>
        </w:rPr>
        <w:t xml:space="preserve"> </w:t>
      </w:r>
      <w:r>
        <w:rPr>
          <w:rFonts w:ascii="Georgia" w:eastAsia="Georgia" w:hAnsi="Georgia" w:cs="Georgia"/>
          <w:color w:val="000000"/>
          <w:sz w:val="22"/>
          <w:szCs w:val="22"/>
        </w:rPr>
        <w:t xml:space="preserve"> (dále jen „</w:t>
      </w:r>
      <w:r>
        <w:rPr>
          <w:rFonts w:ascii="Georgia" w:eastAsia="Georgia" w:hAnsi="Georgia" w:cs="Georgia"/>
          <w:b/>
          <w:color w:val="000000"/>
          <w:sz w:val="22"/>
          <w:szCs w:val="22"/>
        </w:rPr>
        <w:t>Smlouva</w:t>
      </w:r>
      <w:r>
        <w:rPr>
          <w:rFonts w:ascii="Georgia" w:eastAsia="Georgia" w:hAnsi="Georgia" w:cs="Georgia"/>
          <w:color w:val="000000"/>
          <w:sz w:val="22"/>
          <w:szCs w:val="22"/>
        </w:rPr>
        <w:t>“).</w:t>
      </w:r>
    </w:p>
    <w:p w14:paraId="39AA37B0" w14:textId="77777777"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Správce tímto pověřuje Zpracovatele zpracováváním Osobních údajů pro Správce výhradně za účelem poskytování služeb, jakož i pro jiné účely uvedené v Příloze č. 1.</w:t>
      </w:r>
    </w:p>
    <w:p w14:paraId="52273AEB" w14:textId="77777777"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Klient a PwC mají zájem na dostání všem svým povinnostem vyplývajícím z nařízení Evropského parlamentu a Rady (EU) 2016/679, ze dne 27. dubna 2016, o ochraně fyzických osob v souvislosti se zpracováním osobních údajů a o volném pohybu těchto údajů, (dále jen „</w:t>
      </w:r>
      <w:r>
        <w:rPr>
          <w:rFonts w:ascii="Georgia" w:eastAsia="Georgia" w:hAnsi="Georgia" w:cs="Georgia"/>
          <w:b/>
          <w:color w:val="000000"/>
          <w:sz w:val="22"/>
          <w:szCs w:val="22"/>
        </w:rPr>
        <w:t>GDPR</w:t>
      </w:r>
      <w:r>
        <w:rPr>
          <w:rFonts w:ascii="Georgia" w:eastAsia="Georgia" w:hAnsi="Georgia" w:cs="Georgia"/>
          <w:color w:val="000000"/>
          <w:sz w:val="22"/>
          <w:szCs w:val="22"/>
        </w:rPr>
        <w:t>“) a veškerých příslušných právních předpisů o ochraně osobních údajů (dále jen „</w:t>
      </w:r>
      <w:r>
        <w:rPr>
          <w:rFonts w:ascii="Georgia" w:eastAsia="Georgia" w:hAnsi="Georgia" w:cs="Georgia"/>
          <w:b/>
          <w:color w:val="000000"/>
          <w:sz w:val="22"/>
          <w:szCs w:val="22"/>
        </w:rPr>
        <w:t>Zákony na ochranu osobních údajů</w:t>
      </w:r>
      <w:r>
        <w:rPr>
          <w:rFonts w:ascii="Georgia" w:eastAsia="Georgia" w:hAnsi="Georgia" w:cs="Georgia"/>
          <w:color w:val="000000"/>
          <w:sz w:val="22"/>
          <w:szCs w:val="22"/>
        </w:rPr>
        <w:t>“).</w:t>
      </w:r>
    </w:p>
    <w:p w14:paraId="460C3D5C" w14:textId="77777777"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Pro účely této Dohody mají termíny „správce“, „zpracovatel“ a „porušení zabezpečení osobních údajů“ význam uvedený v GDPR. „Subdodavatelem“ se rozumí jiný zpracovatel zapojený do zpracování Osobních údajů společností PwC.</w:t>
      </w:r>
    </w:p>
    <w:p w14:paraId="5E9AD327" w14:textId="77777777"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Povaha a účel zpracování Osobních údajů, jakož i doba trvání zpracování Osobních údajů, jsou uvedeny v Příloze č. 1.</w:t>
      </w:r>
    </w:p>
    <w:p w14:paraId="74A36C1C" w14:textId="77777777" w:rsidR="006E26D4" w:rsidRDefault="00285459">
      <w:pPr>
        <w:numPr>
          <w:ilvl w:val="0"/>
          <w:numId w:val="2"/>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Tato Dohoda se vztahuje pouze na Osobní údaje. Společnost PwC nemá žádné závazky (není nijak odpovědná) dle této Dohody v souvislosti s dalšími osobními údaji.</w:t>
      </w:r>
    </w:p>
    <w:p w14:paraId="3C77726C" w14:textId="77777777" w:rsidR="006E26D4" w:rsidRDefault="006E26D4">
      <w:pPr>
        <w:ind w:left="360"/>
        <w:jc w:val="both"/>
        <w:rPr>
          <w:rFonts w:ascii="Georgia" w:eastAsia="Georgia" w:hAnsi="Georgia" w:cs="Georgia"/>
          <w:b/>
          <w:sz w:val="22"/>
          <w:szCs w:val="22"/>
        </w:rPr>
      </w:pPr>
    </w:p>
    <w:p w14:paraId="4D6D63A3"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2</w:t>
      </w:r>
    </w:p>
    <w:p w14:paraId="78944C36" w14:textId="77777777" w:rsidR="006E26D4" w:rsidRDefault="00285459">
      <w:pPr>
        <w:jc w:val="center"/>
        <w:rPr>
          <w:rFonts w:ascii="Georgia" w:eastAsia="Georgia" w:hAnsi="Georgia" w:cs="Georgia"/>
          <w:sz w:val="22"/>
          <w:szCs w:val="22"/>
        </w:rPr>
      </w:pPr>
      <w:r>
        <w:rPr>
          <w:rFonts w:ascii="Georgia" w:eastAsia="Georgia" w:hAnsi="Georgia" w:cs="Georgia"/>
          <w:b/>
          <w:sz w:val="22"/>
          <w:szCs w:val="22"/>
        </w:rPr>
        <w:t>Povinnosti zpracovatele</w:t>
      </w:r>
    </w:p>
    <w:p w14:paraId="6C3CB850" w14:textId="77777777" w:rsidR="006E26D4" w:rsidRDefault="00285459">
      <w:pPr>
        <w:numPr>
          <w:ilvl w:val="0"/>
          <w:numId w:val="6"/>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PwC má povinnost:</w:t>
      </w:r>
    </w:p>
    <w:p w14:paraId="7077C946"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zpracovávat Osobní údaje pouze na základě doložených pokynů Klienta a pro účely uvedené v této Dohodě, pokud zpracování nevyžaduje GDPR nebo jiné Zákony na ochranu osobních údajů; v takovém případě PwC předem informuje Klienta o takovém požadavku, pokud právní předpis nezakazuje poskytnutí takovýchto informací;</w:t>
      </w:r>
    </w:p>
    <w:p w14:paraId="3E717824"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zajistit, aby se osoby oprávněné zpracovávat Osobní údaje zavázaly k zachování důvěrnosti, nebo aby byly vázány příslušnou zákonnou povinností důvěrnosti;</w:t>
      </w:r>
    </w:p>
    <w:p w14:paraId="221AE4B5"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přijmout vhodná technická a organizační opatření požadovaná podle článku 32 GDPR a dalších Zákonů na ochranu osobních údajů, přičemž zohlední (i) nejnovější stav techniky, (ii) náklady na provádění, (iii) povahu, rozsah a účel zpracování, a iv) rizika pro subjekty údajů;</w:t>
      </w:r>
    </w:p>
    <w:p w14:paraId="7CC4AF3E"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respektovat podmínky uvedené v § 4 této Dohody pro zapojení Subdodavatelů;</w:t>
      </w:r>
    </w:p>
    <w:p w14:paraId="2083E645"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 xml:space="preserve">při zohlednění povahy zpracování, a pokud je to možné, napomáhat Klientovi zavedením vhodných technických a organizačních opatření k plnění povinností </w:t>
      </w:r>
      <w:r>
        <w:rPr>
          <w:rFonts w:ascii="Georgia" w:eastAsia="Georgia" w:hAnsi="Georgia" w:cs="Georgia"/>
          <w:color w:val="000000"/>
          <w:sz w:val="22"/>
          <w:szCs w:val="22"/>
        </w:rPr>
        <w:lastRenderedPageBreak/>
        <w:t>Klienta reagovat na žádosti o uplatnění práv subjektů údajů stanovených v kapitole III GDPR;</w:t>
      </w:r>
    </w:p>
    <w:p w14:paraId="7F25AB92"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při zohlednění povahy zpracování a informací, které má PwC k dispozici, pomáhat Klientovi při zajišťování dodržování povinností podle článků 32 až 36 GDPR;</w:t>
      </w:r>
    </w:p>
    <w:p w14:paraId="6333FD51"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na základě volby Klienta - a na jeho písemnou žádost – smazat, nebo vrátit veškeré Osobní údaje Klientovi po ukončení poskytování služeb podle Smlouvy, nebo po uplynutí doby zpracování údajů stanovené touto Dohodou, a vymazat stávající kopie, pokud GDPR nebo jiné Zákony na ochranu osobních údajů nevyžadují uložení Osobních údajů, nebo není-li PwC oprávněno zpracovávat Osobní údaje na základě nezávislých právních důvodů jako správce osobních údajů;</w:t>
      </w:r>
    </w:p>
    <w:p w14:paraId="5C8A013D"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na základě písemné žádosti Klienta zpřístupnit Klientovi informace nezbytné k prokázání splnění povinností stanovených v článku 28 GDPR, pokud jsou požadované informace ve vlastnictví PwC nebo nad nimi má PwC kontrolu; PwC je povinno poskytnout informace uvedené v předchozí větě pouze v míře, která není v rozporu s účinnými právními předpisy, profesními normami nebo povinností důvěrnosti vůči třetím stranám;</w:t>
      </w:r>
    </w:p>
    <w:p w14:paraId="355E61D2"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informovat Klienta, pokud podle PwC pokyny Klienta porušují GDPR nebo jiné Zákony na ochranu osobních údajů;</w:t>
      </w:r>
    </w:p>
    <w:p w14:paraId="00DB74E8" w14:textId="77777777" w:rsidR="006E26D4" w:rsidRDefault="00285459">
      <w:pPr>
        <w:numPr>
          <w:ilvl w:val="1"/>
          <w:numId w:val="6"/>
        </w:numPr>
        <w:pBdr>
          <w:top w:val="nil"/>
          <w:left w:val="nil"/>
          <w:bottom w:val="nil"/>
          <w:right w:val="nil"/>
          <w:between w:val="nil"/>
        </w:pBdr>
        <w:ind w:left="1134" w:hanging="425"/>
        <w:jc w:val="both"/>
        <w:rPr>
          <w:rFonts w:ascii="Georgia" w:eastAsia="Georgia" w:hAnsi="Georgia" w:cs="Georgia"/>
          <w:color w:val="000000"/>
          <w:sz w:val="22"/>
          <w:szCs w:val="22"/>
        </w:rPr>
      </w:pPr>
      <w:r>
        <w:rPr>
          <w:rFonts w:ascii="Georgia" w:eastAsia="Georgia" w:hAnsi="Georgia" w:cs="Georgia"/>
          <w:color w:val="000000"/>
          <w:sz w:val="22"/>
          <w:szCs w:val="22"/>
        </w:rPr>
        <w:t>umožnit a poskytnout nezbytnou součinnost k auditům prováděným Klientem v souladu s podmínkami stanovenými v § 5 této Dohody.</w:t>
      </w:r>
    </w:p>
    <w:p w14:paraId="7E20A3EC" w14:textId="1A5BF38A" w:rsidR="006E26D4" w:rsidRDefault="00285459">
      <w:pPr>
        <w:numPr>
          <w:ilvl w:val="0"/>
          <w:numId w:val="6"/>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 xml:space="preserve">PwC oznámí Klientovi porušení zabezpečení osobních údajů bez zbytečného odkladu po zjištění tohoto porušení. Oznámení podle předchozí věty bude Klientovi poskytnuto e-mailem na následující e-mailovou adresu: </w:t>
      </w:r>
      <w:r w:rsidR="00790DF9">
        <w:rPr>
          <w:rFonts w:ascii="Georgia" w:eastAsia="Georgia" w:hAnsi="Georgia" w:cs="Georgia"/>
          <w:b/>
          <w:bCs/>
          <w:color w:val="000000"/>
          <w:sz w:val="22"/>
          <w:szCs w:val="22"/>
        </w:rPr>
        <w:t>XXXXXXXXXX</w:t>
      </w:r>
      <w:r w:rsidR="00757901">
        <w:rPr>
          <w:rFonts w:ascii="Georgia" w:eastAsia="Georgia" w:hAnsi="Georgia" w:cs="Georgia"/>
          <w:color w:val="000000"/>
          <w:sz w:val="22"/>
          <w:szCs w:val="22"/>
        </w:rPr>
        <w:t>.</w:t>
      </w:r>
    </w:p>
    <w:p w14:paraId="453D850E" w14:textId="77777777" w:rsidR="006E26D4" w:rsidRDefault="00285459">
      <w:pPr>
        <w:numPr>
          <w:ilvl w:val="0"/>
          <w:numId w:val="6"/>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Klient může použít informace získané od PwC podle tohoto § 2 pouze k zajištění a/nebo prokázání souladu s GDPR nebo jinými Zákony na ochranu osobních údajů. Klient je povinen tyto informace uchovávat jako důvěrné, pokud se nejedná o důvěrné informace Klienta nebo pokud tyto informace nemusí být zveřejněny podle účinných právních předpisů.</w:t>
      </w:r>
    </w:p>
    <w:p w14:paraId="642633E3" w14:textId="77777777" w:rsidR="006E26D4" w:rsidRDefault="00285459">
      <w:pPr>
        <w:numPr>
          <w:ilvl w:val="0"/>
          <w:numId w:val="6"/>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V rozsahu povoleném kogentními ustanoveními zákona bude PwC odpovědné pouze za vlastní jednání nebo opomenutí. Celková odpovědnost PwC (včetně úroků) za veškeré nároky související s jakýmkoli porušením této Dohody, jakož i veškeré nároky vznesené v rámci Smlouvy (zejména odpovědnosti za nedbalost), je omezena na dvojnásobek výše ceny za služby podle Smlouvy nebo skutečné škody, podle toho, která částka je nižší. PwC není odpovědné za (i) ztrátu zisku, dobrého jména/pověsti, obchodních příležitostí, očekávaných úspor nebo výhod, (ii) nepřímé nebo následné ztráty.</w:t>
      </w:r>
    </w:p>
    <w:p w14:paraId="28A18872" w14:textId="77777777" w:rsidR="006E26D4" w:rsidRDefault="00285459">
      <w:pPr>
        <w:numPr>
          <w:ilvl w:val="0"/>
          <w:numId w:val="6"/>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Klient souhlasí se vznesením jakéhokoli nároku v souvislosti s touto Dohodou pouze vůči společnosti PwC a nikoli vůči jakémukoliv jednotlivci.</w:t>
      </w:r>
    </w:p>
    <w:p w14:paraId="57FC565A" w14:textId="77777777" w:rsidR="006E26D4" w:rsidRDefault="006E26D4">
      <w:pPr>
        <w:jc w:val="center"/>
        <w:rPr>
          <w:rFonts w:ascii="Georgia" w:eastAsia="Georgia" w:hAnsi="Georgia" w:cs="Georgia"/>
          <w:b/>
          <w:sz w:val="22"/>
          <w:szCs w:val="22"/>
        </w:rPr>
      </w:pPr>
    </w:p>
    <w:p w14:paraId="0689ABD7"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3</w:t>
      </w:r>
    </w:p>
    <w:p w14:paraId="6A921538" w14:textId="77777777" w:rsidR="006E26D4" w:rsidRDefault="00285459">
      <w:pPr>
        <w:jc w:val="center"/>
        <w:rPr>
          <w:rFonts w:ascii="Georgia" w:eastAsia="Georgia" w:hAnsi="Georgia" w:cs="Georgia"/>
          <w:sz w:val="22"/>
          <w:szCs w:val="22"/>
        </w:rPr>
      </w:pPr>
      <w:r>
        <w:rPr>
          <w:rFonts w:ascii="Georgia" w:eastAsia="Georgia" w:hAnsi="Georgia" w:cs="Georgia"/>
          <w:b/>
          <w:sz w:val="22"/>
          <w:szCs w:val="22"/>
        </w:rPr>
        <w:t>Povinnosti správce</w:t>
      </w:r>
    </w:p>
    <w:p w14:paraId="0144F571" w14:textId="77777777" w:rsidR="006E26D4" w:rsidRDefault="00285459">
      <w:pPr>
        <w:numPr>
          <w:ilvl w:val="0"/>
          <w:numId w:val="7"/>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Klient zajistí plný soulad s GDPR a všemi ostatními Zákony na ochranu osobních údajů. Zejména Klient zajistí, aby:</w:t>
      </w:r>
    </w:p>
    <w:p w14:paraId="4D889956" w14:textId="77777777" w:rsidR="006E26D4" w:rsidRDefault="00285459">
      <w:pPr>
        <w:numPr>
          <w:ilvl w:val="0"/>
          <w:numId w:val="8"/>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zpracovával Osobní údaje v souladu s GDPR a všemi ostatními Zákony na ochranu osobních údajů, zejména aby měl kompetenci a potřebné oprávnění od všech příslušných subjektů údajů k tomu, aby PwC mohlo užívat a předávat takové Osobní údaje v souladu s Dohodou, a aby tyto subjekty údajů dostaly potřebné informace týkající se použití Osobních údajů;</w:t>
      </w:r>
    </w:p>
    <w:p w14:paraId="0C6F554F" w14:textId="77777777" w:rsidR="006E26D4" w:rsidRDefault="00285459">
      <w:pPr>
        <w:numPr>
          <w:ilvl w:val="0"/>
          <w:numId w:val="8"/>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pokyny vůči PwC týkající se zpracování Osobních údajů byly v souladu s GDPR a všemi ostatními Zákony na ochranu osobních údajů.</w:t>
      </w:r>
    </w:p>
    <w:p w14:paraId="26286735" w14:textId="77777777" w:rsidR="006E26D4" w:rsidRDefault="00285459">
      <w:pPr>
        <w:numPr>
          <w:ilvl w:val="0"/>
          <w:numId w:val="7"/>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Klient se zavazuje neprodleně písemně informovat PwC o nedostatcích, které zjistí v rámci zpracování těchto Osobních údajů společností PwC podle této Dohody.</w:t>
      </w:r>
    </w:p>
    <w:p w14:paraId="770C15DF" w14:textId="77777777" w:rsidR="006E26D4" w:rsidRDefault="006E26D4">
      <w:pPr>
        <w:jc w:val="center"/>
        <w:rPr>
          <w:rFonts w:ascii="Georgia" w:eastAsia="Georgia" w:hAnsi="Georgia" w:cs="Georgia"/>
          <w:b/>
          <w:sz w:val="22"/>
          <w:szCs w:val="22"/>
        </w:rPr>
      </w:pPr>
    </w:p>
    <w:p w14:paraId="25B00001" w14:textId="77777777" w:rsidR="006E26D4" w:rsidRDefault="006E26D4">
      <w:pPr>
        <w:jc w:val="center"/>
        <w:rPr>
          <w:rFonts w:ascii="Georgia" w:eastAsia="Georgia" w:hAnsi="Georgia" w:cs="Georgia"/>
          <w:b/>
          <w:sz w:val="22"/>
          <w:szCs w:val="22"/>
        </w:rPr>
      </w:pPr>
    </w:p>
    <w:p w14:paraId="6BFCE0BB"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4</w:t>
      </w:r>
    </w:p>
    <w:p w14:paraId="5F4652E1"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Subdodavatelé</w:t>
      </w:r>
    </w:p>
    <w:p w14:paraId="27E65FC6" w14:textId="77777777" w:rsidR="006E26D4" w:rsidRDefault="00285459">
      <w:pPr>
        <w:numPr>
          <w:ilvl w:val="0"/>
          <w:numId w:val="9"/>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 xml:space="preserve">Správce tímto povoluje PwC, aby jmenovalo následující subjekty jako Subdodavatele: (i) jiné společnosti skupiny PwC (tj. jakýkoli subjekt v rámci celosvětové sítě entit </w:t>
      </w:r>
      <w:r>
        <w:rPr>
          <w:rFonts w:ascii="Georgia" w:eastAsia="Georgia" w:hAnsi="Georgia" w:cs="Georgia"/>
          <w:color w:val="000000"/>
          <w:sz w:val="22"/>
          <w:szCs w:val="22"/>
        </w:rPr>
        <w:lastRenderedPageBreak/>
        <w:t>PricewaterhouseCoopers International Limited), (ii) poskytovatele služeb IT pro PwC nebo jiné společnosti PwC, a (iii) subdodavatele PwC nebo jiných společností PwC. PwC bude informovat Klienta o všech zamýšlených změnách týkajících se přidání nebo nahrazení dalších Subdodavatelů jmenovaných v souvislosti s touto Dohodou.</w:t>
      </w:r>
    </w:p>
    <w:p w14:paraId="4BF50732" w14:textId="77777777" w:rsidR="006E26D4" w:rsidRDefault="00285459">
      <w:pPr>
        <w:numPr>
          <w:ilvl w:val="0"/>
          <w:numId w:val="9"/>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PwC je povinno uložit Subdodavatelům stejné povinnosti týkající se ochrany údajů, které jsou stanoveny v této Dohodě. Pokud Subdodavatel nesplní svou povinnost týkající se ochrany Osobních údajů, PwC odpovídá Klientovi za plnění takových závazků Subdodavatele.</w:t>
      </w:r>
    </w:p>
    <w:p w14:paraId="38E630D9" w14:textId="77777777" w:rsidR="006E26D4" w:rsidRDefault="006E26D4">
      <w:pPr>
        <w:jc w:val="center"/>
        <w:rPr>
          <w:rFonts w:ascii="Georgia" w:eastAsia="Georgia" w:hAnsi="Georgia" w:cs="Georgia"/>
          <w:b/>
          <w:sz w:val="22"/>
          <w:szCs w:val="22"/>
        </w:rPr>
      </w:pPr>
    </w:p>
    <w:p w14:paraId="71ECBB30"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5</w:t>
      </w:r>
    </w:p>
    <w:p w14:paraId="21D60FC8"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Audity</w:t>
      </w:r>
    </w:p>
    <w:p w14:paraId="2C284280" w14:textId="365FD222" w:rsidR="006E26D4" w:rsidRDefault="00285459">
      <w:pPr>
        <w:numPr>
          <w:ilvl w:val="0"/>
          <w:numId w:val="1"/>
        </w:numPr>
        <w:pBdr>
          <w:top w:val="nil"/>
          <w:left w:val="nil"/>
          <w:bottom w:val="nil"/>
          <w:right w:val="nil"/>
          <w:between w:val="nil"/>
        </w:pBdr>
        <w:ind w:left="709"/>
        <w:jc w:val="both"/>
        <w:rPr>
          <w:rFonts w:ascii="Georgia" w:eastAsia="Georgia" w:hAnsi="Georgia" w:cs="Georgia"/>
          <w:color w:val="000000"/>
          <w:sz w:val="22"/>
          <w:szCs w:val="22"/>
        </w:rPr>
      </w:pPr>
      <w:r>
        <w:rPr>
          <w:rFonts w:ascii="Georgia" w:eastAsia="Georgia" w:hAnsi="Georgia" w:cs="Georgia"/>
          <w:color w:val="000000"/>
          <w:sz w:val="22"/>
          <w:szCs w:val="22"/>
        </w:rPr>
        <w:t xml:space="preserve">Klient může provádět audity v souladu s tímto § 5 písemným dožádáním relevantních </w:t>
      </w:r>
      <w:r w:rsidR="001E63E1">
        <w:rPr>
          <w:rFonts w:ascii="Georgia" w:eastAsia="Georgia" w:hAnsi="Georgia" w:cs="Georgia"/>
          <w:color w:val="000000"/>
          <w:sz w:val="22"/>
          <w:szCs w:val="22"/>
        </w:rPr>
        <w:t xml:space="preserve">informací od společnosti PwC, </w:t>
      </w:r>
      <w:r>
        <w:rPr>
          <w:rFonts w:ascii="Georgia" w:eastAsia="Georgia" w:hAnsi="Georgia" w:cs="Georgia"/>
          <w:color w:val="000000"/>
          <w:sz w:val="22"/>
          <w:szCs w:val="22"/>
        </w:rPr>
        <w:t>jedině pro účely kontroly plnění povinností PwC dle této Dohody.</w:t>
      </w:r>
    </w:p>
    <w:p w14:paraId="1F8BEFFC" w14:textId="77777777" w:rsidR="006E26D4" w:rsidRDefault="00285459">
      <w:pPr>
        <w:numPr>
          <w:ilvl w:val="0"/>
          <w:numId w:val="1"/>
        </w:numPr>
        <w:pBdr>
          <w:top w:val="nil"/>
          <w:left w:val="nil"/>
          <w:bottom w:val="nil"/>
          <w:right w:val="nil"/>
          <w:between w:val="nil"/>
        </w:pBdr>
        <w:ind w:left="709"/>
        <w:jc w:val="both"/>
        <w:rPr>
          <w:rFonts w:ascii="Georgia" w:eastAsia="Georgia" w:hAnsi="Georgia" w:cs="Georgia"/>
          <w:color w:val="000000"/>
          <w:sz w:val="22"/>
          <w:szCs w:val="22"/>
        </w:rPr>
      </w:pPr>
      <w:r>
        <w:rPr>
          <w:rFonts w:ascii="Georgia" w:eastAsia="Georgia" w:hAnsi="Georgia" w:cs="Georgia"/>
          <w:color w:val="000000"/>
          <w:sz w:val="22"/>
          <w:szCs w:val="22"/>
        </w:rPr>
        <w:t xml:space="preserve">Audity může provádět buď (i) Klient, nebo (ii) třetí osoba pověřená Klientem a předem dohodnutá se společností PwC. Pokud PwC a Klient nedosáhnou shody na třetí osobě, která by měla provést audit podle bodu (ii) předchozí věty, audit může provést výhradně Klient. </w:t>
      </w:r>
    </w:p>
    <w:p w14:paraId="568254F6" w14:textId="77777777" w:rsidR="006E26D4" w:rsidRDefault="00285459">
      <w:pPr>
        <w:numPr>
          <w:ilvl w:val="0"/>
          <w:numId w:val="1"/>
        </w:numPr>
        <w:pBdr>
          <w:top w:val="nil"/>
          <w:left w:val="nil"/>
          <w:bottom w:val="nil"/>
          <w:right w:val="nil"/>
          <w:between w:val="nil"/>
        </w:pBdr>
        <w:ind w:left="709"/>
        <w:jc w:val="both"/>
        <w:rPr>
          <w:rFonts w:ascii="Georgia" w:eastAsia="Georgia" w:hAnsi="Georgia" w:cs="Georgia"/>
          <w:color w:val="000000"/>
          <w:sz w:val="22"/>
          <w:szCs w:val="22"/>
        </w:rPr>
      </w:pPr>
      <w:r>
        <w:rPr>
          <w:rFonts w:ascii="Georgia" w:eastAsia="Georgia" w:hAnsi="Georgia" w:cs="Georgia"/>
          <w:color w:val="000000"/>
          <w:sz w:val="22"/>
          <w:szCs w:val="22"/>
        </w:rPr>
        <w:t xml:space="preserve">Žádost o informace musí být adresována </w:t>
      </w:r>
      <w:r w:rsidR="00757901">
        <w:rPr>
          <w:rFonts w:ascii="Georgia" w:eastAsia="Georgia" w:hAnsi="Georgia" w:cs="Georgia"/>
          <w:color w:val="000000"/>
          <w:sz w:val="22"/>
          <w:szCs w:val="22"/>
        </w:rPr>
        <w:t xml:space="preserve">na kontaktní email: </w:t>
      </w:r>
      <w:r w:rsidR="00757901" w:rsidRPr="00757901">
        <w:rPr>
          <w:rFonts w:ascii="Georgia" w:eastAsia="Georgia" w:hAnsi="Georgia" w:cs="Georgia"/>
          <w:b/>
          <w:bCs/>
          <w:color w:val="000000"/>
          <w:sz w:val="22"/>
          <w:szCs w:val="22"/>
        </w:rPr>
        <w:t>dpo</w:t>
      </w:r>
      <w:r w:rsidR="00757901" w:rsidRPr="007C71B9">
        <w:rPr>
          <w:rFonts w:ascii="Georgia" w:eastAsia="Georgia" w:hAnsi="Georgia" w:cs="Georgia"/>
          <w:b/>
          <w:bCs/>
          <w:color w:val="000000"/>
          <w:sz w:val="22"/>
          <w:szCs w:val="22"/>
        </w:rPr>
        <w:t>@cz.pwc.cz</w:t>
      </w:r>
      <w:r>
        <w:rPr>
          <w:rFonts w:ascii="Georgia" w:eastAsia="Georgia" w:hAnsi="Georgia" w:cs="Georgia"/>
          <w:color w:val="000000"/>
          <w:sz w:val="22"/>
          <w:szCs w:val="22"/>
        </w:rPr>
        <w:t xml:space="preserve"> a musí specifikovat konkrétní informaci, záznamy a další dokumenty, které budou od PwC v rámci auditu požadovány.</w:t>
      </w:r>
    </w:p>
    <w:p w14:paraId="610246F8" w14:textId="77777777" w:rsidR="006E26D4" w:rsidRDefault="00285459">
      <w:pPr>
        <w:numPr>
          <w:ilvl w:val="0"/>
          <w:numId w:val="1"/>
        </w:numPr>
        <w:pBdr>
          <w:top w:val="nil"/>
          <w:left w:val="nil"/>
          <w:bottom w:val="nil"/>
          <w:right w:val="nil"/>
          <w:between w:val="nil"/>
        </w:pBdr>
        <w:ind w:left="709"/>
        <w:jc w:val="both"/>
        <w:rPr>
          <w:rFonts w:ascii="Georgia" w:eastAsia="Georgia" w:hAnsi="Georgia" w:cs="Georgia"/>
          <w:color w:val="000000"/>
          <w:sz w:val="22"/>
          <w:szCs w:val="22"/>
        </w:rPr>
      </w:pPr>
      <w:r>
        <w:rPr>
          <w:rFonts w:ascii="Georgia" w:eastAsia="Georgia" w:hAnsi="Georgia" w:cs="Georgia"/>
          <w:color w:val="000000"/>
          <w:sz w:val="22"/>
          <w:szCs w:val="22"/>
        </w:rPr>
        <w:t>Bez ohledu na výše uvedená ustanovení se Klient a PwC dohodli, že:</w:t>
      </w:r>
    </w:p>
    <w:p w14:paraId="2F697D9F" w14:textId="77777777" w:rsidR="006E26D4" w:rsidRDefault="00285459">
      <w:pPr>
        <w:numPr>
          <w:ilvl w:val="0"/>
          <w:numId w:val="3"/>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PwC poskytne Klientovi pouze informace, záznamy a dokumenty, jejichž požadování je přiměřené k prokázání  toho, že PwC dodržuje své závazky dle této Dohody;</w:t>
      </w:r>
    </w:p>
    <w:p w14:paraId="7D051B51" w14:textId="77777777" w:rsidR="006E26D4" w:rsidRDefault="00285459">
      <w:pPr>
        <w:numPr>
          <w:ilvl w:val="0"/>
          <w:numId w:val="3"/>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 xml:space="preserve">PwC nezpřístupní žádné informace, záznamy nebo jiné dokumenty, které jsou předmětem obchodního tajemství PwC; </w:t>
      </w:r>
    </w:p>
    <w:p w14:paraId="47F5FB78" w14:textId="77777777" w:rsidR="006E26D4" w:rsidRDefault="00285459">
      <w:pPr>
        <w:numPr>
          <w:ilvl w:val="0"/>
          <w:numId w:val="3"/>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PwC nezpřístupní žádné informace, záznamy nebo jiné dokumenty, jejichž zpřístupnění by znamenalo porušení povinnosti týkající se důvěrnosti podle příslušných zákonů nebo profesních norem ze strany PwC;</w:t>
      </w:r>
    </w:p>
    <w:p w14:paraId="42BD0CFA" w14:textId="77777777" w:rsidR="006E26D4" w:rsidRDefault="00285459">
      <w:pPr>
        <w:numPr>
          <w:ilvl w:val="0"/>
          <w:numId w:val="3"/>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PwC nezveřejní žádné informace, záznamy nebo jiné dokumenty související se záležitostí, která je předmětem současného, probíhajícího nebo hrozícího soudního sporu nebo jiného mechanismu řešení sporů mezi Klientem a PwC;</w:t>
      </w:r>
    </w:p>
    <w:p w14:paraId="69A79940" w14:textId="77777777" w:rsidR="006E26D4" w:rsidRDefault="00285459">
      <w:pPr>
        <w:numPr>
          <w:ilvl w:val="0"/>
          <w:numId w:val="3"/>
        </w:num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veškeré informace, záznamy nebo jiné dokumenty poskytnuté Klientovi podle tohoto § 5 musí být Klientem považovány za důvěrné.</w:t>
      </w:r>
    </w:p>
    <w:p w14:paraId="5DAF228F" w14:textId="77777777" w:rsidR="006E26D4" w:rsidRDefault="00285459">
      <w:pPr>
        <w:numPr>
          <w:ilvl w:val="0"/>
          <w:numId w:val="1"/>
        </w:numPr>
        <w:pBdr>
          <w:top w:val="nil"/>
          <w:left w:val="nil"/>
          <w:bottom w:val="nil"/>
          <w:right w:val="nil"/>
          <w:between w:val="nil"/>
        </w:pBdr>
        <w:ind w:left="709"/>
        <w:jc w:val="both"/>
        <w:rPr>
          <w:rFonts w:ascii="Georgia" w:eastAsia="Georgia" w:hAnsi="Georgia" w:cs="Georgia"/>
          <w:color w:val="000000"/>
          <w:sz w:val="22"/>
          <w:szCs w:val="22"/>
        </w:rPr>
      </w:pPr>
      <w:r>
        <w:rPr>
          <w:rFonts w:ascii="Georgia" w:eastAsia="Georgia" w:hAnsi="Georgia" w:cs="Georgia"/>
          <w:color w:val="000000"/>
          <w:sz w:val="22"/>
          <w:szCs w:val="22"/>
        </w:rPr>
        <w:t>Klient může vykonávat své právo provádět audit podle tohoto § 5 nejvýše jednou v kalendářním roce. Toto právo Klient v každém případě pozbývá do 2 měsíců od ukončení zpracování Osobních údajů společností PwC pro Klienta dle této Dohody.</w:t>
      </w:r>
    </w:p>
    <w:p w14:paraId="22CDC0E3" w14:textId="77777777" w:rsidR="006E26D4" w:rsidRDefault="006E26D4">
      <w:pPr>
        <w:jc w:val="center"/>
        <w:rPr>
          <w:rFonts w:ascii="Georgia" w:eastAsia="Georgia" w:hAnsi="Georgia" w:cs="Georgia"/>
          <w:b/>
          <w:sz w:val="22"/>
          <w:szCs w:val="22"/>
        </w:rPr>
      </w:pPr>
    </w:p>
    <w:p w14:paraId="4A6D7E62"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 6</w:t>
      </w:r>
    </w:p>
    <w:p w14:paraId="65965F19" w14:textId="77777777" w:rsidR="006E26D4" w:rsidRDefault="00285459">
      <w:pPr>
        <w:jc w:val="center"/>
        <w:rPr>
          <w:rFonts w:ascii="Georgia" w:eastAsia="Georgia" w:hAnsi="Georgia" w:cs="Georgia"/>
          <w:b/>
          <w:sz w:val="22"/>
          <w:szCs w:val="22"/>
        </w:rPr>
      </w:pPr>
      <w:r>
        <w:rPr>
          <w:rFonts w:ascii="Georgia" w:eastAsia="Georgia" w:hAnsi="Georgia" w:cs="Georgia"/>
          <w:b/>
          <w:sz w:val="22"/>
          <w:szCs w:val="22"/>
        </w:rPr>
        <w:t>Závěrečná ujednání</w:t>
      </w:r>
    </w:p>
    <w:p w14:paraId="54CB38B1" w14:textId="77777777" w:rsidR="006E26D4" w:rsidRDefault="00285459">
      <w:pPr>
        <w:numPr>
          <w:ilvl w:val="0"/>
          <w:numId w:val="4"/>
        </w:numPr>
        <w:pBdr>
          <w:top w:val="nil"/>
          <w:left w:val="nil"/>
          <w:bottom w:val="nil"/>
          <w:right w:val="nil"/>
          <w:between w:val="nil"/>
        </w:pBdr>
        <w:ind w:left="851" w:hanging="425"/>
        <w:jc w:val="both"/>
        <w:rPr>
          <w:color w:val="000000"/>
          <w:sz w:val="22"/>
          <w:szCs w:val="22"/>
        </w:rPr>
      </w:pPr>
      <w:r>
        <w:rPr>
          <w:rFonts w:ascii="Georgia" w:eastAsia="Georgia" w:hAnsi="Georgia" w:cs="Georgia"/>
          <w:color w:val="000000"/>
          <w:sz w:val="22"/>
          <w:szCs w:val="22"/>
        </w:rPr>
        <w:t>Tato Dohoda je účinnou ode dne jejího podpisu oběma stranami, a to do doby ukončení zpracování Osobních údajů PwC pro Klienta ve spojení se službami, které PwC Klientovi poskytuje na základě Smlouvy. Tímto není dotčeno právo uchovávat Osobní údaje společností PwC, jenž je možné realizovat na základě této Dohody a/nebo podle právních předpisů, které se vztahují, nebo se budou vztahovat na PwC.</w:t>
      </w:r>
    </w:p>
    <w:p w14:paraId="134ACCC0" w14:textId="77777777" w:rsidR="006E26D4" w:rsidRDefault="00285459">
      <w:pPr>
        <w:numPr>
          <w:ilvl w:val="0"/>
          <w:numId w:val="4"/>
        </w:numPr>
        <w:pBdr>
          <w:top w:val="nil"/>
          <w:left w:val="nil"/>
          <w:bottom w:val="nil"/>
          <w:right w:val="nil"/>
          <w:between w:val="nil"/>
        </w:pBdr>
        <w:ind w:left="851" w:hanging="425"/>
        <w:jc w:val="both"/>
        <w:rPr>
          <w:color w:val="000000"/>
          <w:sz w:val="22"/>
          <w:szCs w:val="22"/>
        </w:rPr>
      </w:pPr>
      <w:r>
        <w:rPr>
          <w:rFonts w:ascii="Georgia" w:eastAsia="Georgia" w:hAnsi="Georgia" w:cs="Georgia"/>
          <w:color w:val="000000"/>
          <w:sz w:val="22"/>
          <w:szCs w:val="22"/>
        </w:rPr>
        <w:t>Strany si nejsou vzájemně odpovědny za porušení svých povinností na základě okolností, nad nimiž neměly skutečnou kontrolu.</w:t>
      </w:r>
    </w:p>
    <w:p w14:paraId="379D8B30" w14:textId="77777777" w:rsidR="006E26D4" w:rsidRDefault="00285459">
      <w:pPr>
        <w:numPr>
          <w:ilvl w:val="0"/>
          <w:numId w:val="4"/>
        </w:numPr>
        <w:pBdr>
          <w:top w:val="nil"/>
          <w:left w:val="nil"/>
          <w:bottom w:val="nil"/>
          <w:right w:val="nil"/>
          <w:between w:val="nil"/>
        </w:pBdr>
        <w:ind w:left="851" w:hanging="425"/>
        <w:jc w:val="both"/>
        <w:rPr>
          <w:color w:val="000000"/>
          <w:sz w:val="22"/>
          <w:szCs w:val="22"/>
        </w:rPr>
      </w:pPr>
      <w:r>
        <w:rPr>
          <w:rFonts w:ascii="Georgia" w:eastAsia="Georgia" w:hAnsi="Georgia" w:cs="Georgia"/>
          <w:color w:val="000000"/>
          <w:sz w:val="22"/>
          <w:szCs w:val="22"/>
        </w:rPr>
        <w:t>Tato dohoda se řídí právem České republiky. K řešení sporů vyplývajících z Dohody nebo v souvislosti s ní jsou příslušné obecné soudy České republiky.</w:t>
      </w:r>
    </w:p>
    <w:p w14:paraId="31F17513" w14:textId="77777777" w:rsidR="006E26D4" w:rsidRDefault="00285459">
      <w:pPr>
        <w:numPr>
          <w:ilvl w:val="0"/>
          <w:numId w:val="4"/>
        </w:numPr>
        <w:pBdr>
          <w:top w:val="nil"/>
          <w:left w:val="nil"/>
          <w:bottom w:val="nil"/>
          <w:right w:val="nil"/>
          <w:between w:val="nil"/>
        </w:pBdr>
        <w:ind w:left="851" w:hanging="425"/>
        <w:jc w:val="both"/>
        <w:rPr>
          <w:color w:val="000000"/>
          <w:sz w:val="22"/>
          <w:szCs w:val="22"/>
        </w:rPr>
      </w:pPr>
      <w:r>
        <w:rPr>
          <w:rFonts w:ascii="Georgia" w:eastAsia="Georgia" w:hAnsi="Georgia" w:cs="Georgia"/>
          <w:color w:val="000000"/>
          <w:sz w:val="22"/>
          <w:szCs w:val="22"/>
        </w:rPr>
        <w:t>Pokud bude jakékoliv ustanovení této Dohody shledáno neplatným, protiprávním nebo nevymahatelným, pak ostatní ustanovení této Dohody, v maximálním možném rozsahu, zůstávají platná a vymahatelná a strany se zavazují vynaložit přiměřené úsilí k tomu, aby nahradily tato ustanovení dle jejich záměru a účelu této Dohody ke dni účinnosti Smlouvy.</w:t>
      </w:r>
    </w:p>
    <w:p w14:paraId="17251C11" w14:textId="77777777" w:rsidR="006E26D4" w:rsidRDefault="00285459">
      <w:pPr>
        <w:numPr>
          <w:ilvl w:val="0"/>
          <w:numId w:val="4"/>
        </w:numPr>
        <w:pBdr>
          <w:top w:val="nil"/>
          <w:left w:val="nil"/>
          <w:bottom w:val="nil"/>
          <w:right w:val="nil"/>
          <w:between w:val="nil"/>
        </w:pBdr>
        <w:ind w:left="851" w:hanging="425"/>
        <w:jc w:val="both"/>
        <w:rPr>
          <w:color w:val="000000"/>
          <w:sz w:val="22"/>
          <w:szCs w:val="22"/>
        </w:rPr>
      </w:pPr>
      <w:r>
        <w:rPr>
          <w:rFonts w:ascii="Georgia" w:eastAsia="Georgia" w:hAnsi="Georgia" w:cs="Georgia"/>
          <w:color w:val="000000"/>
          <w:sz w:val="22"/>
          <w:szCs w:val="22"/>
        </w:rPr>
        <w:t>Tato Dohoda byla sepsána ve dvou vyhotoveních s platností originálu.</w:t>
      </w:r>
    </w:p>
    <w:p w14:paraId="5418AE48" w14:textId="77777777" w:rsidR="006E26D4" w:rsidRDefault="006E26D4">
      <w:pPr>
        <w:rPr>
          <w:rFonts w:ascii="Georgia" w:eastAsia="Georgia" w:hAnsi="Georgia" w:cs="Georgia"/>
          <w:sz w:val="22"/>
          <w:szCs w:val="22"/>
        </w:rPr>
      </w:pPr>
    </w:p>
    <w:p w14:paraId="60C21E1A" w14:textId="77777777" w:rsidR="006E26D4" w:rsidRDefault="006E26D4">
      <w:pPr>
        <w:rPr>
          <w:rFonts w:ascii="Georgia" w:eastAsia="Georgia" w:hAnsi="Georgia" w:cs="Georgia"/>
          <w:b/>
        </w:rPr>
      </w:pPr>
    </w:p>
    <w:p w14:paraId="1209A3A4" w14:textId="28648B30" w:rsidR="006E26D4" w:rsidRDefault="00285459">
      <w:pPr>
        <w:rPr>
          <w:rFonts w:ascii="Georgia" w:eastAsia="Georgia" w:hAnsi="Georgia" w:cs="Georgia"/>
          <w:b/>
        </w:rPr>
      </w:pPr>
      <w:r>
        <w:rPr>
          <w:rFonts w:ascii="Georgia" w:eastAsia="Georgia" w:hAnsi="Georgia" w:cs="Georgia"/>
          <w:b/>
        </w:rPr>
        <w:t xml:space="preserve">PŘÍLOHA Č. 1 DOHODY O ZPRACOVÁNÍ OSOBNÍCH ÚDAJŮ </w:t>
      </w:r>
    </w:p>
    <w:p w14:paraId="16D7760A" w14:textId="77777777" w:rsidR="006E26D4" w:rsidRDefault="006E26D4">
      <w:pPr>
        <w:rPr>
          <w:rFonts w:ascii="Georgia" w:eastAsia="Georgia" w:hAnsi="Georgia" w:cs="Georgia"/>
          <w:b/>
        </w:rPr>
      </w:pPr>
    </w:p>
    <w:p w14:paraId="62D81E98" w14:textId="77777777" w:rsidR="006E26D4" w:rsidRDefault="006E26D4">
      <w:pPr>
        <w:rPr>
          <w:rFonts w:ascii="Georgia" w:eastAsia="Georgia" w:hAnsi="Georgia" w:cs="Georgia"/>
          <w:b/>
        </w:rPr>
      </w:pPr>
    </w:p>
    <w:p w14:paraId="181A9991"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Typy osobních údajů:</w:t>
      </w:r>
    </w:p>
    <w:p w14:paraId="4F821C2D"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běžné osobní údaje</w:t>
      </w:r>
    </w:p>
    <w:p w14:paraId="4D7FD5A5"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osobní údaje zvláštních kategorií</w:t>
      </w:r>
    </w:p>
    <w:p w14:paraId="3C33F8FA" w14:textId="77777777" w:rsidR="006E26D4" w:rsidRDefault="006E26D4">
      <w:pPr>
        <w:rPr>
          <w:rFonts w:ascii="Georgia" w:eastAsia="Georgia" w:hAnsi="Georgia" w:cs="Georgia"/>
        </w:rPr>
      </w:pPr>
    </w:p>
    <w:p w14:paraId="30E36716"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Kategorie osobních údajů:</w:t>
      </w:r>
    </w:p>
    <w:p w14:paraId="1EF68FC9" w14:textId="77777777" w:rsidR="006E26D4" w:rsidRDefault="00285459">
      <w:r>
        <w:rPr>
          <w:rFonts w:ascii="MS Gothic" w:eastAsia="MS Gothic" w:hAnsi="MS Gothic" w:cs="MS Gothic"/>
        </w:rPr>
        <w:t>☒</w:t>
      </w:r>
      <w:r>
        <w:rPr>
          <w:rFonts w:ascii="Georgia" w:eastAsia="Georgia" w:hAnsi="Georgia" w:cs="Georgia"/>
        </w:rPr>
        <w:t xml:space="preserve"> identifikační údaje</w:t>
      </w:r>
    </w:p>
    <w:p w14:paraId="73F6CEDC"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kontaktní údaje</w:t>
      </w:r>
    </w:p>
    <w:p w14:paraId="5E6ABAA4"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údaje o soukromém životě</w:t>
      </w:r>
    </w:p>
    <w:p w14:paraId="3F8714FF" w14:textId="77777777" w:rsidR="006E26D4" w:rsidRDefault="00285459">
      <w:r>
        <w:rPr>
          <w:rFonts w:ascii="MS Gothic" w:eastAsia="MS Gothic" w:hAnsi="MS Gothic" w:cs="MS Gothic"/>
        </w:rPr>
        <w:t>☒</w:t>
      </w:r>
      <w:r>
        <w:rPr>
          <w:rFonts w:ascii="Georgia" w:eastAsia="Georgia" w:hAnsi="Georgia" w:cs="Georgia"/>
        </w:rPr>
        <w:t xml:space="preserve"> údaje o profesionálním životě</w:t>
      </w:r>
    </w:p>
    <w:p w14:paraId="3C3D584C"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údaje vztahující se k členům rodiny</w:t>
      </w:r>
    </w:p>
    <w:p w14:paraId="18713766"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digitální údaje</w:t>
      </w:r>
    </w:p>
    <w:p w14:paraId="4A670B16" w14:textId="77777777" w:rsidR="006E26D4" w:rsidRDefault="00285459">
      <w:r>
        <w:rPr>
          <w:rFonts w:ascii="MS Gothic" w:eastAsia="MS Gothic" w:hAnsi="MS Gothic" w:cs="MS Gothic"/>
        </w:rPr>
        <w:t>☐</w:t>
      </w:r>
      <w:r>
        <w:rPr>
          <w:rFonts w:ascii="Georgia" w:eastAsia="Georgia" w:hAnsi="Georgia" w:cs="Georgia"/>
        </w:rPr>
        <w:t xml:space="preserve"> osobní údaje zvláštních kategorií</w:t>
      </w:r>
    </w:p>
    <w:p w14:paraId="6E212C52" w14:textId="77777777" w:rsidR="006E26D4" w:rsidRDefault="00285459">
      <w:pPr>
        <w:rPr>
          <w:rFonts w:ascii="Georgia" w:eastAsia="Georgia" w:hAnsi="Georgia" w:cs="Georgia"/>
        </w:rPr>
      </w:pPr>
      <w:bookmarkStart w:id="2" w:name="_30j0zll" w:colFirst="0" w:colLast="0"/>
      <w:bookmarkEnd w:id="2"/>
      <w:r>
        <w:rPr>
          <w:rFonts w:ascii="MS Gothic" w:eastAsia="MS Gothic" w:hAnsi="MS Gothic" w:cs="MS Gothic"/>
        </w:rPr>
        <w:t>☐</w:t>
      </w:r>
      <w:r>
        <w:rPr>
          <w:rFonts w:ascii="Georgia" w:eastAsia="Georgia" w:hAnsi="Georgia" w:cs="Georgia"/>
        </w:rPr>
        <w:t xml:space="preserve"> jiné: ... </w:t>
      </w:r>
      <w:r>
        <w:rPr>
          <w:rFonts w:ascii="Georgia" w:eastAsia="Georgia" w:hAnsi="Georgia" w:cs="Georgia"/>
          <w:i/>
        </w:rPr>
        <w:t>(prosím specifikujte)</w:t>
      </w:r>
    </w:p>
    <w:p w14:paraId="09AE441F" w14:textId="77777777" w:rsidR="006E26D4" w:rsidRDefault="006E26D4">
      <w:pPr>
        <w:rPr>
          <w:rFonts w:ascii="Georgia" w:eastAsia="Georgia" w:hAnsi="Georgia" w:cs="Georgia"/>
        </w:rPr>
      </w:pPr>
    </w:p>
    <w:p w14:paraId="7D781653"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Kategorie subjektů údajů:</w:t>
      </w:r>
    </w:p>
    <w:p w14:paraId="02FD6FC8"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zaměstnanci Správce</w:t>
      </w:r>
    </w:p>
    <w:p w14:paraId="4FB6086C"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management Správce</w:t>
      </w:r>
    </w:p>
    <w:p w14:paraId="156DFCFE"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dodavatelé Správce</w:t>
      </w:r>
    </w:p>
    <w:p w14:paraId="378F5A04" w14:textId="77777777" w:rsidR="006E26D4" w:rsidRDefault="00285459">
      <w:pPr>
        <w:rPr>
          <w:rFonts w:ascii="Georgia" w:eastAsia="Georgia" w:hAnsi="Georgia" w:cs="Georgia"/>
          <w:i/>
        </w:rPr>
      </w:pPr>
      <w:r>
        <w:rPr>
          <w:rFonts w:ascii="MS Gothic" w:eastAsia="MS Gothic" w:hAnsi="MS Gothic" w:cs="MS Gothic"/>
        </w:rPr>
        <w:t>☒</w:t>
      </w:r>
      <w:r>
        <w:rPr>
          <w:rFonts w:ascii="Georgia" w:eastAsia="Georgia" w:hAnsi="Georgia" w:cs="Georgia"/>
        </w:rPr>
        <w:t xml:space="preserve"> jiné: Subjekty žádající o finanční subvence z programech administrovaných Správcem.</w:t>
      </w:r>
    </w:p>
    <w:p w14:paraId="117D18B5" w14:textId="77777777" w:rsidR="006E26D4" w:rsidRDefault="006E26D4">
      <w:pPr>
        <w:rPr>
          <w:rFonts w:ascii="Georgia" w:eastAsia="Georgia" w:hAnsi="Georgia" w:cs="Georgia"/>
          <w:i/>
        </w:rPr>
      </w:pPr>
    </w:p>
    <w:p w14:paraId="072995A6"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 xml:space="preserve">Způsob zpracování: </w:t>
      </w:r>
    </w:p>
    <w:p w14:paraId="615EB621"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elektronicky</w:t>
      </w:r>
    </w:p>
    <w:p w14:paraId="097DEC01"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papírová forma</w:t>
      </w:r>
    </w:p>
    <w:p w14:paraId="3ED397F0" w14:textId="77777777" w:rsidR="006E26D4" w:rsidRDefault="00285459">
      <w:pPr>
        <w:rPr>
          <w:rFonts w:ascii="Georgia" w:eastAsia="Georgia" w:hAnsi="Georgia" w:cs="Georgia"/>
          <w:i/>
        </w:rPr>
      </w:pPr>
      <w:r>
        <w:rPr>
          <w:rFonts w:ascii="MS Gothic" w:eastAsia="MS Gothic" w:hAnsi="MS Gothic" w:cs="MS Gothic"/>
        </w:rPr>
        <w:t>☐</w:t>
      </w:r>
      <w:r>
        <w:rPr>
          <w:rFonts w:ascii="Georgia" w:eastAsia="Georgia" w:hAnsi="Georgia" w:cs="Georgia"/>
        </w:rPr>
        <w:t xml:space="preserve"> jiné: … </w:t>
      </w:r>
      <w:r>
        <w:rPr>
          <w:rFonts w:ascii="Georgia" w:eastAsia="Georgia" w:hAnsi="Georgia" w:cs="Georgia"/>
          <w:i/>
        </w:rPr>
        <w:t>(prosím specifikujte)</w:t>
      </w:r>
    </w:p>
    <w:p w14:paraId="5678A728" w14:textId="77777777" w:rsidR="006E26D4" w:rsidRDefault="006E26D4">
      <w:pPr>
        <w:rPr>
          <w:rFonts w:ascii="Georgia" w:eastAsia="Georgia" w:hAnsi="Georgia" w:cs="Georgia"/>
        </w:rPr>
      </w:pPr>
    </w:p>
    <w:p w14:paraId="6DB1829E"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Účel zpracování:</w:t>
      </w:r>
    </w:p>
    <w:p w14:paraId="4DECE67A"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poskytování služeb na základě Smlouvy </w:t>
      </w:r>
    </w:p>
    <w:p w14:paraId="1452B28F"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údržba a využívání IT systémů</w:t>
      </w:r>
    </w:p>
    <w:p w14:paraId="4398E26E"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řízení kvality, rizika a managementu Klienta</w:t>
      </w:r>
    </w:p>
    <w:p w14:paraId="5B335E91"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poskytování informací Správci, vč. užití elektronických prostředků, o PwC, dalších PwC firmách a o našich / jejich službách</w:t>
      </w:r>
    </w:p>
    <w:p w14:paraId="5CBFBAE3"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spory a litigace</w:t>
      </w:r>
    </w:p>
    <w:p w14:paraId="42718AFA"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potvrzení poskytnutí služeb</w:t>
      </w:r>
    </w:p>
    <w:p w14:paraId="18ED83F8" w14:textId="77777777" w:rsidR="006E26D4" w:rsidRDefault="00285459">
      <w:pPr>
        <w:rPr>
          <w:rFonts w:ascii="Georgia" w:eastAsia="Georgia" w:hAnsi="Georgia" w:cs="Georgia"/>
        </w:rPr>
      </w:pPr>
      <w:r>
        <w:rPr>
          <w:rFonts w:ascii="MS Gothic" w:eastAsia="MS Gothic" w:hAnsi="MS Gothic" w:cs="MS Gothic"/>
        </w:rPr>
        <w:t>☐</w:t>
      </w:r>
      <w:r>
        <w:rPr>
          <w:rFonts w:ascii="Georgia" w:eastAsia="Georgia" w:hAnsi="Georgia" w:cs="Georgia"/>
        </w:rPr>
        <w:t xml:space="preserve"> jiné: … </w:t>
      </w:r>
      <w:r>
        <w:rPr>
          <w:rFonts w:ascii="Georgia" w:eastAsia="Georgia" w:hAnsi="Georgia" w:cs="Georgia"/>
          <w:i/>
        </w:rPr>
        <w:t>(prosím specifikujte)</w:t>
      </w:r>
    </w:p>
    <w:p w14:paraId="6AEC9131" w14:textId="77777777" w:rsidR="006E26D4" w:rsidRDefault="00285459">
      <w:pPr>
        <w:numPr>
          <w:ilvl w:val="0"/>
          <w:numId w:val="5"/>
        </w:numPr>
        <w:pBdr>
          <w:top w:val="nil"/>
          <w:left w:val="nil"/>
          <w:bottom w:val="nil"/>
          <w:right w:val="nil"/>
          <w:between w:val="nil"/>
        </w:pBdr>
        <w:spacing w:after="160" w:line="256" w:lineRule="auto"/>
        <w:rPr>
          <w:rFonts w:ascii="Georgia" w:eastAsia="Georgia" w:hAnsi="Georgia" w:cs="Georgia"/>
          <w:color w:val="000000"/>
          <w:u w:val="single"/>
        </w:rPr>
      </w:pPr>
      <w:r>
        <w:rPr>
          <w:rFonts w:ascii="Georgia" w:eastAsia="Georgia" w:hAnsi="Georgia" w:cs="Georgia"/>
          <w:color w:val="000000"/>
          <w:u w:val="single"/>
        </w:rPr>
        <w:t>Doba zpracování:</w:t>
      </w:r>
    </w:p>
    <w:tbl>
      <w:tblPr>
        <w:tblStyle w:val="a0"/>
        <w:tblW w:w="6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4111"/>
      </w:tblGrid>
      <w:tr w:rsidR="006E26D4" w14:paraId="00133FEA" w14:textId="77777777">
        <w:tc>
          <w:tcPr>
            <w:tcW w:w="2693" w:type="dxa"/>
            <w:tcBorders>
              <w:top w:val="single" w:sz="4" w:space="0" w:color="000000"/>
              <w:left w:val="single" w:sz="4" w:space="0" w:color="000000"/>
              <w:bottom w:val="single" w:sz="4" w:space="0" w:color="000000"/>
              <w:right w:val="single" w:sz="4" w:space="0" w:color="000000"/>
            </w:tcBorders>
          </w:tcPr>
          <w:p w14:paraId="108AE550" w14:textId="77777777" w:rsidR="006E26D4" w:rsidRDefault="00285459">
            <w:pPr>
              <w:jc w:val="both"/>
              <w:rPr>
                <w:rFonts w:ascii="Georgia" w:eastAsia="Georgia" w:hAnsi="Georgia" w:cs="Georgia"/>
              </w:rPr>
            </w:pPr>
            <w:r>
              <w:rPr>
                <w:rFonts w:ascii="Georgia" w:eastAsia="Georgia" w:hAnsi="Georgia" w:cs="Georgia"/>
              </w:rPr>
              <w:t>Účel zpracování</w:t>
            </w:r>
          </w:p>
        </w:tc>
        <w:tc>
          <w:tcPr>
            <w:tcW w:w="4111" w:type="dxa"/>
            <w:tcBorders>
              <w:top w:val="single" w:sz="4" w:space="0" w:color="000000"/>
              <w:left w:val="single" w:sz="4" w:space="0" w:color="000000"/>
              <w:bottom w:val="single" w:sz="4" w:space="0" w:color="000000"/>
              <w:right w:val="single" w:sz="4" w:space="0" w:color="000000"/>
            </w:tcBorders>
          </w:tcPr>
          <w:p w14:paraId="3B8BDFBE" w14:textId="77777777" w:rsidR="006E26D4" w:rsidRDefault="00285459">
            <w:pPr>
              <w:jc w:val="both"/>
              <w:rPr>
                <w:rFonts w:ascii="Georgia" w:eastAsia="Georgia" w:hAnsi="Georgia" w:cs="Georgia"/>
              </w:rPr>
            </w:pPr>
            <w:r>
              <w:rPr>
                <w:rFonts w:ascii="Georgia" w:eastAsia="Georgia" w:hAnsi="Georgia" w:cs="Georgia"/>
              </w:rPr>
              <w:t>Doba zpracování</w:t>
            </w:r>
          </w:p>
        </w:tc>
      </w:tr>
      <w:tr w:rsidR="006E26D4" w14:paraId="4C71D34B" w14:textId="77777777">
        <w:tc>
          <w:tcPr>
            <w:tcW w:w="2693" w:type="dxa"/>
            <w:tcBorders>
              <w:top w:val="single" w:sz="4" w:space="0" w:color="000000"/>
              <w:left w:val="single" w:sz="4" w:space="0" w:color="000000"/>
              <w:bottom w:val="single" w:sz="4" w:space="0" w:color="000000"/>
              <w:right w:val="single" w:sz="4" w:space="0" w:color="000000"/>
            </w:tcBorders>
          </w:tcPr>
          <w:p w14:paraId="7D8796D9" w14:textId="77777777" w:rsidR="006E26D4" w:rsidRDefault="00285459">
            <w:pPr>
              <w:jc w:val="both"/>
              <w:rPr>
                <w:rFonts w:ascii="Georgia" w:eastAsia="Georgia" w:hAnsi="Georgia" w:cs="Georgia"/>
              </w:rPr>
            </w:pPr>
            <w:r>
              <w:rPr>
                <w:rFonts w:ascii="Georgia" w:eastAsia="Georgia" w:hAnsi="Georgia" w:cs="Georgia"/>
                <w:i/>
              </w:rPr>
              <w:t>poskytování služeb na základě smlouvy o poskytování služeb</w:t>
            </w:r>
          </w:p>
        </w:tc>
        <w:tc>
          <w:tcPr>
            <w:tcW w:w="4111" w:type="dxa"/>
            <w:tcBorders>
              <w:top w:val="single" w:sz="4" w:space="0" w:color="000000"/>
              <w:left w:val="single" w:sz="4" w:space="0" w:color="000000"/>
              <w:bottom w:val="single" w:sz="4" w:space="0" w:color="000000"/>
              <w:right w:val="single" w:sz="4" w:space="0" w:color="000000"/>
            </w:tcBorders>
          </w:tcPr>
          <w:p w14:paraId="55B2EE6E" w14:textId="77777777" w:rsidR="006E26D4" w:rsidRDefault="00285459">
            <w:pPr>
              <w:jc w:val="both"/>
              <w:rPr>
                <w:rFonts w:ascii="Georgia" w:eastAsia="Georgia" w:hAnsi="Georgia" w:cs="Georgia"/>
                <w:i/>
              </w:rPr>
            </w:pPr>
            <w:r>
              <w:rPr>
                <w:rFonts w:ascii="Georgia" w:eastAsia="Georgia" w:hAnsi="Georgia" w:cs="Georgia"/>
                <w:i/>
              </w:rPr>
              <w:t>Po dobu trvání Smlouvy.</w:t>
            </w:r>
          </w:p>
        </w:tc>
      </w:tr>
      <w:bookmarkEnd w:id="0"/>
    </w:tbl>
    <w:p w14:paraId="45C3BC36" w14:textId="77777777" w:rsidR="006E26D4" w:rsidRDefault="006E26D4">
      <w:pPr>
        <w:rPr>
          <w:rFonts w:ascii="Georgia" w:eastAsia="Georgia" w:hAnsi="Georgia" w:cs="Georgia"/>
          <w:sz w:val="22"/>
          <w:szCs w:val="22"/>
        </w:rPr>
      </w:pPr>
    </w:p>
    <w:sectPr w:rsidR="006E26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E3C6" w14:textId="77777777" w:rsidR="004C615E" w:rsidRDefault="004C615E">
      <w:r>
        <w:separator/>
      </w:r>
    </w:p>
  </w:endnote>
  <w:endnote w:type="continuationSeparator" w:id="0">
    <w:p w14:paraId="09E38B30" w14:textId="77777777" w:rsidR="004C615E" w:rsidRDefault="004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1206" w14:textId="77777777" w:rsidR="006E26D4" w:rsidRDefault="0028545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626C4B5E" w14:textId="77777777" w:rsidR="006E26D4" w:rsidRDefault="006E26D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CDD5" w14:textId="77777777" w:rsidR="006E26D4" w:rsidRDefault="006E26D4">
    <w:pPr>
      <w:pBdr>
        <w:top w:val="nil"/>
        <w:left w:val="nil"/>
        <w:bottom w:val="nil"/>
        <w:right w:val="nil"/>
        <w:between w:val="nil"/>
      </w:pBdr>
      <w:tabs>
        <w:tab w:val="center" w:pos="4536"/>
        <w:tab w:val="right" w:pos="9072"/>
      </w:tabs>
      <w:jc w:val="center"/>
      <w:rPr>
        <w:color w:val="000000"/>
        <w:sz w:val="16"/>
        <w:szCs w:val="16"/>
      </w:rPr>
    </w:pPr>
  </w:p>
  <w:p w14:paraId="559B396C" w14:textId="77777777" w:rsidR="006E26D4" w:rsidRDefault="006E26D4">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CACC" w14:textId="77777777" w:rsidR="006E26D4" w:rsidRDefault="006E26D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72F9" w14:textId="77777777" w:rsidR="004C615E" w:rsidRDefault="004C615E">
      <w:r>
        <w:separator/>
      </w:r>
    </w:p>
  </w:footnote>
  <w:footnote w:type="continuationSeparator" w:id="0">
    <w:p w14:paraId="52E18934" w14:textId="77777777" w:rsidR="004C615E" w:rsidRDefault="004C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E91E" w14:textId="77777777" w:rsidR="006E26D4" w:rsidRDefault="0028545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17FA14AA" wp14:editId="6FF7865C">
              <wp:simplePos x="0" y="0"/>
              <wp:positionH relativeFrom="column">
                <wp:posOffset>-88899</wp:posOffset>
              </wp:positionH>
              <wp:positionV relativeFrom="paragraph">
                <wp:posOffset>-1396999</wp:posOffset>
              </wp:positionV>
              <wp:extent cx="5939092" cy="5939092"/>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30058D2B" w14:textId="77777777" w:rsidR="006E26D4" w:rsidRDefault="00285459">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7FA14AA" id="Rectangle 2" o:spid="_x0000_s1026" style="position:absolute;margin-left:-7pt;margin-top:-110pt;width:467.65pt;height:467.6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" filled="f" stroked="f">
              <v:textbox inset="2.53958mm,2.53958mm,2.53958mm,2.53958mm">
                <w:txbxContent>
                  <w:p w14:paraId="30058D2B" w14:textId="77777777" w:rsidR="006E26D4" w:rsidRDefault="00285459">
                    <w:pPr>
                      <w:jc w:val="center"/>
                      <w:textDirection w:val="btLr"/>
                    </w:pPr>
                    <w:r>
                      <w:rPr>
                        <w:rFonts w:ascii="Calibri" w:eastAsia="Calibri" w:hAnsi="Calibri" w:cs="Calibri"/>
                        <w:color w:val="C0C0C0"/>
                        <w:sz w:val="144"/>
                      </w:rPr>
                      <w:t>DRAFT</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8FDD" w14:textId="77777777" w:rsidR="006E26D4" w:rsidRDefault="006E26D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45D8" w14:textId="77777777" w:rsidR="006E26D4" w:rsidRDefault="0028545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8240" behindDoc="0" locked="0" layoutInCell="1" hidden="0" allowOverlap="1" wp14:anchorId="05EA7801" wp14:editId="0F0A6627">
              <wp:simplePos x="0" y="0"/>
              <wp:positionH relativeFrom="column">
                <wp:posOffset>-88899</wp:posOffset>
              </wp:positionH>
              <wp:positionV relativeFrom="paragraph">
                <wp:posOffset>-1396999</wp:posOffset>
              </wp:positionV>
              <wp:extent cx="5939092" cy="5939092"/>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1CFDAAF4" w14:textId="77777777" w:rsidR="006E26D4" w:rsidRDefault="00285459">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5EA7801" id="Rectangle 1" o:spid="_x0000_s1027" style="position:absolute;margin-left:-7pt;margin-top:-110pt;width:467.65pt;height:467.65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" filled="f" stroked="f">
              <v:textbox inset="2.53958mm,2.53958mm,2.53958mm,2.53958mm">
                <w:txbxContent>
                  <w:p w14:paraId="1CFDAAF4" w14:textId="77777777" w:rsidR="006E26D4" w:rsidRDefault="00285459">
                    <w:pPr>
                      <w:jc w:val="center"/>
                      <w:textDirection w:val="btLr"/>
                    </w:pPr>
                    <w:r>
                      <w:rPr>
                        <w:rFonts w:ascii="Calibri" w:eastAsia="Calibri" w:hAnsi="Calibri" w:cs="Calibri"/>
                        <w:color w:val="C0C0C0"/>
                        <w:sz w:val="144"/>
                      </w:rPr>
                      <w:t>DRAFT</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0B37"/>
    <w:multiLevelType w:val="multilevel"/>
    <w:tmpl w:val="BC5CB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8336B"/>
    <w:multiLevelType w:val="multilevel"/>
    <w:tmpl w:val="78303D20"/>
    <w:lvl w:ilvl="0">
      <w:start w:val="1"/>
      <w:numFmt w:val="decimal"/>
      <w:lvlText w:val="%1."/>
      <w:lvlJc w:val="left"/>
      <w:pPr>
        <w:ind w:left="360" w:hanging="360"/>
      </w:pPr>
      <w:rPr>
        <w:rFonts w:ascii="Georgia" w:eastAsia="Georgia" w:hAnsi="Georgia" w:cs="Georgia"/>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9353FA"/>
    <w:multiLevelType w:val="multilevel"/>
    <w:tmpl w:val="C1B27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66EEE"/>
    <w:multiLevelType w:val="multilevel"/>
    <w:tmpl w:val="025E1BD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CD121B"/>
    <w:multiLevelType w:val="multilevel"/>
    <w:tmpl w:val="B4B4D7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6644762"/>
    <w:multiLevelType w:val="multilevel"/>
    <w:tmpl w:val="587E7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4A01B8"/>
    <w:multiLevelType w:val="multilevel"/>
    <w:tmpl w:val="42C4C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06BB1"/>
    <w:multiLevelType w:val="multilevel"/>
    <w:tmpl w:val="80B893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C657EED"/>
    <w:multiLevelType w:val="multilevel"/>
    <w:tmpl w:val="1F72D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D4"/>
    <w:rsid w:val="001E63E1"/>
    <w:rsid w:val="001F2A45"/>
    <w:rsid w:val="00285459"/>
    <w:rsid w:val="003530AA"/>
    <w:rsid w:val="004C615E"/>
    <w:rsid w:val="006708A3"/>
    <w:rsid w:val="006E26D4"/>
    <w:rsid w:val="00757901"/>
    <w:rsid w:val="00790DF9"/>
    <w:rsid w:val="007C71B9"/>
    <w:rsid w:val="008229CF"/>
    <w:rsid w:val="00824E7F"/>
    <w:rsid w:val="00892332"/>
    <w:rsid w:val="00C73907"/>
    <w:rsid w:val="00ED1F6A"/>
    <w:rsid w:val="00F72F18"/>
    <w:rsid w:val="00FD1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7D09"/>
  <w15:docId w15:val="{7E47ECC4-9AC0-4AD3-8306-0AB4DFAD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character" w:styleId="Odkaznakoment">
    <w:name w:val="annotation reference"/>
    <w:basedOn w:val="Standardnpsmoodstavce"/>
    <w:uiPriority w:val="99"/>
    <w:semiHidden/>
    <w:unhideWhenUsed/>
    <w:rsid w:val="00757901"/>
    <w:rPr>
      <w:sz w:val="16"/>
      <w:szCs w:val="16"/>
    </w:rPr>
  </w:style>
  <w:style w:type="paragraph" w:styleId="Textkomente">
    <w:name w:val="annotation text"/>
    <w:basedOn w:val="Normln"/>
    <w:link w:val="TextkomenteChar"/>
    <w:uiPriority w:val="99"/>
    <w:semiHidden/>
    <w:unhideWhenUsed/>
    <w:rsid w:val="00757901"/>
    <w:rPr>
      <w:sz w:val="20"/>
      <w:szCs w:val="20"/>
    </w:rPr>
  </w:style>
  <w:style w:type="character" w:customStyle="1" w:styleId="TextkomenteChar">
    <w:name w:val="Text komentáře Char"/>
    <w:basedOn w:val="Standardnpsmoodstavce"/>
    <w:link w:val="Textkomente"/>
    <w:uiPriority w:val="99"/>
    <w:semiHidden/>
    <w:rsid w:val="00757901"/>
    <w:rPr>
      <w:sz w:val="20"/>
      <w:szCs w:val="20"/>
    </w:rPr>
  </w:style>
  <w:style w:type="paragraph" w:styleId="Pedmtkomente">
    <w:name w:val="annotation subject"/>
    <w:basedOn w:val="Textkomente"/>
    <w:next w:val="Textkomente"/>
    <w:link w:val="PedmtkomenteChar"/>
    <w:uiPriority w:val="99"/>
    <w:semiHidden/>
    <w:unhideWhenUsed/>
    <w:rsid w:val="00757901"/>
    <w:rPr>
      <w:b/>
      <w:bCs/>
    </w:rPr>
  </w:style>
  <w:style w:type="character" w:customStyle="1" w:styleId="PedmtkomenteChar">
    <w:name w:val="Předmět komentáře Char"/>
    <w:basedOn w:val="TextkomenteChar"/>
    <w:link w:val="Pedmtkomente"/>
    <w:uiPriority w:val="99"/>
    <w:semiHidden/>
    <w:rsid w:val="00757901"/>
    <w:rPr>
      <w:b/>
      <w:bCs/>
      <w:sz w:val="20"/>
      <w:szCs w:val="20"/>
    </w:rPr>
  </w:style>
  <w:style w:type="paragraph" w:styleId="Textbubliny">
    <w:name w:val="Balloon Text"/>
    <w:basedOn w:val="Normln"/>
    <w:link w:val="TextbublinyChar"/>
    <w:uiPriority w:val="99"/>
    <w:semiHidden/>
    <w:unhideWhenUsed/>
    <w:rsid w:val="007579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Zizkova</dc:creator>
  <cp:lastModifiedBy>Daniela Hajčiarová</cp:lastModifiedBy>
  <cp:revision>6</cp:revision>
  <dcterms:created xsi:type="dcterms:W3CDTF">2020-03-27T14:22:00Z</dcterms:created>
  <dcterms:modified xsi:type="dcterms:W3CDTF">2020-04-17T08:45:00Z</dcterms:modified>
</cp:coreProperties>
</file>