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4A" w:rsidRDefault="00C84D4A">
      <w:pPr>
        <w:spacing w:line="1" w:lineRule="exact"/>
      </w:pPr>
    </w:p>
    <w:p w:rsidR="00C84D4A" w:rsidRDefault="00107A7A">
      <w:pPr>
        <w:pStyle w:val="Zkladntext50"/>
        <w:framePr w:wrap="none" w:vAnchor="page" w:hAnchor="page" w:x="652" w:y="589"/>
        <w:shd w:val="clear" w:color="auto" w:fill="auto"/>
        <w:spacing w:after="0"/>
        <w:ind w:right="7402"/>
      </w:pPr>
      <w:r>
        <w:rPr>
          <w:lang w:val="en-US" w:eastAsia="en-US" w:bidi="en-US"/>
        </w:rPr>
        <w:t xml:space="preserve">Wood </w:t>
      </w:r>
      <w:r>
        <w:t>&amp; Poper</w:t>
      </w:r>
    </w:p>
    <w:p w:rsidR="00C84D4A" w:rsidRDefault="00107A7A">
      <w:pPr>
        <w:framePr w:wrap="none" w:vAnchor="page" w:hAnchor="page" w:x="9777" w:y="4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3898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4A" w:rsidRDefault="00107A7A">
      <w:pPr>
        <w:pStyle w:val="Titulekobrzku0"/>
        <w:framePr w:wrap="none" w:vAnchor="page" w:hAnchor="page" w:x="10180" w:y="1064"/>
        <w:shd w:val="clear" w:color="auto" w:fill="auto"/>
      </w:pPr>
      <w:r>
        <w:t>25352</w:t>
      </w:r>
    </w:p>
    <w:p w:rsidR="00C84D4A" w:rsidRDefault="00107A7A">
      <w:pPr>
        <w:pStyle w:val="Zkladntext1"/>
        <w:framePr w:w="10478" w:h="494" w:hRule="exact" w:wrap="none" w:vAnchor="page" w:hAnchor="page" w:x="652" w:y="1424"/>
        <w:shd w:val="clear" w:color="auto" w:fill="auto"/>
        <w:spacing w:after="0"/>
      </w:pPr>
      <w:r>
        <w:rPr>
          <w:b/>
          <w:bCs/>
          <w:sz w:val="22"/>
          <w:szCs w:val="22"/>
        </w:rPr>
        <w:t xml:space="preserve">Dodatek č. 1 ke kupní smlouvě č. 5404/20 </w:t>
      </w:r>
      <w:r>
        <w:rPr>
          <w:b/>
          <w:bCs/>
        </w:rPr>
        <w:t>na základě rámcové kupní smlouvy 20-01/SVOL</w:t>
      </w:r>
    </w:p>
    <w:p w:rsidR="00C84D4A" w:rsidRDefault="00107A7A">
      <w:pPr>
        <w:pStyle w:val="Zkladntext20"/>
        <w:framePr w:w="10478" w:h="494" w:hRule="exact" w:wrap="none" w:vAnchor="page" w:hAnchor="page" w:x="652" w:y="1424"/>
        <w:shd w:val="clear" w:color="auto" w:fill="auto"/>
        <w:spacing w:line="240" w:lineRule="auto"/>
      </w:pPr>
      <w:r>
        <w:rPr>
          <w:i/>
          <w:iCs/>
        </w:rPr>
        <w:t>§ 2079 a násl. zákona č. 89/2012 Sb. občanského zákoníku, v účinném znění</w:t>
      </w:r>
    </w:p>
    <w:p w:rsidR="00C84D4A" w:rsidRDefault="00107A7A">
      <w:pPr>
        <w:pStyle w:val="Zkladntext20"/>
        <w:framePr w:w="1162" w:h="1685" w:hRule="exact" w:wrap="none" w:vAnchor="page" w:hAnchor="page" w:x="729" w:y="2134"/>
        <w:shd w:val="clear" w:color="auto" w:fill="auto"/>
        <w:spacing w:after="40" w:line="298" w:lineRule="auto"/>
      </w:pPr>
      <w:r>
        <w:rPr>
          <w:b/>
          <w:bCs/>
          <w:u w:val="single"/>
        </w:rPr>
        <w:t>Kupující</w:t>
      </w:r>
      <w:r>
        <w:rPr>
          <w:b/>
          <w:bCs/>
        </w:rPr>
        <w:t xml:space="preserve">: Zastoupený: Bank, spojení: IČO/DIČ: Zápis v </w:t>
      </w:r>
      <w:r>
        <w:rPr>
          <w:b/>
          <w:bCs/>
          <w:lang w:val="en-US" w:eastAsia="en-US" w:bidi="en-US"/>
        </w:rPr>
        <w:t xml:space="preserve">OR: </w:t>
      </w:r>
      <w:r>
        <w:rPr>
          <w:b/>
          <w:bCs/>
        </w:rPr>
        <w:t>Telefon/Fax:</w:t>
      </w:r>
    </w:p>
    <w:p w:rsidR="00C84D4A" w:rsidRDefault="00107A7A">
      <w:pPr>
        <w:pStyle w:val="Zkladntext20"/>
        <w:framePr w:w="1162" w:h="1685" w:hRule="exact" w:wrap="none" w:vAnchor="page" w:hAnchor="page" w:x="729" w:y="2134"/>
        <w:shd w:val="clear" w:color="auto" w:fill="auto"/>
        <w:spacing w:line="298" w:lineRule="auto"/>
      </w:pPr>
      <w:r>
        <w:rPr>
          <w:b/>
          <w:bCs/>
        </w:rPr>
        <w:t>Adresa: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rPr>
          <w:b/>
          <w:bCs/>
          <w:lang w:val="en-US" w:eastAsia="en-US" w:bidi="en-US"/>
        </w:rPr>
        <w:t xml:space="preserve">WOOD </w:t>
      </w:r>
      <w:r>
        <w:rPr>
          <w:b/>
          <w:bCs/>
        </w:rPr>
        <w:t xml:space="preserve">&amp; </w:t>
      </w:r>
      <w:r>
        <w:rPr>
          <w:b/>
          <w:bCs/>
          <w:lang w:val="en-US" w:eastAsia="en-US" w:bidi="en-US"/>
        </w:rPr>
        <w:t xml:space="preserve">PAPER </w:t>
      </w:r>
      <w:r>
        <w:rPr>
          <w:b/>
          <w:bCs/>
        </w:rPr>
        <w:t>a.s.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rPr>
          <w:lang w:val="en-US" w:eastAsia="en-US" w:bidi="en-US"/>
        </w:rPr>
        <w:t xml:space="preserve">Ing. </w:t>
      </w:r>
      <w:r>
        <w:t>Tomáš Pařík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rPr>
          <w:lang w:val="en-US" w:eastAsia="en-US" w:bidi="en-US"/>
        </w:rPr>
        <w:t xml:space="preserve">Raiffeisenbank, </w:t>
      </w:r>
      <w:r>
        <w:t>a. s., č.ú. 1011010209/5500 26229854/ CZ26229854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t xml:space="preserve">KS v Brně, </w:t>
      </w:r>
      <w:r>
        <w:rPr>
          <w:lang w:val="en-US" w:eastAsia="en-US" w:bidi="en-US"/>
        </w:rPr>
        <w:t xml:space="preserve">odd. </w:t>
      </w:r>
      <w:r>
        <w:t>B, vložka 3439, 24.11.2000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t>+420-546 418 211 /+420-546 418 214</w:t>
      </w:r>
    </w:p>
    <w:p w:rsidR="00C84D4A" w:rsidRDefault="00107A7A">
      <w:pPr>
        <w:pStyle w:val="Zkladntext20"/>
        <w:framePr w:w="3211" w:h="1680" w:hRule="exact" w:wrap="none" w:vAnchor="page" w:hAnchor="page" w:x="2034" w:y="2129"/>
        <w:shd w:val="clear" w:color="auto" w:fill="auto"/>
      </w:pPr>
      <w:r>
        <w:t>Hlína 18 čp. 57, 664 91 Ivančice</w:t>
      </w:r>
    </w:p>
    <w:p w:rsidR="00C84D4A" w:rsidRDefault="00107A7A">
      <w:pPr>
        <w:pStyle w:val="Zkladntext20"/>
        <w:framePr w:w="1176" w:h="1416" w:hRule="exact" w:wrap="none" w:vAnchor="page" w:hAnchor="page" w:x="5860" w:y="2129"/>
        <w:shd w:val="clear" w:color="auto" w:fill="auto"/>
        <w:spacing w:line="300" w:lineRule="auto"/>
      </w:pPr>
      <w:r>
        <w:rPr>
          <w:b/>
          <w:bCs/>
          <w:u w:val="single"/>
        </w:rPr>
        <w:t>Prodávající</w:t>
      </w:r>
      <w:r>
        <w:rPr>
          <w:b/>
          <w:bCs/>
        </w:rPr>
        <w:t xml:space="preserve">: Zastoupený: Bank, spojení: IČO/DIČ: Zápis v </w:t>
      </w:r>
      <w:r>
        <w:rPr>
          <w:b/>
          <w:bCs/>
          <w:lang w:val="en-US" w:eastAsia="en-US" w:bidi="en-US"/>
        </w:rPr>
        <w:t xml:space="preserve">OR: </w:t>
      </w:r>
      <w:r>
        <w:rPr>
          <w:b/>
          <w:bCs/>
        </w:rPr>
        <w:t>Telefon/Fax:</w:t>
      </w:r>
    </w:p>
    <w:p w:rsidR="00C84D4A" w:rsidRDefault="00107A7A">
      <w:pPr>
        <w:pStyle w:val="Zkladntext20"/>
        <w:framePr w:wrap="none" w:vAnchor="page" w:hAnchor="page" w:x="5879" w:y="3550"/>
        <w:shd w:val="clear" w:color="auto" w:fill="auto"/>
        <w:spacing w:line="240" w:lineRule="auto"/>
      </w:pPr>
      <w:r>
        <w:rPr>
          <w:b/>
          <w:bCs/>
        </w:rPr>
        <w:t>Adresa:</w:t>
      </w:r>
    </w:p>
    <w:p w:rsidR="00C84D4A" w:rsidRDefault="00107A7A">
      <w:pPr>
        <w:pStyle w:val="Zkladntext20"/>
        <w:framePr w:w="3874" w:h="1123" w:hRule="exact" w:wrap="none" w:vAnchor="page" w:hAnchor="page" w:x="7199" w:y="2125"/>
        <w:shd w:val="clear" w:color="auto" w:fill="auto"/>
        <w:spacing w:line="240" w:lineRule="auto"/>
      </w:pPr>
      <w:r>
        <w:rPr>
          <w:b/>
          <w:bCs/>
        </w:rPr>
        <w:t>Lesy města Dvůr Králové n./Lab. s.r</w:t>
      </w:r>
    </w:p>
    <w:p w:rsidR="00C84D4A" w:rsidRDefault="00107A7A">
      <w:pPr>
        <w:pStyle w:val="Zkladntext20"/>
        <w:framePr w:w="3874" w:h="1123" w:hRule="exact" w:wrap="none" w:vAnchor="page" w:hAnchor="page" w:x="7199" w:y="2125"/>
        <w:shd w:val="clear" w:color="auto" w:fill="auto"/>
        <w:spacing w:line="240" w:lineRule="auto"/>
      </w:pPr>
      <w:r>
        <w:t>Bc. Petr Kupský</w:t>
      </w:r>
    </w:p>
    <w:p w:rsidR="00C84D4A" w:rsidRDefault="00107A7A">
      <w:pPr>
        <w:pStyle w:val="Zkladntext20"/>
        <w:framePr w:w="3874" w:h="1123" w:hRule="exact" w:wrap="none" w:vAnchor="page" w:hAnchor="page" w:x="7199" w:y="2125"/>
        <w:shd w:val="clear" w:color="auto" w:fill="auto"/>
        <w:spacing w:line="240" w:lineRule="auto"/>
      </w:pPr>
      <w:r>
        <w:t>ČSOB a.s., č.ú. 226038589/0300</w:t>
      </w:r>
    </w:p>
    <w:p w:rsidR="00C84D4A" w:rsidRDefault="00107A7A">
      <w:pPr>
        <w:pStyle w:val="Zkladntext20"/>
        <w:framePr w:w="3874" w:h="1123" w:hRule="exact" w:wrap="none" w:vAnchor="page" w:hAnchor="page" w:x="7199" w:y="2125"/>
        <w:shd w:val="clear" w:color="auto" w:fill="auto"/>
        <w:spacing w:line="240" w:lineRule="auto"/>
      </w:pPr>
      <w:r>
        <w:t>27553884 / CZ27553884</w:t>
      </w:r>
    </w:p>
    <w:p w:rsidR="00C84D4A" w:rsidRDefault="00107A7A">
      <w:pPr>
        <w:pStyle w:val="Zkladntext20"/>
        <w:framePr w:w="3874" w:h="1123" w:hRule="exact" w:wrap="none" w:vAnchor="page" w:hAnchor="page" w:x="7199" w:y="2125"/>
        <w:shd w:val="clear" w:color="auto" w:fill="auto"/>
        <w:spacing w:line="240" w:lineRule="auto"/>
      </w:pPr>
      <w:r>
        <w:t>C 25764 vedená u Krajského soudu v Hradci Králové</w:t>
      </w:r>
    </w:p>
    <w:p w:rsidR="00C84D4A" w:rsidRDefault="00107A7A">
      <w:pPr>
        <w:pStyle w:val="Zkladntext20"/>
        <w:framePr w:wrap="none" w:vAnchor="page" w:hAnchor="page" w:x="7209" w:y="3550"/>
        <w:shd w:val="clear" w:color="auto" w:fill="auto"/>
        <w:spacing w:line="240" w:lineRule="auto"/>
      </w:pPr>
      <w:r>
        <w:t>Raisova 2824, 544 01 Dvůr Král</w:t>
      </w:r>
      <w:r>
        <w:t>ové nad Labem, CZ</w:t>
      </w:r>
    </w:p>
    <w:p w:rsidR="00C84D4A" w:rsidRDefault="00107A7A">
      <w:pPr>
        <w:pStyle w:val="Zkladntext1"/>
        <w:framePr w:wrap="none" w:vAnchor="page" w:hAnchor="page" w:x="652" w:y="3977"/>
        <w:shd w:val="clear" w:color="auto" w:fill="auto"/>
        <w:spacing w:after="0"/>
      </w:pPr>
      <w:r>
        <w:t>Tímto dodatkem se doplňuje a mění text kupní smlouvy takto:</w:t>
      </w:r>
    </w:p>
    <w:p w:rsidR="00C84D4A" w:rsidRDefault="00107A7A">
      <w:pPr>
        <w:pStyle w:val="Titulektabulky0"/>
        <w:framePr w:w="4877" w:h="485" w:hRule="exact" w:wrap="none" w:vAnchor="page" w:hAnchor="page" w:x="729" w:y="4424"/>
        <w:shd w:val="clear" w:color="auto" w:fill="auto"/>
        <w:ind w:left="14" w:right="5"/>
      </w:pPr>
      <w:r>
        <w:rPr>
          <w:b/>
          <w:bCs/>
        </w:rPr>
        <w:t>2. Předmět plnění:</w:t>
      </w:r>
    </w:p>
    <w:p w:rsidR="00C84D4A" w:rsidRDefault="00107A7A">
      <w:pPr>
        <w:pStyle w:val="Titulektabulky0"/>
        <w:framePr w:w="4877" w:h="485" w:hRule="exact" w:wrap="none" w:vAnchor="page" w:hAnchor="page" w:x="729" w:y="4424"/>
        <w:shd w:val="clear" w:color="auto" w:fill="auto"/>
        <w:ind w:left="14" w:right="5"/>
      </w:pPr>
      <w:r>
        <w:t>1. Smluvené množství a cena dříví pro 2. čtvrtletí 2020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9"/>
        <w:gridCol w:w="3643"/>
        <w:gridCol w:w="2237"/>
      </w:tblGrid>
      <w:tr w:rsidR="00C84D4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4A" w:rsidRDefault="00107A7A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</w:pPr>
            <w:r>
              <w:rPr>
                <w:b/>
                <w:bCs/>
              </w:rPr>
              <w:t>Sortiment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107A7A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 w:line="276" w:lineRule="auto"/>
              <w:jc w:val="center"/>
            </w:pPr>
            <w:r>
              <w:rPr>
                <w:b/>
                <w:bCs/>
              </w:rPr>
              <w:t xml:space="preserve">Množství podle sortimentů v </w:t>
            </w:r>
            <w:r>
              <w:rPr>
                <w:b/>
                <w:bCs/>
                <w:lang w:val="en-US" w:eastAsia="en-US" w:bidi="en-US"/>
              </w:rPr>
              <w:t>At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D4A" w:rsidRDefault="00107A7A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Kč/</w:t>
            </w:r>
            <w:r>
              <w:rPr>
                <w:b/>
                <w:bCs/>
                <w:lang w:val="en-US" w:eastAsia="en-US" w:bidi="en-US"/>
              </w:rPr>
              <w:t>At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xxx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xxx</w:t>
            </w:r>
          </w:p>
        </w:tc>
      </w:tr>
      <w:tr w:rsidR="00C84D4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D4A" w:rsidRDefault="00107A7A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Celkem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D4A" w:rsidRDefault="009757FD">
            <w:pPr>
              <w:pStyle w:val="Jin0"/>
              <w:framePr w:w="10339" w:h="3038" w:wrap="none" w:vAnchor="page" w:hAnchor="page" w:x="758" w:y="4880"/>
              <w:shd w:val="clear" w:color="auto" w:fill="au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xxx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D4A" w:rsidRDefault="00C84D4A">
            <w:pPr>
              <w:framePr w:w="10339" w:h="3038" w:wrap="none" w:vAnchor="page" w:hAnchor="page" w:x="758" w:y="4880"/>
              <w:rPr>
                <w:sz w:val="10"/>
                <w:szCs w:val="10"/>
              </w:rPr>
            </w:pPr>
          </w:p>
        </w:tc>
      </w:tr>
    </w:tbl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1"/>
        </w:numPr>
        <w:shd w:val="clear" w:color="auto" w:fill="auto"/>
        <w:tabs>
          <w:tab w:val="left" w:pos="323"/>
        </w:tabs>
        <w:spacing w:after="0"/>
      </w:pPr>
      <w:r>
        <w:rPr>
          <w:b/>
          <w:bCs/>
        </w:rPr>
        <w:t>Zvláštní ustanovení: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shd w:val="clear" w:color="auto" w:fill="auto"/>
        <w:ind w:left="400" w:hanging="400"/>
        <w:jc w:val="both"/>
      </w:pPr>
      <w:r>
        <w:t xml:space="preserve">5. Prodávající bere na vědomí, že konečným odběratelem dříví dle </w:t>
      </w:r>
      <w:r>
        <w:t>této smlouvy je Mondi Štětí a.s. a že množství dříví dodávané prodávajícím kupujícímu dle této smlouvy přímo závisí na odběru dříví konečným odběratelem dle jeho provozních potřeb od kupujícího. Dále prodávající bere na vědomí, že není výhradním dodavatele</w:t>
      </w:r>
      <w:r>
        <w:t xml:space="preserve">m dříví pro kupujícího určeného konečnému odběrateli. Pro případ, že dojde k omezení nebo zastavení výroby v závodu konečného odběratele Mondi Štětí a.s., se smluvní strany dohodly, že kupující je oprávněn dle své volby pozastavit dodávku dle této smlouvy </w:t>
      </w:r>
      <w:r>
        <w:t>po určené časové období anebo omezit množství dodaného dříví. O této skutečnosti a uplatnění a výběru svého práva informuje kupující prodávajícího bez zbytečného odkladu poté, co se o takové skutečnosti dozví. V případě pozastavení dodávky se adekvátně pro</w:t>
      </w:r>
      <w:r>
        <w:t>dlužuje původně sjednaný termín plnění dle této smlouvy. V případě omezení množství dříví určí kupující nedodané (nepožadované) množství dříví prodávajícímu adekvátně v poměru k celkovému množství dříví nedodanému konečnému odběrateli kupujícím z důvodu na</w:t>
      </w:r>
      <w:r>
        <w:t xml:space="preserve"> straně konečného odběratele. Prodávající s tímto postupem změny termínu plnění, respektive množství dříví souhlasí.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1"/>
        </w:numPr>
        <w:shd w:val="clear" w:color="auto" w:fill="auto"/>
        <w:tabs>
          <w:tab w:val="left" w:pos="328"/>
        </w:tabs>
        <w:spacing w:after="0"/>
      </w:pPr>
      <w:r>
        <w:rPr>
          <w:b/>
          <w:bCs/>
        </w:rPr>
        <w:t>Závěrečné ustanovení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shd w:val="clear" w:color="auto" w:fill="auto"/>
        <w:spacing w:after="0"/>
      </w:pPr>
      <w:r>
        <w:rPr>
          <w:b/>
          <w:bCs/>
        </w:rPr>
        <w:t>1. Nedílnou součástí této smlouvy jsou obchodní podmínky kupujícího: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firstLine="400"/>
      </w:pPr>
      <w:r>
        <w:t xml:space="preserve">Technické podmínky k dodávce dříví a štěpků, </w:t>
      </w:r>
      <w:r>
        <w:t>směrnice TOP 6.6. účinná od 1.4.2020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00"/>
      </w:pPr>
      <w:r>
        <w:t xml:space="preserve">Přepravní podmínky k dodávkám dřevní hmoty a biopaliv do Mondi Štětí a.s., směrnice PP BOZP </w:t>
      </w:r>
      <w:r>
        <w:rPr>
          <w:lang w:val="en-US" w:eastAsia="en-US" w:bidi="en-US"/>
        </w:rPr>
        <w:t xml:space="preserve">ZD 3.6.3.O.3. </w:t>
      </w:r>
      <w:r>
        <w:t>účinná od 1.4.2020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3"/>
        </w:tabs>
        <w:spacing w:after="0"/>
        <w:ind w:left="400"/>
      </w:pPr>
      <w:r>
        <w:t>Pravidla a bezpečnostní pokyny pro dodavatele dřevní hmoty a biopaliva do Mondi Štětí a.s., sm</w:t>
      </w:r>
      <w:r>
        <w:t>ěrnice PP BOZP ZD 3.6.3.0.2. účinná od 1.4.2020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left="400"/>
      </w:pPr>
      <w:r>
        <w:t>Podmínky silniční a železniční přepravy pro dodávky vlákninového dříví do Mondi Štětí a.s. platné od 1.1.2020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400"/>
      </w:pPr>
      <w:r>
        <w:t>Podmínky vytěžování vagónů pro vlákninové dříví do Mondi štětí a.s. platné od 1.1.2020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400"/>
      </w:pPr>
      <w:r>
        <w:t>Pravidla pr</w:t>
      </w:r>
      <w:r>
        <w:t>o nakládku kmenového dříví do železničních vagónů platná od 1.1.2020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numPr>
          <w:ilvl w:val="0"/>
          <w:numId w:val="2"/>
        </w:numPr>
        <w:shd w:val="clear" w:color="auto" w:fill="auto"/>
        <w:tabs>
          <w:tab w:val="left" w:pos="738"/>
        </w:tabs>
        <w:spacing w:after="0"/>
        <w:ind w:firstLine="400"/>
      </w:pPr>
      <w:r>
        <w:t>Vzorový nákladní list kupujícího</w:t>
      </w:r>
    </w:p>
    <w:p w:rsidR="00C84D4A" w:rsidRDefault="00107A7A">
      <w:pPr>
        <w:pStyle w:val="Zkladntext1"/>
        <w:framePr w:w="10478" w:h="5578" w:hRule="exact" w:wrap="none" w:vAnchor="page" w:hAnchor="page" w:x="652" w:y="8120"/>
        <w:shd w:val="clear" w:color="auto" w:fill="auto"/>
        <w:spacing w:after="0"/>
      </w:pPr>
      <w:r>
        <w:t>3. Smlouva se uzavírá na období od 1.4.2020 do 30.6.2020.</w:t>
      </w:r>
    </w:p>
    <w:p w:rsidR="00C84D4A" w:rsidRDefault="00107A7A">
      <w:pPr>
        <w:pStyle w:val="Zkladntext1"/>
        <w:framePr w:wrap="none" w:vAnchor="page" w:hAnchor="page" w:x="652" w:y="13875"/>
        <w:shd w:val="clear" w:color="auto" w:fill="auto"/>
        <w:spacing w:after="0"/>
      </w:pPr>
      <w:r>
        <w:t>Ostatní podmínky smlouvy zůstávají v platnosti.</w:t>
      </w:r>
    </w:p>
    <w:p w:rsidR="00C84D4A" w:rsidRDefault="00107A7A">
      <w:pPr>
        <w:pStyle w:val="Zkladntext1"/>
        <w:framePr w:w="10478" w:h="1296" w:hRule="exact" w:wrap="none" w:vAnchor="page" w:hAnchor="page" w:x="652" w:y="14321"/>
        <w:shd w:val="clear" w:color="auto" w:fill="auto"/>
        <w:spacing w:after="0"/>
        <w:ind w:left="120" w:right="7887"/>
      </w:pPr>
      <w:r>
        <w:t>Datum: 3. dubna 2020</w:t>
      </w:r>
      <w:bookmarkStart w:id="0" w:name="_GoBack"/>
      <w:bookmarkEnd w:id="0"/>
    </w:p>
    <w:p w:rsidR="00C84D4A" w:rsidRDefault="00107A7A">
      <w:pPr>
        <w:pStyle w:val="Zkladntext1"/>
        <w:framePr w:wrap="none" w:vAnchor="page" w:hAnchor="page" w:x="652" w:y="16064"/>
        <w:shd w:val="clear" w:color="auto" w:fill="auto"/>
        <w:spacing w:after="0"/>
        <w:ind w:left="5" w:right="9380"/>
      </w:pPr>
      <w:r>
        <w:t>EXW 2.Q.20</w:t>
      </w:r>
    </w:p>
    <w:p w:rsidR="00C84D4A" w:rsidRDefault="00C84D4A">
      <w:pPr>
        <w:framePr w:wrap="none" w:vAnchor="page" w:hAnchor="page" w:x="5836" w:y="14326"/>
        <w:rPr>
          <w:sz w:val="2"/>
          <w:szCs w:val="2"/>
        </w:rPr>
      </w:pPr>
    </w:p>
    <w:p w:rsidR="00C84D4A" w:rsidRDefault="00C84D4A">
      <w:pPr>
        <w:framePr w:wrap="none" w:vAnchor="page" w:hAnchor="page" w:x="6417" w:y="14830"/>
        <w:rPr>
          <w:sz w:val="2"/>
          <w:szCs w:val="2"/>
        </w:rPr>
      </w:pPr>
    </w:p>
    <w:p w:rsidR="00C84D4A" w:rsidRDefault="00107A7A">
      <w:pPr>
        <w:pStyle w:val="Zkladntext1"/>
        <w:framePr w:wrap="none" w:vAnchor="page" w:hAnchor="page" w:x="10962" w:y="16049"/>
        <w:shd w:val="clear" w:color="auto" w:fill="auto"/>
        <w:spacing w:after="0"/>
        <w:ind w:right="5"/>
      </w:pPr>
      <w:r>
        <w:t>1/1</w:t>
      </w:r>
    </w:p>
    <w:p w:rsidR="00C84D4A" w:rsidRDefault="00C84D4A">
      <w:pPr>
        <w:spacing w:line="1" w:lineRule="exact"/>
      </w:pPr>
    </w:p>
    <w:sectPr w:rsidR="00C84D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7A" w:rsidRDefault="00107A7A">
      <w:r>
        <w:separator/>
      </w:r>
    </w:p>
  </w:endnote>
  <w:endnote w:type="continuationSeparator" w:id="0">
    <w:p w:rsidR="00107A7A" w:rsidRDefault="0010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7A" w:rsidRDefault="00107A7A"/>
  </w:footnote>
  <w:footnote w:type="continuationSeparator" w:id="0">
    <w:p w:rsidR="00107A7A" w:rsidRDefault="00107A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3924"/>
    <w:multiLevelType w:val="multilevel"/>
    <w:tmpl w:val="8CCA9166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C7229"/>
    <w:multiLevelType w:val="multilevel"/>
    <w:tmpl w:val="C08410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4A"/>
    <w:rsid w:val="00107A7A"/>
    <w:rsid w:val="009757FD"/>
    <w:rsid w:val="00C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9252-A25E-4B19-970D-7470B6D7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46"/>
      <w:szCs w:val="4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80"/>
      <w:ind w:firstLine="940"/>
    </w:pPr>
    <w:rPr>
      <w:rFonts w:ascii="Arial" w:eastAsia="Arial" w:hAnsi="Arial" w:cs="Arial"/>
      <w:w w:val="70"/>
      <w:sz w:val="46"/>
      <w:szCs w:val="4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3" w:lineRule="auto"/>
      <w:ind w:firstLine="76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1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2020-04-17T07:41:00Z</dcterms:created>
  <dcterms:modified xsi:type="dcterms:W3CDTF">2020-04-17T07:44:00Z</dcterms:modified>
</cp:coreProperties>
</file>